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56697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162, Monday, August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56697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Caledonia Investments plc;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Caledonia Investments plc,</w:t>
      </w:r>
      <w:r>
        <w:rPr>
          <w:rFonts w:ascii="arial" w:eastAsia="arial" w:hAnsi="arial" w:cs="arial"/>
          <w:b w:val="0"/>
          <w:i w:val="0"/>
          <w:strike w:val="0"/>
          <w:noProof w:val="0"/>
          <w:color w:val="000000"/>
          <w:position w:val="0"/>
          <w:sz w:val="20"/>
          <w:u w:val="none"/>
          <w:vertAlign w:val="baseline"/>
        </w:rPr>
        <w:t xml:space="preserve"> Civil Action No. 1:16-cv-01620 (CRC). On August 10, 2016, the United States filed a Complaint alleging that Caledonia Investments plc violated the premerger notification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with respect to its acquisition of voting securities of Bristow Group, Inc. The proposed Final Judgment, filed at the same time as the Complaint, requires Caledonia Investments plc to pay a civil penalty of $ 480,000.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c/o Federal Trade Commission, 600 Pennsylvania Avenue NW., CC-8416, Washington, DC 20580 (telephone: 202-326-2526;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Caledonia Investments PLC, Cayzer House, 30 Buckingham Gate, London, UK SW1E6NN,</w:t>
      </w:r>
      <w:r>
        <w:rPr>
          <w:rFonts w:ascii="arial" w:eastAsia="arial" w:hAnsi="arial" w:cs="arial"/>
          <w:b w:val="0"/>
          <w:i w:val="0"/>
          <w:strike w:val="0"/>
          <w:noProof w:val="0"/>
          <w:color w:val="000000"/>
          <w:position w:val="0"/>
          <w:sz w:val="20"/>
          <w:u w:val="none"/>
          <w:vertAlign w:val="baseline"/>
        </w:rPr>
        <w:t xml:space="preserve"> Defendant.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Case No.:</w:t>
      </w:r>
      <w:r>
        <w:rPr>
          <w:rFonts w:ascii="arial" w:eastAsia="arial" w:hAnsi="arial" w:cs="arial"/>
          <w:b w:val="0"/>
          <w:i w:val="0"/>
          <w:strike w:val="0"/>
          <w:noProof w:val="0"/>
          <w:color w:val="000000"/>
          <w:position w:val="0"/>
          <w:sz w:val="20"/>
          <w:u w:val="none"/>
          <w:vertAlign w:val="baseline"/>
        </w:rPr>
        <w:t xml:space="preserve"> 1:16-cv-01620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xml:space="preserve"> Christopher R. Cooper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xml:space="preserve"> 08/10/2016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 FOR CIVIL PENALTIES FOR FAILURE TO COMPLY WITH THE PREMERGER REPORTING AND WAITING REQUIREMENTS OF THE HART-SCOTT 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monetary relief in the form of civil penalties against Defendant Caledonia Investments plc ("Caledonia"). Plaintiff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Caledonia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 of voting securities of Bristow Group, Inc. ("Bristow") in February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Court has jurisdiction over the subject matter of this action pursuant to </w:t>
      </w:r>
      <w:r>
        <w:rPr>
          <w:rFonts w:ascii="arial" w:eastAsia="arial" w:hAnsi="arial" w:cs="arial"/>
          <w:b/>
          <w:i w:val="0"/>
          <w:strike w:val="0"/>
          <w:noProof w:val="0"/>
          <w:color w:val="000000"/>
          <w:position w:val="0"/>
          <w:sz w:val="20"/>
          <w:u w:val="none"/>
          <w:vertAlign w:val="baseline"/>
        </w:rPr>
        <w:t> [*56698] </w:t>
      </w:r>
      <w:r>
        <w:rPr>
          <w:rFonts w:ascii="arial" w:eastAsia="arial" w:hAnsi="arial" w:cs="arial"/>
          <w:b w:val="0"/>
          <w:i w:val="0"/>
          <w:strike w:val="0"/>
          <w:noProof w:val="0"/>
          <w:color w:val="000000"/>
          <w:position w:val="0"/>
          <w:sz w:val="20"/>
          <w:u w:val="none"/>
          <w:vertAlign w:val="baseline"/>
        </w:rPr>
        <w:t xml:space="preserve"> Section 7A(g) of the Clayton Act, </w:t>
      </w:r>
      <w:hyperlink r:id="rId9" w:history="1">
        <w:r>
          <w:rPr>
            <w:rFonts w:ascii="arial" w:eastAsia="arial" w:hAnsi="arial" w:cs="arial"/>
            <w:b w:val="0"/>
            <w:i/>
            <w:strike w:val="0"/>
            <w:noProof w:val="0"/>
            <w:color w:val="0077CC"/>
            <w:position w:val="0"/>
            <w:sz w:val="20"/>
            <w:u w:val="single"/>
            <w:vertAlign w:val="baseline"/>
          </w:rPr>
          <w:t>15 U.S.C. §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xml:space="preserve"> and over the Defendant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 Caledonia is a public limited company organized under the laws of the United Kingdom with its principal office and place of business at Cayzer House, 30 Buckingham Gate, London, UK SW1E6NN. Caledonia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 18a(a)(1)</w:t>
        </w:r>
      </w:hyperlink>
      <w:r>
        <w:rPr>
          <w:rFonts w:ascii="arial" w:eastAsia="arial" w:hAnsi="arial" w:cs="arial"/>
          <w:b w:val="0"/>
          <w:i w:val="0"/>
          <w:strike w:val="0"/>
          <w:noProof w:val="0"/>
          <w:color w:val="000000"/>
          <w:position w:val="0"/>
          <w:sz w:val="20"/>
          <w:u w:val="none"/>
          <w:vertAlign w:val="baseline"/>
        </w:rPr>
        <w:t>. At all times relevant to this complaint, Caledonia had sales or assets in excess of $ 141.8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Bristow is a corporation organized under the laws of Delaware with its principal place of business at 2103 City West Boulevard, Houston, TX 77042. Bristow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 18a(a)(1)</w:t>
        </w:r>
      </w:hyperlink>
      <w:r>
        <w:rPr>
          <w:rFonts w:ascii="arial" w:eastAsia="arial" w:hAnsi="arial" w:cs="arial"/>
          <w:b w:val="0"/>
          <w:i w:val="0"/>
          <w:strike w:val="0"/>
          <w:noProof w:val="0"/>
          <w:color w:val="000000"/>
          <w:position w:val="0"/>
          <w:sz w:val="20"/>
          <w:u w:val="none"/>
          <w:vertAlign w:val="baseline"/>
        </w:rPr>
        <w:t>. At all times relevant to this complaint, Bristow had sales or assets in excess of $ 14.2 million. Bristow was formerly named Offshore Logistics, Inc. ("Offshore Logistics").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HART-SCOTT-RODINO ACT AND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 18a(a)</w:t>
        </w:r>
      </w:hyperlink>
      <w:r>
        <w:rPr>
          <w:rFonts w:ascii="arial" w:eastAsia="arial" w:hAnsi="arial" w:cs="arial"/>
          <w:b w:val="0"/>
          <w:i w:val="0"/>
          <w:strike w:val="0"/>
          <w:noProof w:val="0"/>
          <w:color w:val="000000"/>
          <w:position w:val="0"/>
          <w:sz w:val="20"/>
          <w:u w:val="none"/>
          <w:vertAlign w:val="baseline"/>
        </w:rPr>
        <w:t xml:space="preserve"> and (b). These notification and waiting period requirements apply to acquisitions that meet the HSR Act's thresholds, which are adjusted annually. During the period of 2014 pertinent to this complaint, the HSR Act's reporting and waiting period requirements applied to most transactions that would result in the acquiring person holding more than $ 50 million, as adjusted (at the time $ 70.9 million), if certain sales and asset thresholds were met, and all transactions (regardless of the size of the acquiring or acquired persons) where the acquiring person would hold more than $ 200 million, as adjusted (at the time $ 283.6 million), of the acquired person's voting securities and/or assets, except for certain exempted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HSR Act's notification and waiting period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obtain effective preliminary relief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Pursuant to Section (d)(2) of the HSR Act, </w:t>
      </w:r>
      <w:hyperlink r:id="rId9" w:history="1">
        <w:r>
          <w:rPr>
            <w:rFonts w:ascii="arial" w:eastAsia="arial" w:hAnsi="arial" w:cs="arial"/>
            <w:b w:val="0"/>
            <w:i/>
            <w:strike w:val="0"/>
            <w:noProof w:val="0"/>
            <w:color w:val="0077CC"/>
            <w:position w:val="0"/>
            <w:sz w:val="20"/>
            <w:u w:val="single"/>
            <w:vertAlign w:val="baseline"/>
          </w:rPr>
          <w:t>15 U.S.C. § 18a(d)(2)</w:t>
        </w:r>
      </w:hyperlink>
      <w:r>
        <w:rPr>
          <w:rFonts w:ascii="arial" w:eastAsia="arial" w:hAnsi="arial" w:cs="arial"/>
          <w:b w:val="0"/>
          <w:i w:val="0"/>
          <w:strike w:val="0"/>
          <w:noProof w:val="0"/>
          <w:color w:val="000000"/>
          <w:position w:val="0"/>
          <w:sz w:val="20"/>
          <w:u w:val="none"/>
          <w:vertAlign w:val="baseline"/>
        </w:rPr>
        <w:t>, rules were promulgated to carry out the purposes of the HSR Act. 16 C.F.R. §§ 801-803 ("HSR Rules"). The HSR Rules, among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Pursuant to section 801.13(a)(1) of the HSR Rules, </w:t>
      </w:r>
      <w:hyperlink r:id="rId16" w:history="1">
        <w:r>
          <w:rPr>
            <w:rFonts w:ascii="arial" w:eastAsia="arial" w:hAnsi="arial" w:cs="arial"/>
            <w:b w:val="0"/>
            <w:i/>
            <w:strike w:val="0"/>
            <w:noProof w:val="0"/>
            <w:color w:val="0077CC"/>
            <w:position w:val="0"/>
            <w:sz w:val="20"/>
            <w:u w:val="single"/>
            <w:vertAlign w:val="baseline"/>
          </w:rPr>
          <w:t>16 C.F.R. §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Pursuant to sections 801.13(a)(2) and 801.10(c)(1) of the HSR Rules, </w:t>
      </w:r>
      <w:hyperlink r:id="rId16" w:history="1">
        <w:r>
          <w:rPr>
            <w:rFonts w:ascii="arial" w:eastAsia="arial" w:hAnsi="arial" w:cs="arial"/>
            <w:b w:val="0"/>
            <w:i/>
            <w:strike w:val="0"/>
            <w:noProof w:val="0"/>
            <w:color w:val="0077CC"/>
            <w:position w:val="0"/>
            <w:sz w:val="20"/>
            <w:u w:val="single"/>
            <w:vertAlign w:val="baseline"/>
          </w:rPr>
          <w:t>16 C.F.R. § 801.13(a)(2)</w:t>
        </w:r>
      </w:hyperlink>
      <w:r>
        <w:rPr>
          <w:rFonts w:ascii="arial" w:eastAsia="arial" w:hAnsi="arial" w:cs="arial"/>
          <w:b w:val="0"/>
          <w:i w:val="0"/>
          <w:strike w:val="0"/>
          <w:noProof w:val="0"/>
          <w:color w:val="000000"/>
          <w:position w:val="0"/>
          <w:sz w:val="20"/>
          <w:u w:val="none"/>
          <w:vertAlign w:val="baseline"/>
        </w:rPr>
        <w:t xml:space="preserve"> and. § 801.10(c)(1), the value of publicly traded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Section 802.9 of the HSR Rules, </w:t>
      </w:r>
      <w:hyperlink r:id="rId17" w:history="1">
        <w:r>
          <w:rPr>
            <w:rFonts w:ascii="arial" w:eastAsia="arial" w:hAnsi="arial" w:cs="arial"/>
            <w:b w:val="0"/>
            <w:i/>
            <w:strike w:val="0"/>
            <w:noProof w:val="0"/>
            <w:color w:val="0077CC"/>
            <w:position w:val="0"/>
            <w:sz w:val="20"/>
            <w:u w:val="single"/>
            <w:vertAlign w:val="baseline"/>
          </w:rPr>
          <w:t>16 C.F.R. § 802.9</w:t>
        </w:r>
      </w:hyperlink>
      <w:r>
        <w:rPr>
          <w:rFonts w:ascii="arial" w:eastAsia="arial" w:hAnsi="arial" w:cs="arial"/>
          <w:b w:val="0"/>
          <w:i w:val="0"/>
          <w:strike w:val="0"/>
          <w:noProof w:val="0"/>
          <w:color w:val="000000"/>
          <w:position w:val="0"/>
          <w:sz w:val="20"/>
          <w:u w:val="none"/>
          <w:vertAlign w:val="baseline"/>
        </w:rPr>
        <w:t>, provides that acquisitions solely for the purpose of investment are exempt from the notification and waiting period requirements if the acquirer will hold ten percent or less of the issuer's voting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Section 801.1(i)(1) of the HSR Rules, </w:t>
      </w:r>
      <w:hyperlink r:id="rId18" w:history="1">
        <w:r>
          <w:rPr>
            <w:rFonts w:ascii="arial" w:eastAsia="arial" w:hAnsi="arial" w:cs="arial"/>
            <w:b w:val="0"/>
            <w:i/>
            <w:strike w:val="0"/>
            <w:noProof w:val="0"/>
            <w:color w:val="0077CC"/>
            <w:position w:val="0"/>
            <w:sz w:val="20"/>
            <w:u w:val="single"/>
            <w:vertAlign w:val="baseline"/>
          </w:rPr>
          <w:t>16 C.F.R. § 801.1(i)(1)</w:t>
        </w:r>
      </w:hyperlink>
      <w:r>
        <w:rPr>
          <w:rFonts w:ascii="arial" w:eastAsia="arial" w:hAnsi="arial" w:cs="arial"/>
          <w:b w:val="0"/>
          <w:i w:val="0"/>
          <w:strike w:val="0"/>
          <w:noProof w:val="0"/>
          <w:color w:val="000000"/>
          <w:position w:val="0"/>
          <w:sz w:val="20"/>
          <w:u w:val="none"/>
          <w:vertAlign w:val="baseline"/>
        </w:rPr>
        <w:t>, defines the term "solely for the purpose of investment"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securities are held or acquired "solely for the purpose of investment" if the person holding or acquiring such voting securities has no intention of participating in the formulation, determination, or direction of the basic business decisions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Section 802.21(a) of the HSR Rules, </w:t>
      </w:r>
      <w:hyperlink r:id="rId19" w:history="1">
        <w:r>
          <w:rPr>
            <w:rFonts w:ascii="arial" w:eastAsia="arial" w:hAnsi="arial" w:cs="arial"/>
            <w:b w:val="0"/>
            <w:i/>
            <w:strike w:val="0"/>
            <w:noProof w:val="0"/>
            <w:color w:val="0077CC"/>
            <w:position w:val="0"/>
            <w:sz w:val="20"/>
            <w:u w:val="single"/>
            <w:vertAlign w:val="baseline"/>
          </w:rPr>
          <w:t>16 C.F.R. § 802.21(a)</w:t>
        </w:r>
      </w:hyperlink>
      <w:r>
        <w:rPr>
          <w:rFonts w:ascii="arial" w:eastAsia="arial" w:hAnsi="arial" w:cs="arial"/>
          <w:b w:val="0"/>
          <w:i w:val="0"/>
          <w:strike w:val="0"/>
          <w:noProof w:val="0"/>
          <w:color w:val="000000"/>
          <w:position w:val="0"/>
          <w:sz w:val="20"/>
          <w:u w:val="none"/>
          <w:vertAlign w:val="baseline"/>
        </w:rPr>
        <w:t>, provides generally that a person who files and observes the waiting period before crossing a filing threshold may, within five years of the expiration of the waiting period, acquire additional voting securities of the issuer that do not cross a higher threshold, so long as the person does not acquire control of the issuer. For example, a person who files and observes the waiting period before crossing the $ 50 million threshold, as adjusted, may, assuming the person does not acquire control, acquire additional voting securities of the issuer up to the next threshold, which is $ 100 million, as adjusted. The acquiring person must file again, however, before it can cross the next higher threshold, $ 500 million, as adjusted, or before the person acquires control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Section 7A(g)(1) of the Clayton Act, </w:t>
      </w:r>
      <w:hyperlink r:id="rId9" w:history="1">
        <w:r>
          <w:rPr>
            <w:rFonts w:ascii="arial" w:eastAsia="arial" w:hAnsi="arial" w:cs="arial"/>
            <w:b w:val="0"/>
            <w:i/>
            <w:strike w:val="0"/>
            <w:noProof w:val="0"/>
            <w:color w:val="0077CC"/>
            <w:position w:val="0"/>
            <w:sz w:val="20"/>
            <w:u w:val="single"/>
            <w:vertAlign w:val="baseline"/>
          </w:rPr>
          <w:t>15 U.S.C. § 18a(g)(1)</w:t>
        </w:r>
      </w:hyperlink>
      <w:r>
        <w:rPr>
          <w:rFonts w:ascii="arial" w:eastAsia="arial" w:hAnsi="arial" w:cs="arial"/>
          <w:b w:val="0"/>
          <w:i w:val="0"/>
          <w:strike w:val="0"/>
          <w:noProof w:val="0"/>
          <w:color w:val="000000"/>
          <w:position w:val="0"/>
          <w:sz w:val="20"/>
          <w:u w:val="none"/>
          <w:vertAlign w:val="baseline"/>
        </w:rPr>
        <w:t xml:space="preserve">, provides that any person, or any officer, director, or partner thereof, who fails to comply with any provision of the HSR Act is liable to the United States for a maximum civil penalty of $ 10,000 for each day during which such person is in violation. Pursuant to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20" w:history="1">
        <w:r>
          <w:rPr>
            <w:rFonts w:ascii="arial" w:eastAsia="arial" w:hAnsi="arial" w:cs="arial"/>
            <w:b w:val="0"/>
            <w:i/>
            <w:strike w:val="0"/>
            <w:noProof w:val="0"/>
            <w:color w:val="0077CC"/>
            <w:position w:val="0"/>
            <w:sz w:val="20"/>
            <w:u w:val="single"/>
            <w:vertAlign w:val="baseline"/>
          </w:rPr>
          <w:t>28 U.S.C. §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1" w:history="1">
        <w:r>
          <w:rPr>
            <w:rFonts w:ascii="arial" w:eastAsia="arial" w:hAnsi="arial" w:cs="arial"/>
            <w:b w:val="0"/>
            <w:i/>
            <w:strike w:val="0"/>
            <w:noProof w:val="0"/>
            <w:color w:val="0077CC"/>
            <w:position w:val="0"/>
            <w:sz w:val="20"/>
            <w:u w:val="single"/>
            <w:vertAlign w:val="baseline"/>
          </w:rPr>
          <w:t>16 C.F.R. § 1.98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74 Fed. Reg. 857</w:t>
        </w:r>
      </w:hyperlink>
      <w:r>
        <w:rPr>
          <w:rFonts w:ascii="arial" w:eastAsia="arial" w:hAnsi="arial" w:cs="arial"/>
          <w:b w:val="0"/>
          <w:i w:val="0"/>
          <w:strike w:val="0"/>
          <w:noProof w:val="0"/>
          <w:color w:val="000000"/>
          <w:position w:val="0"/>
          <w:sz w:val="20"/>
          <w:u w:val="none"/>
          <w:vertAlign w:val="baseline"/>
        </w:rPr>
        <w:t xml:space="preserve"> (Jan. 9, 2009), the maximum amount of civil penalty was increased to $ 16,000 per day. Pursuant to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21" w:history="1">
        <w:r>
          <w:rPr>
            <w:rFonts w:ascii="arial" w:eastAsia="arial" w:hAnsi="arial" w:cs="arial"/>
            <w:b w:val="0"/>
            <w:i/>
            <w:strike w:val="0"/>
            <w:noProof w:val="0"/>
            <w:color w:val="0077CC"/>
            <w:position w:val="0"/>
            <w:sz w:val="20"/>
            <w:u w:val="single"/>
            <w:vertAlign w:val="baseline"/>
          </w:rPr>
          <w:t>16 C.F.R. §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Fed. Reg. 42,476</w:t>
        </w:r>
      </w:hyperlink>
      <w:r>
        <w:rPr>
          <w:rFonts w:ascii="arial" w:eastAsia="arial" w:hAnsi="arial" w:cs="arial"/>
          <w:b w:val="0"/>
          <w:i w:val="0"/>
          <w:strike w:val="0"/>
          <w:noProof w:val="0"/>
          <w:color w:val="000000"/>
          <w:position w:val="0"/>
          <w:sz w:val="20"/>
          <w:u w:val="none"/>
          <w:vertAlign w:val="baseline"/>
        </w:rPr>
        <w:t xml:space="preserve"> (June 30, 2016), the maximum amount of civil penalty was increased to $ 40,000 per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 PRIOR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December 19, 1996, Caledonia acquired 1,300,000 shares of voting securities of Offshore Logistics in a transaction negotiated with Offshore Logistics. As a result of that transaction, Caledonia held approximately six percent of the voting securities of Offshore Logistics, valued at approximately $ 19.8 million. The transaction gave Caledonia the right to appoint two people to the board of Offshore Logistics. Shortly after December 19, 1996, Caledonia named two of its employees to the board of Offshore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At the time of the December 19, 1996, transaction, the relevant size of the transaction was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Caledonia could not rely on the exemption for acquisitions solely for the purpose of investment because it intended to, and did, exercise its rights </w:t>
      </w:r>
      <w:r>
        <w:rPr>
          <w:rFonts w:ascii="arial" w:eastAsia="arial" w:hAnsi="arial" w:cs="arial"/>
          <w:b/>
          <w:i w:val="0"/>
          <w:strike w:val="0"/>
          <w:noProof w:val="0"/>
          <w:color w:val="000000"/>
          <w:position w:val="0"/>
          <w:sz w:val="20"/>
          <w:u w:val="none"/>
          <w:vertAlign w:val="baseline"/>
        </w:rPr>
        <w:t> [*56699] </w:t>
      </w:r>
      <w:r>
        <w:rPr>
          <w:rFonts w:ascii="arial" w:eastAsia="arial" w:hAnsi="arial" w:cs="arial"/>
          <w:b w:val="0"/>
          <w:i w:val="0"/>
          <w:strike w:val="0"/>
          <w:noProof w:val="0"/>
          <w:color w:val="000000"/>
          <w:position w:val="0"/>
          <w:sz w:val="20"/>
          <w:u w:val="none"/>
          <w:vertAlign w:val="baseline"/>
        </w:rPr>
        <w:t xml:space="preserve"> to appoint two members to Offshore Logistics'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Although it was required to do so, Caledonia did not file under the HSR Act prior to acquiring Offshore Logistics voting securities on December 19,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On June 3, 1997, Caledonia made a corrective filing under the HSR Act for the December 19, 1996, acquisition of Offshore Logistics voting securities. In a letter accompanying the corrective filing, Caledonia acknowledged that the transaction was reportable under the HSR Act, but asserted that the failure to file and observe the waiting period was inadvertent. The United States and the Federal Trade Commission did not initiate an enforcement action against Caledonia for this violation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On June 5, 2008, Caledonia filed to acquire voting securities of Bristow valued in excess of $ 50 million, as adjusted. The waiting period on this filing expired on June 13,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Pursuant to Section 802.21(a) of the HSR Rules, </w:t>
      </w:r>
      <w:hyperlink r:id="rId19" w:history="1">
        <w:r>
          <w:rPr>
            <w:rFonts w:ascii="arial" w:eastAsia="arial" w:hAnsi="arial" w:cs="arial"/>
            <w:b w:val="0"/>
            <w:i/>
            <w:strike w:val="0"/>
            <w:noProof w:val="0"/>
            <w:color w:val="0077CC"/>
            <w:position w:val="0"/>
            <w:sz w:val="20"/>
            <w:u w:val="single"/>
            <w:vertAlign w:val="baseline"/>
          </w:rPr>
          <w:t>16 C.F.R. § 802.21(a)</w:t>
        </w:r>
      </w:hyperlink>
      <w:r>
        <w:rPr>
          <w:rFonts w:ascii="arial" w:eastAsia="arial" w:hAnsi="arial" w:cs="arial"/>
          <w:b w:val="0"/>
          <w:i w:val="0"/>
          <w:strike w:val="0"/>
          <w:noProof w:val="0"/>
          <w:color w:val="000000"/>
          <w:position w:val="0"/>
          <w:sz w:val="20"/>
          <w:u w:val="none"/>
          <w:vertAlign w:val="baseline"/>
        </w:rPr>
        <w:t>, Caledonia could acquire additional voting securities of Bristow without filing under HSR for a period of five years, as long as its holdings did not exceed the $ 100 million threshold, as adjusted ($ 141.8 million as of February 3, 2014). That five-year period ended on June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On February 3, 2014, Caledonia acquired 3,650 shares of Bristow voting securities as the result of vesting of restricted stock units. Because this acquisition occurred later than five years after the expiration of the waiting period of the previous filing, the HSR Rules required Caledonia to again file a notice prior to crossing the $ 50 million threshold, as adjusted ($ 70.9 million as of February 3, 2014). The voting securities that Caledonia held as a result of this acquisition from Bristow were valued at approximately $ 111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Although it was required to do so, Caledonia did not file under the HSR Act prior to acquiring Bristow voting securities on February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More than a year later, on February 4, 2015, Caledonia made a corrective filing under the HSR Act for the Bristow voting securities it had acquired on February 3, 2014. The HSR waiting period expired on March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Caledonia was in continuous violation of the HSR Act from February 3, 2014, when it acquired the Bristow voting securities that resulted in it holding Bristow voting securities valued in excess of the HSR Act's $ 50 million size-of-transaction threshold, as adjusted, through March 6, 2015, when the waiting period expired.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and decree that Defendant Caledonia's acquisition of Bristow voting securities on February 3, 2014, was a violation of the HSR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and that Defendant Caledonia was in violation of the HSR Act each day from February 3, 2014, through March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That the Court order Defendant Caledonia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20" w:history="1">
        <w:r>
          <w:rPr>
            <w:rFonts w:ascii="arial" w:eastAsia="arial" w:hAnsi="arial" w:cs="arial"/>
            <w:b w:val="0"/>
            <w:i/>
            <w:strike w:val="0"/>
            <w:noProof w:val="0"/>
            <w:color w:val="0077CC"/>
            <w:position w:val="0"/>
            <w:sz w:val="20"/>
            <w:u w:val="single"/>
            <w:vertAlign w:val="baseline"/>
          </w:rPr>
          <w:t>28 U.S.C. §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1" w:history="1">
        <w:r>
          <w:rPr>
            <w:rFonts w:ascii="arial" w:eastAsia="arial" w:hAnsi="arial" w:cs="arial"/>
            <w:b w:val="0"/>
            <w:i/>
            <w:strike w:val="0"/>
            <w:noProof w:val="0"/>
            <w:color w:val="0077CC"/>
            <w:position w:val="0"/>
            <w:sz w:val="20"/>
            <w:u w:val="single"/>
            <w:vertAlign w:val="baseline"/>
          </w:rPr>
          <w:t>16 C.F.R. § 1.98</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74 Fed. Reg.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21"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Fed. Reg. 42,476</w:t>
        </w:r>
      </w:hyperlink>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order such other and further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award the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08/10/2016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Attorney General,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933721,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Roberta S. Baruch,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269266,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326-2694.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Caledonia Investments PLC</w:t>
      </w:r>
      <w:r>
        <w:rPr>
          <w:rFonts w:ascii="arial" w:eastAsia="arial" w:hAnsi="arial" w:cs="arial"/>
          <w:b w:val="0"/>
          <w:i w:val="0"/>
          <w:strike w:val="0"/>
          <w:noProof w:val="0"/>
          <w:color w:val="000000"/>
          <w:position w:val="0"/>
          <w:sz w:val="20"/>
          <w:u w:val="none"/>
          <w:vertAlign w:val="baseline"/>
        </w:rPr>
        <w:t>,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Christopher R.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08/10/2016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10, 2016, the United States filed a Complaint against Defendant Caledonia Investments PLC ("Caledonia"), related to Caledonia's acquisition of voting securities of Bristow Group, Inc. ("Bristow") in February 2014. The Complaint alleges that Caledonia violated Section 7A of the Clayton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provides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w:t>
      </w:r>
      <w:hyperlink r:id="rId9" w:history="1">
        <w:r>
          <w:rPr>
            <w:rFonts w:ascii="arial" w:eastAsia="arial" w:hAnsi="arial" w:cs="arial"/>
            <w:b w:val="0"/>
            <w:i/>
            <w:strike w:val="0"/>
            <w:noProof w:val="0"/>
            <w:color w:val="0077CC"/>
            <w:position w:val="0"/>
            <w:sz w:val="20"/>
            <w:u w:val="single"/>
            <w:vertAlign w:val="baseline"/>
          </w:rPr>
          <w:t>15 U.S.C. § 18a(a)</w:t>
        </w:r>
      </w:hyperlink>
      <w:r>
        <w:rPr>
          <w:rFonts w:ascii="arial" w:eastAsia="arial" w:hAnsi="arial" w:cs="arial"/>
          <w:b w:val="0"/>
          <w:i w:val="0"/>
          <w:strike w:val="0"/>
          <w:noProof w:val="0"/>
          <w:color w:val="000000"/>
          <w:position w:val="0"/>
          <w:sz w:val="20"/>
          <w:u w:val="none"/>
          <w:vertAlign w:val="baseline"/>
        </w:rPr>
        <w:t xml:space="preserve">. A key purpose of the notification and waiting period is to protect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potentially anticompetitive transactions by providing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Caledonia acquired voting securities of Bristow in excess of the statutory threshold ($ 70.9 million at the time of acquisition) without making the required pre-acquisition HSR filings with the agencies and without observing the waiting period, and that Caledonia and Bristow each met the statutory size of person threshold (Caledonia and Bristow had sales or assets in excess of $ 141.8 million and $ 14.2 million, respectively, at the time of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in the present action, the United States also filed a Stipulation and proposed Final Judgment that eliminates the need for a trial in this case. The proposed Final Judgment is designed to deter Caledonia from engaging in future HSR Act violations. </w:t>
      </w:r>
      <w:r>
        <w:rPr>
          <w:rFonts w:ascii="arial" w:eastAsia="arial" w:hAnsi="arial" w:cs="arial"/>
          <w:b/>
          <w:i w:val="0"/>
          <w:strike w:val="0"/>
          <w:noProof w:val="0"/>
          <w:color w:val="000000"/>
          <w:position w:val="0"/>
          <w:sz w:val="20"/>
          <w:u w:val="none"/>
          <w:vertAlign w:val="baseline"/>
        </w:rPr>
        <w:t> [*56700] </w:t>
      </w:r>
      <w:r>
        <w:rPr>
          <w:rFonts w:ascii="arial" w:eastAsia="arial" w:hAnsi="arial" w:cs="arial"/>
          <w:b w:val="0"/>
          <w:i w:val="0"/>
          <w:strike w:val="0"/>
          <w:noProof w:val="0"/>
          <w:color w:val="000000"/>
          <w:position w:val="0"/>
          <w:sz w:val="20"/>
          <w:u w:val="none"/>
          <w:vertAlign w:val="baseline"/>
        </w:rPr>
        <w:t xml:space="preserve"> Under the proposed Final Judgment, Caledonia must pay a civil penalty to the United States in the amount of $ 480,000.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Caledonia and the 2008 and 2014 Acquisitions of Bristow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Caledonia is a public limited company organized under the laws of the United Kingdom and headquartered in London. Caledonia has sales or assets in excess of $ 141.8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Bristow is a Delaware corporation headquartered in Houston, Texas. Bristow provides helicopter services to the offshore energy industry and has sales or assets in excess of $ 14.2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5, 2008, Caledonia filed an HSR notification in connection with its acquisition of Bristow voting securities valued in excess of $ 50 million, as adjusted. The waiting period on this HSR filing expired on June 13, 2008. Pursuant to Section 802.21(a) of the HSR Rules, </w:t>
      </w:r>
      <w:hyperlink r:id="rId19" w:history="1">
        <w:r>
          <w:rPr>
            <w:rFonts w:ascii="arial" w:eastAsia="arial" w:hAnsi="arial" w:cs="arial"/>
            <w:b w:val="0"/>
            <w:i/>
            <w:strike w:val="0"/>
            <w:noProof w:val="0"/>
            <w:color w:val="0077CC"/>
            <w:position w:val="0"/>
            <w:sz w:val="20"/>
            <w:u w:val="single"/>
            <w:vertAlign w:val="baseline"/>
          </w:rPr>
          <w:t>16 C.F.R. § 802.21(a)</w:t>
        </w:r>
      </w:hyperlink>
      <w:r>
        <w:rPr>
          <w:rFonts w:ascii="arial" w:eastAsia="arial" w:hAnsi="arial" w:cs="arial"/>
          <w:b w:val="0"/>
          <w:i w:val="0"/>
          <w:strike w:val="0"/>
          <w:noProof w:val="0"/>
          <w:color w:val="000000"/>
          <w:position w:val="0"/>
          <w:sz w:val="20"/>
          <w:u w:val="none"/>
          <w:vertAlign w:val="baseline"/>
        </w:rPr>
        <w:t>, Caledonia could acquire additional voting securities of Bristow without making another HSR filing for five years, or until June 13, 2013, as long as its holdings of Bristow securities did not exceed the $ 100 million HSR Act threshold, as adjusted.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Caledonia's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on February 3, 2014, after the five-year window had elapsed, Caledonia acquired 3,650 additional shares of Bristow voting securities as the result of the vesting of restricted stock units. Following the vesting of these restricted stock units, Caledonia's voting securities of Bristow were valued at approximately $ 111 million, an amount in excess of the then-effective HSR Act $ 70.9 million size-of-transaction threshold. Accordingly, Caledonia was required to make an HSR filing and wait until the expiration of the waiting period before consummating the acquisition. Caledonia did not do so, however, incorrectly believing that its 2008 HSR filing enabled it to acquire additional shares of Bristow without making a new HSR filing. Caledonia's failure to comply with the HSR Act denied the agencies the opportunity to review Caledonia's acquisition of Bristow securities before it was consummated and thereby undermined the statutory scheme and the purpose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Caledonia made a corrective filing on February 4, 2015, shortly after learning of its obligation to file. Caledonia's February 4, 2015, corrective filing included a letter acknowledging that the acquisitions were reportable under the HSR Act. The waiting period expired on March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further alleges that Caledonia previously violated the HSR Act's notification requirements when it acquired shares in Offshore Logistics, Inc. ("OLOG") in 1996, as Bristow was then named. On December 19, 1996, Caledonia acquired 1.3 million shares of OLOG voting securities through a transaction in which Caledonia also gained the right to name two persons to the OLOG board. Caledonia named two of its employees to the board of OLOG, and therefore could not rely on the HSR Act exemption for acquisitions made solely for the purpose of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 18a(c)(9)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16 C.F.R. § 801.1(i)(1)</w:t>
        </w:r>
      </w:hyperlink>
      <w:r>
        <w:rPr>
          <w:rFonts w:ascii="arial" w:eastAsia="arial" w:hAnsi="arial" w:cs="arial"/>
          <w:b w:val="0"/>
          <w:i w:val="0"/>
          <w:strike w:val="0"/>
          <w:noProof w:val="0"/>
          <w:color w:val="000000"/>
          <w:position w:val="0"/>
          <w:sz w:val="20"/>
          <w:u w:val="none"/>
          <w:vertAlign w:val="baseline"/>
        </w:rPr>
        <w:t>. Pursuant to the HSR Act, Caledonia was required to make a pre-acquisition notification filing prior to its acquisition of OLOG voting securities, but it failed to do so. On June 3, 1997, Caledonia made a corrective filing for this acquisition. In a letter accompanying the corrective filing, Caledonia acknowledged that the acquisition of OLOG voting securities was reportable under the HSR Act, but asserted that the failure to file and observe the waiting period was inadvertent. Caledonia also asserted that it "will do its utmost to ensure that it submits all required filings under the Act in the future." The United States did not file suit against Caledonia in connection with this earlier violation of the HSR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$ 480,000 civil penalty designed to deter the Defendant and others from violating the HSR Act. The United States adjusted the civil penalty downward from the maximum permitted under the HSR Act because the violation was inadvertent, the Defendant promptly self-reported the violation after discovery, and the Defendant is willing to resolve the matter by consent decree and avoid prolonged investigation and litigation. The decision to seek a penalty also reflects Defendant's previous violation of the HSR Act.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will help ensure that the agencies will be properly notified of future acquisitions, in accordance with the law.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by this Court after compliance with the provisions of the APPA, provided that the United States has not withdrawn its consent. The APPA conditions entry of the decree upon this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this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CC-8416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DC 20580 </w:t>
      </w:r>
      <w:r>
        <w:rPr>
          <w:rFonts w:ascii="arial" w:eastAsia="arial" w:hAnsi="arial" w:cs="arial"/>
          <w:b/>
          <w:i w:val="0"/>
          <w:strike w:val="0"/>
          <w:noProof w:val="0"/>
          <w:color w:val="000000"/>
          <w:position w:val="0"/>
          <w:sz w:val="20"/>
          <w:u w:val="none"/>
          <w:vertAlign w:val="baseline"/>
        </w:rPr>
        <w:t> [*56701]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dducore@ftc.gov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pursuing a full trial on the merits against the Defendant. The United States is satisfied, however, that the proposed relief is an appropriate remedy in this matter. Given the facts of this case, including the Defendant's immediate self-reporting of the violation and willingness to promptly settle this matter, the United States is satisfied that the proposed civil penalty is sufficient to address the violation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16(e)(1)(A) &amp; (B). In considering these statutory factors, the court's inquiry is necessarily a limited one, as the government is entitled to "broad discretion to settle with the defendant within the reaches of the public interest." </w:t>
      </w:r>
      <w:hyperlink r:id="rId24"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6"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7"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an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8"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9"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1"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8"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3"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[*56702]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4"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4"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5"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6"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also </w:t>
      </w:r>
      <w:hyperlink r:id="rId34"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5"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August 10, 2016 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Caledonia Investments PLC,</w:t>
      </w:r>
      <w:r>
        <w:rPr>
          <w:rFonts w:ascii="arial" w:eastAsia="arial" w:hAnsi="arial" w:cs="arial"/>
          <w:b w:val="0"/>
          <w:i w:val="0"/>
          <w:strike w:val="0"/>
          <w:noProof w:val="0"/>
          <w:color w:val="000000"/>
          <w:position w:val="0"/>
          <w:sz w:val="20"/>
          <w:u w:val="none"/>
          <w:vertAlign w:val="baseline"/>
        </w:rPr>
        <w:t xml:space="preserv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Christopher R.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08/10/2016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having commenced this action by filing its Complaint herein for violation of Section 7A of the Clayton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Plaintiff and Defendant Caledonia Investments plc, by their respective attorneys, having consented to the entry of this Final Judgment without trial or adjudication of any issue of fact or law herein, and without this Final Judgment constituting any evidence against or an admission by the Defendant with respect to any such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the taking of any testimony and without trial or adjudication of any issue of fact or law herein, and upon the consent of the parties hereto, it is hereby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Ordered, Adjudged, and Decreed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of the subject matter of this action and of the Plaintiff and the Defendant. The Complaint states a claim upon which relief can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United States of America and against Defendant,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20" w:history="1">
        <w:r>
          <w:rPr>
            <w:rFonts w:ascii="arial" w:eastAsia="arial" w:hAnsi="arial" w:cs="arial"/>
            <w:b w:val="0"/>
            <w:i/>
            <w:strike w:val="0"/>
            <w:noProof w:val="0"/>
            <w:color w:val="0077CC"/>
            <w:position w:val="0"/>
            <w:sz w:val="20"/>
            <w:u w:val="single"/>
            <w:vertAlign w:val="baseline"/>
          </w:rPr>
          <w:t>28 U.S.C. § 2461</w:t>
        </w:r>
      </w:hyperlink>
      <w:r>
        <w:rPr>
          <w:rFonts w:ascii="arial" w:eastAsia="arial" w:hAnsi="arial" w:cs="arial"/>
          <w:b w:val="0"/>
          <w:i w:val="0"/>
          <w:strike w:val="0"/>
          <w:noProof w:val="0"/>
          <w:color w:val="000000"/>
          <w:position w:val="0"/>
          <w:sz w:val="20"/>
          <w:u w:val="none"/>
          <w:vertAlign w:val="baseline"/>
        </w:rPr>
        <w:t xml:space="preserve">), and Federal Trade Commission Rule 1.98, </w:t>
      </w:r>
      <w:hyperlink r:id="rId21" w:history="1">
        <w:r>
          <w:rPr>
            <w:rFonts w:ascii="arial" w:eastAsia="arial" w:hAnsi="arial" w:cs="arial"/>
            <w:b w:val="0"/>
            <w:i/>
            <w:strike w:val="0"/>
            <w:noProof w:val="0"/>
            <w:color w:val="0077CC"/>
            <w:position w:val="0"/>
            <w:sz w:val="20"/>
            <w:u w:val="single"/>
            <w:vertAlign w:val="baseline"/>
          </w:rPr>
          <w:t>16 C.F.R. § 1.98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61 Fed. Reg. 54549</w:t>
        </w:r>
      </w:hyperlink>
      <w:r>
        <w:rPr>
          <w:rFonts w:ascii="arial" w:eastAsia="arial" w:hAnsi="arial" w:cs="arial"/>
          <w:b w:val="0"/>
          <w:i w:val="0"/>
          <w:strike w:val="0"/>
          <w:noProof w:val="0"/>
          <w:color w:val="000000"/>
          <w:position w:val="0"/>
          <w:sz w:val="20"/>
          <w:u w:val="none"/>
          <w:vertAlign w:val="baseline"/>
        </w:rPr>
        <w:t xml:space="preserve"> (Oct. 21, 1996), and </w:t>
      </w:r>
      <w:hyperlink r:id="rId22" w:history="1">
        <w:r>
          <w:rPr>
            <w:rFonts w:ascii="arial" w:eastAsia="arial" w:hAnsi="arial" w:cs="arial"/>
            <w:b w:val="0"/>
            <w:i/>
            <w:strike w:val="0"/>
            <w:noProof w:val="0"/>
            <w:color w:val="0077CC"/>
            <w:position w:val="0"/>
            <w:sz w:val="20"/>
            <w:u w:val="single"/>
            <w:vertAlign w:val="baseline"/>
          </w:rPr>
          <w:t>74 Fed. Reg. 857</w:t>
        </w:r>
      </w:hyperlink>
      <w:r>
        <w:rPr>
          <w:rFonts w:ascii="arial" w:eastAsia="arial" w:hAnsi="arial" w:cs="arial"/>
          <w:b w:val="0"/>
          <w:i w:val="0"/>
          <w:strike w:val="0"/>
          <w:noProof w:val="0"/>
          <w:color w:val="000000"/>
          <w:position w:val="0"/>
          <w:sz w:val="20"/>
          <w:u w:val="none"/>
          <w:vertAlign w:val="baseline"/>
        </w:rPr>
        <w:t xml:space="preserve"> (Jan. 9, 2009), and the Federal Civil Penalties Inflation Adjustment Act Improvements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 701 (further amending the Federal Civil Penalties Inflation Adjustment Act of 1990), and Federal Trade Commission Rule 1.98, </w:t>
      </w:r>
      <w:hyperlink r:id="rId21"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81 Fed. Reg. 42,476</w:t>
        </w:r>
      </w:hyperlink>
      <w:r>
        <w:rPr>
          <w:rFonts w:ascii="arial" w:eastAsia="arial" w:hAnsi="arial" w:cs="arial"/>
          <w:b w:val="0"/>
          <w:i w:val="0"/>
          <w:strike w:val="0"/>
          <w:noProof w:val="0"/>
          <w:color w:val="000000"/>
          <w:position w:val="0"/>
          <w:sz w:val="20"/>
          <w:u w:val="none"/>
          <w:vertAlign w:val="baseline"/>
        </w:rPr>
        <w:t xml:space="preserve"> (June 30, 2016), Defendant Caledonia Investments plc is hereby ordered to pay a civil penalty in the amount of four hundred eighty thousand dollars ($ 480,000). Payment of the civil penalty ordered hereby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Janie Ingalls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the default or delay to the date of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party shall bear its own costs of this action. </w:t>
      </w:r>
      <w:r>
        <w:rPr>
          <w:rFonts w:ascii="arial" w:eastAsia="arial" w:hAnsi="arial" w:cs="arial"/>
          <w:b/>
          <w:i w:val="0"/>
          <w:strike w:val="0"/>
          <w:noProof w:val="0"/>
          <w:color w:val="000000"/>
          <w:position w:val="0"/>
          <w:sz w:val="20"/>
          <w:u w:val="none"/>
          <w:vertAlign w:val="baseline"/>
        </w:rPr>
        <w:t> [*56703]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2016-19988 Filed 8-19-16;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56697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HYR-92P0-008G-Y1FB-00000-00&amp;context=" TargetMode="External" /><Relationship Id="rId17" Type="http://schemas.openxmlformats.org/officeDocument/2006/relationships/hyperlink" Target="https://advance.lexis.com/api/document?collection=administrative-codes&amp;id=urn:contentItem:5HYR-92P0-008G-Y1F1-00000-00&amp;context=" TargetMode="External" /><Relationship Id="rId18" Type="http://schemas.openxmlformats.org/officeDocument/2006/relationships/hyperlink" Target="https://advance.lexis.com/api/document?collection=administrative-codes&amp;id=urn:contentItem:5SV3-PDK0-008G-Y4FD-00000-00&amp;context=" TargetMode="External" /><Relationship Id="rId19" Type="http://schemas.openxmlformats.org/officeDocument/2006/relationships/hyperlink" Target="https://advance.lexis.com/api/document?collection=administrative-codes&amp;id=urn:contentItem:5HYR-92S0-008G-Y28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01-NRF4-44H2-00000-00&amp;context=" TargetMode="External" /><Relationship Id="rId21" Type="http://schemas.openxmlformats.org/officeDocument/2006/relationships/hyperlink" Target="https://advance.lexis.com/api/document?collection=administrative-codes&amp;id=urn:contentItem:5RHV-NCN0-008G-Y05S-00000-00&amp;context=" TargetMode="External" /><Relationship Id="rId22" Type="http://schemas.openxmlformats.org/officeDocument/2006/relationships/hyperlink" Target="https://advance.lexis.com/api/document?collection=administrative-codes&amp;id=urn:contentItem:4VBD-9H80-006W-810N-00000-00&amp;context=" TargetMode="External" /><Relationship Id="rId23" Type="http://schemas.openxmlformats.org/officeDocument/2006/relationships/hyperlink" Target="https://advance.lexis.com/api/document?collection=administrative-codes&amp;id=urn:contentItem:5K4B-C540-006W-81KV-00000-00&amp;context=" TargetMode="External" /><Relationship Id="rId24" Type="http://schemas.openxmlformats.org/officeDocument/2006/relationships/hyperlink" Target="https://advance.lexis.com/api/document?collection=cases&amp;id=urn:contentItem:3RTP-83N0-001T-D0C7-00000-00&amp;context=" TargetMode="External" /><Relationship Id="rId25" Type="http://schemas.openxmlformats.org/officeDocument/2006/relationships/hyperlink" Target="https://advance.lexis.com/api/document?collection=cases&amp;id=urn:contentItem:4NCK-65B0-TVT3-D3DR-00000-00&amp;context=" TargetMode="External" /><Relationship Id="rId26" Type="http://schemas.openxmlformats.org/officeDocument/2006/relationships/hyperlink" Target="https://advance.lexis.com/api/document?collection=cases&amp;id=urn:contentItem:5C2F-7GX1-F04C-Y0FY-00000-00&amp;context=" TargetMode="External" /><Relationship Id="rId27" Type="http://schemas.openxmlformats.org/officeDocument/2006/relationships/hyperlink" Target="https://advance.lexis.com/api/document?collection=cases&amp;id=urn:contentItem:4X85-40M0-TXFP-H385-00000-00&amp;context=" TargetMode="External" /><Relationship Id="rId28" Type="http://schemas.openxmlformats.org/officeDocument/2006/relationships/hyperlink" Target="https://advance.lexis.com/api/document?collection=cases&amp;id=urn:contentItem:3S4W-Y8S0-001B-K1MJ-00000-00&amp;context=" TargetMode="External" /><Relationship Id="rId29" Type="http://schemas.openxmlformats.org/officeDocument/2006/relationships/hyperlink" Target="https://advance.lexis.com/api/document?collection=cases&amp;id=urn:contentItem:3S4X-16H0-0039-W1P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4N5-9DK0-0038-Y4CW-00000-00&amp;context=" TargetMode="External" /><Relationship Id="rId31" Type="http://schemas.openxmlformats.org/officeDocument/2006/relationships/hyperlink" Target="https://advance.lexis.com/api/document?collection=cases&amp;id=urn:contentItem:494T-VD60-0038-Y0P1-00000-00&amp;context=" TargetMode="External" /><Relationship Id="rId32" Type="http://schemas.openxmlformats.org/officeDocument/2006/relationships/hyperlink" Target="https://advance.lexis.com/api/document?collection=cases&amp;id=urn:contentItem:3S4V-KH30-0054-6289-00000-00&amp;context=" TargetMode="External" /><Relationship Id="rId33" Type="http://schemas.openxmlformats.org/officeDocument/2006/relationships/hyperlink" Target="https://advance.lexis.com/api/document?collection=cases&amp;id=urn:contentItem:3S4X-53H0-003B-S0M5-00000-00&amp;context=" TargetMode="External" /><Relationship Id="rId34" Type="http://schemas.openxmlformats.org/officeDocument/2006/relationships/hyperlink" Target="https://advance.lexis.com/api/document?collection=cases&amp;id=urn:contentItem:40T2-X8J0-0038-Y2SJ-00000-00&amp;context=" TargetMode="External" /><Relationship Id="rId35" Type="http://schemas.openxmlformats.org/officeDocument/2006/relationships/hyperlink" Target="https://advance.lexis.com/api/document?collection=cases&amp;id=urn:contentItem:3S4N-V3J0-0054-72HT-00000-00&amp;context=" TargetMode="External" /><Relationship Id="rId36" Type="http://schemas.openxmlformats.org/officeDocument/2006/relationships/hyperlink" Target="https://advance.lexis.com/api/document?collection=administrative-codes&amp;id=urn:contentItem:3SHB-Y7B0-006W-91X8-00000-00&amp;context="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HN-4K20-006W-8252-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24880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