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57617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163, Tuesday, August 23,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57617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August 23,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United States of America v. Charter Communications, Inc., et al.; Public Comment and Response on Proposed Final Judgment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the United States hereby publishes below the comment received on the proposed Final Judgment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Charter Communications, Inc., et al.,</w:t>
      </w:r>
      <w:r>
        <w:rPr>
          <w:rFonts w:ascii="arial" w:eastAsia="arial" w:hAnsi="arial" w:cs="arial"/>
          <w:b w:val="0"/>
          <w:i w:val="0"/>
          <w:strike w:val="0"/>
          <w:noProof w:val="0"/>
          <w:color w:val="000000"/>
          <w:position w:val="0"/>
          <w:sz w:val="20"/>
          <w:u w:val="none"/>
          <w:vertAlign w:val="baseline"/>
        </w:rPr>
        <w:t xml:space="preserve"> Civil Action No. 1:16-cv-00759, together with the Response of the United States to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comment and the United States' Response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9"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Charter Communications, Inc., Time Warner Cable Inc, Advance/Newhouse Partnership, and Bright House Networks, LLC,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1:16-cv-00759 (RCL)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RESPONSE OF PLANTIFF UNITED STATES TO PUBLIC COMMENT ON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("APPA" or "Tunney Act"), the United States hereby files the single public comment received concerning the proposed Final Judgment in this case and the United States's response to the comment. After careful consideration of the submitted comment, the United States continues to believe that the proposed Final Judgment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The United States will move the Court for entry of the proposed Final Judgment after the public comment and this Response have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pursuant to </w:t>
      </w:r>
      <w:hyperlink r:id="rId8" w:history="1">
        <w:r>
          <w:rPr>
            <w:rFonts w:ascii="arial" w:eastAsia="arial" w:hAnsi="arial" w:cs="arial"/>
            <w:b w:val="0"/>
            <w:i/>
            <w:strike w:val="0"/>
            <w:noProof w:val="0"/>
            <w:color w:val="0077CC"/>
            <w:position w:val="0"/>
            <w:sz w:val="20"/>
            <w:u w:val="single"/>
            <w:vertAlign w:val="baseline"/>
          </w:rPr>
          <w:t>15 U.S.C. 16(d)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PROCEDURAL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23, 2015, Charter Communications, Inc. ("Charter") and Time Warner Cable, Inc. ("TWC"), two of the largest cable companies in the United States, agreed to merge in a deal valued at over $ 78 billion. In addition, Charter and Advance/Newhouse Partnership, which owns Bright House Networks, LLC ("BHN"), announced that Charter would acquire BHN for $ 10.4 billion, conditional on the sale of TWC to Charter. On April 25, 2015,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seeking to enjoin Charter from acquiring TWC and BHN. The United States alleged in the Complaint that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numerous local markets for the timely distribution of professional, full-length video programming to residential customers ("video programming distribution") throughout the United States in violation of Section 7 of the Clayton Act, </w:t>
      </w:r>
      <w:hyperlink r:id="rId10"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Simultaneously with the filing of the Complaint, the United States filed a proposed Final Judgment that would settle the case. On May 10, 2016, the United States filed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("CIS") that explains how the proposed Final Judgment is designed to remedy the likely anticompetitive effects of the proposed acquisition. As required by the Tunney Act, the United States published the proposed Final Judgment and CIS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81 FR 30550.</w:t>
        </w:r>
      </w:hyperlink>
      <w:r>
        <w:rPr>
          <w:rFonts w:ascii="arial" w:eastAsia="arial" w:hAnsi="arial" w:cs="arial"/>
          <w:b w:val="0"/>
          <w:i w:val="0"/>
          <w:strike w:val="0"/>
          <w:noProof w:val="0"/>
          <w:color w:val="000000"/>
          <w:position w:val="0"/>
          <w:sz w:val="20"/>
          <w:u w:val="none"/>
          <w:vertAlign w:val="baseline"/>
        </w:rPr>
        <w:t xml:space="preserve"> In addition, the United States ensured that a summary of the terms of the proposed Final Judgment and CIS, together with directions for the submission of written comments, were published in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for seven days from May 13 through 19, 2016. The 60-day period for public comments ended on July 18, 2016. The United States received one comment, which is described below and attached as Exhibit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INVESTIGATION AND THE PROPOSED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is the culmination of more than ten months of investigation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United States Department of Justice ("Department"). The Department opened an investigation soon after the transactions were announced, and conducted a comprehensive review of the potential implications of the transactions. The Department interviewed dozens of companies and individuals involved in the industry, obtained deposition testimony, required Defendants to provide the Department with extensive data and responses to numerous interrogatories, and collected millions of business documents from the Defendants and relevant third parties. The Department also consulted extensively with the Federal Communications Commission, which was conducting a separate statutory review of the acquisitions, to ensure that the agencies conducted their reviews in a coordinated and complementary fashion and created remedies that were both comprehensive and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Charter, TWC, and BHN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offer residential services in the same local geographic areas, the Department's investigation found that the proposed acquisitions were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they would increase Charter's incentive and ability to use its bargaining leverage to make it more difficult for online video distributors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particular, the Department alleged in its Complaint that the merger would give Charter greater incentive and ability to use restrictive clauses in its contracts with video programmers to prevent online video distributors from obtaining important video programming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is designed to address the anticompetitive </w:t>
      </w:r>
      <w:r>
        <w:rPr>
          <w:rFonts w:ascii="arial" w:eastAsia="arial" w:hAnsi="arial" w:cs="arial"/>
          <w:b/>
          <w:i w:val="0"/>
          <w:strike w:val="0"/>
          <w:noProof w:val="0"/>
          <w:color w:val="000000"/>
          <w:position w:val="0"/>
          <w:sz w:val="20"/>
          <w:u w:val="none"/>
          <w:vertAlign w:val="baseline"/>
        </w:rPr>
        <w:t> [*57618] </w:t>
      </w:r>
      <w:r>
        <w:rPr>
          <w:rFonts w:ascii="arial" w:eastAsia="arial" w:hAnsi="arial" w:cs="arial"/>
          <w:b w:val="0"/>
          <w:i w:val="0"/>
          <w:strike w:val="0"/>
          <w:noProof w:val="0"/>
          <w:color w:val="000000"/>
          <w:position w:val="0"/>
          <w:sz w:val="20"/>
          <w:u w:val="none"/>
          <w:vertAlign w:val="baseline"/>
        </w:rPr>
        <w:t xml:space="preserve"> effects identified in the Complaint by prohibiting Charter from entering into or enforcing certain restrictive contract provisions that may be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Charter is prohibited from retaliating against video programmers for licensing content to online providers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Charter. Charter is also required to provide certain regular reports to the Department, so that the Department can monitor whether a separate remedy imposed by the Federal Communications Commission is successfully preventing Charter from using its bargaining leverage over internet interconnection to harm online video providers.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STANDARD OF JUDICIAL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Tunney Act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60-day public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In considering these statutory factors, the court's inquiry is necessarily a limited one as the government is entitled to "broad discretion to settle with the defendant within the reaches of the public interest." </w:t>
      </w:r>
      <w:hyperlink r:id="rId12"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3" w:history="1">
        <w:r>
          <w:rPr>
            <w:rFonts w:ascii="arial" w:eastAsia="arial" w:hAnsi="arial" w:cs="arial"/>
            <w:b w:val="0"/>
            <w:i/>
            <w:strike w:val="0"/>
            <w:noProof w:val="0"/>
            <w:color w:val="0077CC"/>
            <w:position w:val="0"/>
            <w:sz w:val="20"/>
            <w:u w:val="single"/>
            <w:vertAlign w:val="baseline"/>
          </w:rPr>
          <w:t>United States v. SBC Commc'ns, Inc., 489 F. Supp. 2d 1, 10-11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InBev N.V./S.A.,</w:t>
      </w:r>
      <w:r>
        <w:rPr>
          <w:rFonts w:ascii="arial" w:eastAsia="arial" w:hAnsi="arial" w:cs="arial"/>
          <w:b w:val="0"/>
          <w:i w:val="0"/>
          <w:strike w:val="0"/>
          <w:noProof w:val="0"/>
          <w:color w:val="000000"/>
          <w:position w:val="0"/>
          <w:sz w:val="20"/>
          <w:u w:val="none"/>
          <w:vertAlign w:val="baseline"/>
        </w:rPr>
        <w:t xml:space="preserve"> No. 08-cv-1965 (JR), </w:t>
      </w:r>
      <w:hyperlink r:id="rId14" w:history="1">
        <w:r>
          <w:rPr>
            <w:rFonts w:ascii="arial" w:eastAsia="arial" w:hAnsi="arial" w:cs="arial"/>
            <w:b w:val="0"/>
            <w:i/>
            <w:strike w:val="0"/>
            <w:noProof w:val="0"/>
            <w:color w:val="0077CC"/>
            <w:position w:val="0"/>
            <w:sz w:val="20"/>
            <w:u w:val="single"/>
            <w:vertAlign w:val="baseline"/>
          </w:rPr>
          <w:t>2009 U.S. Dist. LEXIS 84787,</w:t>
        </w:r>
      </w:hyperlink>
      <w:r>
        <w:rPr>
          <w:rFonts w:ascii="arial" w:eastAsia="arial" w:hAnsi="arial" w:cs="arial"/>
          <w:b w:val="0"/>
          <w:i w:val="0"/>
          <w:strike w:val="0"/>
          <w:noProof w:val="0"/>
          <w:color w:val="000000"/>
          <w:position w:val="0"/>
          <w:sz w:val="20"/>
          <w:u w:val="none"/>
          <w:vertAlign w:val="baseline"/>
        </w:rPr>
        <w:t xml:space="preserve"> at *3 (D.D.C. Aug. 11, 2009) (discussing nature of review of consent judgment under the Tunney Act; inquiry is limited 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mechanisms to enforce the final judgment are clear and manageable").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APPA, a court considers, among other things, the relationship between the remedy secured and the specific allegations set forth in the Complaint, whether the decree is sufficiently clear, whether the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15"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Instead,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in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a proposed settlement is in the public interest, "the court must accord deference to the government's predictions about the efficacy of its remedies.' " </w:t>
      </w:r>
      <w:hyperlink r:id="rId17" w:history="1">
        <w:r>
          <w:rPr>
            <w:rFonts w:ascii="arial" w:eastAsia="arial" w:hAnsi="arial" w:cs="arial"/>
            <w:b w:val="0"/>
            <w:i/>
            <w:strike w:val="0"/>
            <w:noProof w:val="0"/>
            <w:color w:val="0077CC"/>
            <w:position w:val="0"/>
            <w:sz w:val="20"/>
            <w:u w:val="single"/>
            <w:vertAlign w:val="baseline"/>
          </w:rPr>
          <w:t>United States v. U.S. Airways Grp., Inc., 38 F. Supp. 3d 69, 76 (D.D.C. 2014)</w:t>
        </w:r>
      </w:hyperlink>
      <w:r>
        <w:rPr>
          <w:rFonts w:ascii="arial" w:eastAsia="arial" w:hAnsi="arial" w:cs="arial"/>
          <w:b w:val="0"/>
          <w:i w:val="0"/>
          <w:strike w:val="0"/>
          <w:noProof w:val="0"/>
          <w:color w:val="000000"/>
          <w:position w:val="0"/>
          <w:sz w:val="20"/>
          <w:u w:val="none"/>
          <w:vertAlign w:val="baseline"/>
        </w:rPr>
        <w:t xml:space="preserve"> (quoting </w:t>
      </w:r>
      <w:hyperlink r:id="rId18" w:history="1">
        <w:r>
          <w:rPr>
            <w:rFonts w:ascii="arial" w:eastAsia="arial" w:hAnsi="arial" w:cs="arial"/>
            <w:b w:val="0"/>
            <w:i/>
            <w:strike w:val="0"/>
            <w:noProof w:val="0"/>
            <w:color w:val="0077CC"/>
            <w:position w:val="0"/>
            <w:sz w:val="20"/>
            <w:u w:val="single"/>
            <w:vertAlign w:val="baseline"/>
          </w:rPr>
          <w:t>SBC Commc'ns, 489 F. Supp.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that the government is entitled to deference as to its "predictions as to the effect of the proposed remedies"); </w:t>
      </w:r>
      <w:hyperlink r:id="rId19"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the proposed remedies, its perception of the market structure, and its views of the nature of the case"); </w:t>
      </w:r>
      <w:hyperlink r:id="rId20" w:history="1">
        <w:r>
          <w:rPr>
            <w:rFonts w:ascii="arial" w:eastAsia="arial" w:hAnsi="arial" w:cs="arial"/>
            <w:b w:val="0"/>
            <w:i/>
            <w:strike w:val="0"/>
            <w:noProof w:val="0"/>
            <w:color w:val="0077CC"/>
            <w:position w:val="0"/>
            <w:sz w:val="20"/>
            <w:u w:val="single"/>
            <w:vertAlign w:val="baseline"/>
          </w:rPr>
          <w:t>United States v. Morgan Stanley, 881 F. Supp. 2d 563, 567-68 (S.D.N.Y. 2012)</w:t>
        </w:r>
      </w:hyperlink>
      <w:r>
        <w:rPr>
          <w:rFonts w:ascii="arial" w:eastAsia="arial" w:hAnsi="arial" w:cs="arial"/>
          <w:b w:val="0"/>
          <w:i w:val="0"/>
          <w:strike w:val="0"/>
          <w:noProof w:val="0"/>
          <w:color w:val="000000"/>
          <w:position w:val="0"/>
          <w:sz w:val="20"/>
          <w:u w:val="none"/>
          <w:vertAlign w:val="baseline"/>
        </w:rPr>
        <w:t xml:space="preserve"> (explaining that the government is entitled to deference in choice of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"may not require that the remedies perfectly match the alleged violations." </w:t>
      </w:r>
      <w:hyperlink r:id="rId13"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Rather, the ultimate question is whether "the remedies [obtained in the decree are] so inconsonant with the allegations charged as to fall outside of the reaches of the public interest.' " </w:t>
      </w:r>
      <w:hyperlink r:id="rId1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Accordingly, the United States "need only provide a factual basis for concluding that the settlements are reasonably adequate remedies for the alleged harms." </w:t>
      </w:r>
      <w:hyperlink r:id="rId13"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United States v. Apple, Inc. 889 F. Supp. 2d 623, 631 (S.D.N.Y. 2012).</w:t>
        </w:r>
      </w:hyperlink>
      <w:r>
        <w:rPr>
          <w:rFonts w:ascii="arial" w:eastAsia="arial" w:hAnsi="arial" w:cs="arial"/>
          <w:b w:val="0"/>
          <w:i w:val="0"/>
          <w:strike w:val="0"/>
          <w:noProof w:val="0"/>
          <w:color w:val="000000"/>
          <w:position w:val="0"/>
          <w:sz w:val="20"/>
          <w:u w:val="none"/>
          <w:vertAlign w:val="baseline"/>
        </w:rPr>
        <w:t xml:space="preserve"> And, a "proposed decree must be approved even if it falls short of the remedy the court would impose on its own, as long as it falls within the range of acceptability or is within the reaches of the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and internal quotations omitted);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to the Tunney Act, n1 Congress made clear its intent to preserve the practical benefits of using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The procedure for the public interest determination is left to the discretion of the court, with the recognition that the court's "scope of review remains sharply proscribed by precedent and the nature of the Tunney Act proceedings." </w:t>
      </w:r>
      <w:hyperlink r:id="rId13"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17"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3"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 </w:t>
      </w:r>
      <w:r>
        <w:rPr>
          <w:rFonts w:ascii="arial" w:eastAsia="arial" w:hAnsi="arial" w:cs="arial"/>
          <w:b/>
          <w:i w:val="0"/>
          <w:strike w:val="0"/>
          <w:noProof w:val="0"/>
          <w:color w:val="000000"/>
          <w:position w:val="0"/>
          <w:sz w:val="20"/>
          <w:u w:val="none"/>
          <w:vertAlign w:val="baseline"/>
        </w:rPr>
        <w:t> [*57619]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Public Comment and Response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60-day comment period, the United States received one comment from Amy R. Bloomfield, a Charter customer in North Carolina. Ms. Bloomfield generally describes her poor experience as a Charter customer. Ms. Bloomfield opposes the merger because "Time Warner [Cable] is a decent company; Charter is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appreciates receiving Ms. Bloomfield's comment. Over the course of its ten-month investigation, the United States carefully considered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Charter's proposed acquisitions of TWC and BHN, including any possible effects on customer service. As a result of its investigation, the United States concluded that these acquisitions were likely to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insofar as they increased the incentive and ability of Charter to foreclose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nascent online video providers. Therefore, the Department's Complaint only addressed that issue. It is well-settled that comments, such as Ms. Bloomfield's comment, that are unrelated to the concerns identified in the complaint are beyond the scope of this Court's Tunney Act review. </w:t>
      </w:r>
      <w:r>
        <w:rPr>
          <w:rFonts w:ascii="arial" w:eastAsia="arial" w:hAnsi="arial" w:cs="arial"/>
          <w:b w:val="0"/>
          <w:i/>
          <w:strike w:val="0"/>
          <w:noProof w:val="0"/>
          <w:color w:val="000000"/>
          <w:position w:val="0"/>
          <w:sz w:val="20"/>
          <w:u w:val="none"/>
          <w:vertAlign w:val="baseline"/>
        </w:rPr>
        <w:t xml:space="preserve">See, e.g., </w:t>
      </w:r>
      <w:hyperlink r:id="rId13" w:history="1">
        <w:r>
          <w:rPr>
            <w:rFonts w:ascii="arial" w:eastAsia="arial" w:hAnsi="arial" w:cs="arial"/>
            <w:b w:val="0"/>
            <w:i/>
            <w:strike w:val="0"/>
            <w:noProof w:val="0"/>
            <w:color w:val="0077CC"/>
            <w:position w:val="0"/>
            <w:sz w:val="20"/>
            <w:u w:val="single"/>
            <w:vertAlign w:val="baseline"/>
          </w:rPr>
          <w:t>SBC Commc'ns, 489 F. Supp. 2d at 14</w:t>
        </w:r>
      </w:hyperlink>
      <w:r>
        <w:rPr>
          <w:rFonts w:ascii="arial" w:eastAsia="arial" w:hAnsi="arial" w:cs="arial"/>
          <w:b w:val="0"/>
          <w:i w:val="0"/>
          <w:strike w:val="0"/>
          <w:noProof w:val="0"/>
          <w:color w:val="000000"/>
          <w:position w:val="0"/>
          <w:sz w:val="20"/>
          <w:u w:val="none"/>
          <w:vertAlign w:val="baseline"/>
        </w:rPr>
        <w:t xml:space="preserve"> (holding that "a district court is not permitted to reach beyond the complaint to evaluate claims that the government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make and to inquire as to why they were not made' ") (quoting </w:t>
      </w:r>
      <w:hyperlink r:id="rId12"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Accordingly, Ms. Bloomfield's comment does not provide a basis for rejecting the proposed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public comment, the United States continues to believe that the proposed Final Judgment, as drafted,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and is therefore in the public interest. The United States will move this Court to enter the proposed Final Judgment after the comment and this response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Lepore,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7000, Washington, DC 20530, Tel.: (202) 532-4928, Email: </w:t>
      </w:r>
      <w:hyperlink r:id="rId23" w:history="1">
        <w:r>
          <w:rPr>
            <w:rFonts w:ascii="arial" w:eastAsia="arial" w:hAnsi="arial" w:cs="arial"/>
            <w:b w:val="0"/>
            <w:i/>
            <w:strike w:val="0"/>
            <w:noProof w:val="0"/>
            <w:color w:val="0077CC"/>
            <w:position w:val="0"/>
            <w:sz w:val="20"/>
            <w:u w:val="single"/>
            <w:vertAlign w:val="baseline"/>
          </w:rPr>
          <w:t>robert.lepore@usdoj.gov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P </w:t>
      </w:r>
      <w:r>
        <w:rPr>
          <w:rFonts w:ascii="arial" w:eastAsia="arial" w:hAnsi="arial" w:cs="arial"/>
          <w:b/>
          <w:i w:val="0"/>
          <w:strike w:val="0"/>
          <w:noProof w:val="0"/>
          <w:color w:val="000000"/>
          <w:position w:val="0"/>
          <w:sz w:val="20"/>
          <w:u w:val="none"/>
          <w:vertAlign w:val="baseline"/>
        </w:rPr>
        <w:t> [*57620]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541.58pt">
            <v:imagedata r:id="rId2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2016-20066 Filed 8-22-16;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C</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57617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T1-NRF4-426N-00000-00&amp;context=" TargetMode="External" /><Relationship Id="rId11" Type="http://schemas.openxmlformats.org/officeDocument/2006/relationships/hyperlink" Target="https://advance.lexis.com/api/document?collection=administrative-codes&amp;id=urn:contentItem:5JSY-P7C0-006W-823S-00000-00&amp;context=" TargetMode="External" /><Relationship Id="rId12" Type="http://schemas.openxmlformats.org/officeDocument/2006/relationships/hyperlink" Target="https://advance.lexis.com/api/document?collection=cases&amp;id=urn:contentItem:3RTP-83N0-001T-D0C7-00000-00&amp;context=" TargetMode="External" /><Relationship Id="rId13" Type="http://schemas.openxmlformats.org/officeDocument/2006/relationships/hyperlink" Target="https://advance.lexis.com/api/document?collection=cases&amp;id=urn:contentItem:4NCK-65B0-TVT3-D3DR-00000-00&amp;context=" TargetMode="External" /><Relationship Id="rId14" Type="http://schemas.openxmlformats.org/officeDocument/2006/relationships/hyperlink" Target="https://advance.lexis.com/api/document?collection=cases&amp;id=urn:contentItem:4X85-40M0-TXFP-H385-00000-00&amp;context=" TargetMode="External" /><Relationship Id="rId15" Type="http://schemas.openxmlformats.org/officeDocument/2006/relationships/hyperlink" Target="https://advance.lexis.com/api/document?collection=cases&amp;id=urn:contentItem:3S4W-Y8S0-001B-K1MJ-00000-00&amp;context=" TargetMode="External" /><Relationship Id="rId16" Type="http://schemas.openxmlformats.org/officeDocument/2006/relationships/hyperlink" Target="https://advance.lexis.com/api/document?collection=cases&amp;id=urn:contentItem:3S4X-16H0-0039-W1PJ-00000-00&amp;context=" TargetMode="External" /><Relationship Id="rId17" Type="http://schemas.openxmlformats.org/officeDocument/2006/relationships/hyperlink" Target="https://advance.lexis.com/api/document?collection=cases&amp;id=urn:contentItem:5C2F-7GX1-F04C-Y0FY-00000-00&amp;context=" TargetMode="External" /><Relationship Id="rId18" Type="http://schemas.openxmlformats.org/officeDocument/2006/relationships/hyperlink" Target="https://advance.lexis.com/api/document?collection=cases&amp;id=urn:contentItem:3S4N-8G40-0054-71HT-00000-00&amp;context=" TargetMode="External" /><Relationship Id="rId19" Type="http://schemas.openxmlformats.org/officeDocument/2006/relationships/hyperlink" Target="https://advance.lexis.com/api/document?collection=cases&amp;id=urn:contentItem:494T-VD60-0038-Y0P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6B6-VBN1-F04F-0433-00000-00&amp;context=" TargetMode="External" /><Relationship Id="rId21" Type="http://schemas.openxmlformats.org/officeDocument/2006/relationships/hyperlink" Target="https://advance.lexis.com/api/document?collection=cases&amp;id=urn:contentItem:56HF-7M51-F04F-00W0-00000-00&amp;context=" TargetMode="External" /><Relationship Id="rId22" Type="http://schemas.openxmlformats.org/officeDocument/2006/relationships/hyperlink" Target="https://advance.lexis.com/api/document?collection=cases&amp;id=urn:contentItem:40T2-X8J0-0038-Y2SJ-00000-00&amp;context=" TargetMode="External" /><Relationship Id="rId23" Type="http://schemas.openxmlformats.org/officeDocument/2006/relationships/hyperlink" Target="mailto:robert.lepore@usdoj.gov" TargetMode="External" /><Relationship Id="rId24" Type="http://schemas.openxmlformats.org/officeDocument/2006/relationships/image" Target="media/image1.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HW-7PM0-006W-82H1-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www.justice.gov/at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32692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71339219</vt:lpwstr>
  </property>
  <property fmtid="{D5CDD505-2E9C-101B-9397-08002B2CF9AE}" pid="3" name="LADocCount">
    <vt:lpwstr>1</vt:lpwstr>
  </property>
  <property fmtid="{D5CDD505-2E9C-101B-9397-08002B2CF9AE}" pid="4" name="UserPermID">
    <vt:lpwstr>urn:user:PA185916758</vt:lpwstr>
  </property>
</Properties>
</file>