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63206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178, Wednesday, September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63206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Nexstar Broadcasting Group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Nexstar Broadcasting Group, Inc.,</w:t>
      </w:r>
      <w:r>
        <w:rPr>
          <w:rFonts w:ascii="arial" w:eastAsia="arial" w:hAnsi="arial" w:cs="arial"/>
          <w:b w:val="0"/>
          <w:i w:val="0"/>
          <w:strike w:val="0"/>
          <w:noProof w:val="0"/>
          <w:color w:val="000000"/>
          <w:position w:val="0"/>
          <w:sz w:val="20"/>
          <w:u w:val="none"/>
          <w:vertAlign w:val="baseline"/>
        </w:rPr>
        <w:t xml:space="preserve"> Civil Action No. 1:16-cv-01772 (JDB). On September 2, 2016, the United States filed a Complaint alleging that Nexstar Broadcasting Group, Inc.'s acquisition of Media General, Inc.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on the same day as the Complaint, resolves the case by requiring Nexstar to divest certain broadcast television stations in Green Bay-Appleton, Wisconsin; Roanoke-Lynchburg, Virginia; Lafayette, Louisiana; Terre Haute, Indiana; Ft. Wayne, Indiana; and Davenport, Iowa/Rock Island-Moline, Illinois.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filed by the United States describes the Complaint, the proposed Final Judgment, and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Owen Kendler, Asst. Chief, Litigation III,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Washington, DC 20530, (telephone: 202-305-8376).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7000,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Nexstar Broadcasting Group, Inc., 545 E. John Carpenter Freeway, Suite 700, Irving, TX 75062,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Media General, Inc., 333 E. Franklin Street, Richmond, VA 23219</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John D. 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09/02/2016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acting under the direction of the Attorney General of the United States, brings this civil action to enjoin the acquisition by Nexstar Broadcasting Group, Inc. ("Nexstar") of Media General, Inc. ("Media General") (collectively, "Defendants"), and to obtain other equitable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Pursuant to an Agreement and Plan of Merger dated January 27, 2016, Nexstar agreed to acquire Media General for approximately $ 4.6 billion. Nexstar and Media General own and operate broadcast television stations in multiple Designated Market Areas ("DMAs") throughout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Nexstar's and Media General's television stations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for the business of local and national companies that seek to advertise on broadcast television stations operating in the following DMAs: Roanoke-Lynchburg, Virginia; Terre Haute, Indiana; Ft. Wayne, Indiana; Green Bay-Appleton, Wisconsin; Lafayette, Louisiana; and Davenport, Iowa/Rock Island-Moline, Illinois ("Quad Cities") (collectively, the "DMA Markets"). In each of these six DMAs, Nexstar and Media General together account for a substantial share of the broadcast television station advertising revenues in that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Specifically, the Defendants operate three stations that account for approximately 41 percent of broadcast television station gross advertising revenues in the Roanoke-Lynchburg, Virginia DMA; three stations that account for approximately 100 percent of broadcast television station gross advertising revenues in the Terre Haute, Indiana DMA; three stations that account for approximately 51 percent of broadcast television station gross advertising revenues in the Ft. Wayne, Indiana DMA; two stations that account for approximately 51 percent of broadcast television station gross advertising revenues in the Green Bay-Appleton, Wisconsin DMA; three stations that account for approximately 53 percent of broadcast television station gross advertising revenues in the Lafayette, Louisiana DMA; and three stations that account for approximately 56 percent of broadcast television station gross advertising revenues in the Quad Cities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Nexstar and Media General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license programming to multichannel video programming distributors ("MVPDs") for retransmission to MVPD subscribers and each operate at least one station affiliated with a major broadcast network in each of the DMA Markets. Because MVPDs in each DMA Market retransmit the Defendants' programming to MVPD subscribers in those markets, Nexstar and Media General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viewers who are MVPD subscribers. </w:t>
      </w:r>
      <w:r>
        <w:rPr>
          <w:rFonts w:ascii="arial" w:eastAsia="arial" w:hAnsi="arial" w:cs="arial"/>
          <w:b/>
          <w:i w:val="0"/>
          <w:strike w:val="0"/>
          <w:noProof w:val="0"/>
          <w:color w:val="000000"/>
          <w:position w:val="0"/>
          <w:sz w:val="20"/>
          <w:u w:val="none"/>
          <w:vertAlign w:val="baseline"/>
        </w:rPr>
        <w:t> [*63207]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If consummated, the proposed acquisition would eliminate the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currently exists between Nexstar and Media General and likely result in (1) higher prices for broadcast television spot advertising in each of the DMA Markets; and (2) higher licensing fees for the retransmission of broadcast television programming to MVPD subscribers in each of the DMA Markets. Consequently, Defendants' proposed transaction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those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Nexstar and Media General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Nexstar and Media General are engaged in interstate commerce and in activities substantially affecting interstate commerce. They each own and operate broadcast television stations in various locations throughout the United States. They each sell television advertising for those stations and license programming to MVPDs for retransmission to MVPD subscribers. Their television advertising sales and retransmission licenses have a substantial effect upon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Defendants have consented to venue and personal jurisdiction in this District. Therefore, venue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Nexstar is a Delaware corporation with its headquarters in Irving, Texas. Nexstar reported net operating revenues of over $ 890 million in 2015. Nexstar owns, operates, or services broadcast television stations in 62 metropolitan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Media General is a Virginia corporation with its headquarters in Richmond, Virginia. Media General reported net operating revenues of over $ 1.3 billion in 2015. Media General owns, operates, or services broadcast television stations in 48 metropolitan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relevant product and geographic markets and lines of commerce and sections of the country for assessing this merger under Section 7 of the Clayton Act are (1) the sale of broadcast television spot advertising to advertisers targeting viewers in each of the DMA Markets and (2) the licensing of broadcast television programming to MVPDs that retransmit the programming to subscribers in each of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 DMA is a geographic unit for which A.C. Nielsen Company--a firm that surveys television viewers--furnishes broadcast television stations, MVPDs, cable and satellite television networks, advertisers, and advertising agencies in a particular area with data to aid in evaluating audience size and composition. DMAs are widely accepted by television stations, MVPDs, cable and satellite television networks, advertisers, and advertising agencies as the standard geographic area to use in evaluating television audience size and demographic composition. The Federal Communications Commission ("FCC") also uses DMAs as geographic units with respect to its MVPD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Nexstar and Media General sell television advertising to local and national advertisers in each of the DMA Markets. Nexstar's and Media General's television stations in each of the DMA Markets generate a significant amount of revenues by selling advertising to local and national advertisers who want to reach viewers in those markets. Spot advertising placed on television stations in a DMA is aimed at reaching viewing audiences in that DMA, and television stations broadcasting outside that DMA do not provide effective access to those audiences. For this reason, in the event of a small but significant increase in broadcast television advertising spot prices in a DMA Market, advertisers would not switch enough advertising purchases to television stations outside the DMA Market to render the price increase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Spot advertising differs from network and syndicated television advertising. In contrast to spot advertising sales, television networks and producers of syndicated programs sell network and syndicated television advertising on a nationwide basis for broadcast in every market where the network or syndicated program is 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Broadcast television stations attract viewers through their programming, which is delivered for free over the air or retransmitted to viewers, primarily through MVPDs. Broadcast television stations then sell advertising to businesses that want to advertise their products to television viewers. A television station's advertising rates typically are based on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television stations, to attract viewing audiences that have certain demographic characteristics that advertisers want to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Broadcast television spot advertising possesses a unique combination of attributes that set it apart from advertising using other types of media. Television combines sight, sound, and motion, thereby creating a more memorable advertisement. Moreover, broadcast television spot advertising generally reaches the largest percentage of all potential customers in a particular target geographic area and is therefore especially effective in introducing, establishing, and maintaining the image of a product. Other media, such as radio, newspapers, or outdoor billboards, are not desirable substitutes for broadcast television advertising. None of these media can provide the important combination of sight, sound, and motion that makes television unique and impactful as a medium for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Like broadcast television, other satellite and cable television networks, such as those carried by MVPDs, combine elements of sight, sound, and motion, but they are not a desirable substitute for broadcast television spot advertising for two important reasons. First, broadcast television can reach well over 90 percent of homes in a DMA, while other satellite and cable television networks carried by MVPDs often reach many fewer homes. Even when several MVPDs within a DMA jointly offer television spot advertising through a consortium called an interconnect, MVPD spot advertising does not match the reach of broadcast television spot advertising. As a result, an advertiser can achieve greater audience penetration through broadcast television spot advertising than through advertising on satellite and cable television networks that MVPDs distribute. Second, because MVPDs may offer more than 100 channels, they fragment the audience into small demographic segments. Because broadcast television programming typically has higher rating points than other cable and satellite television networks that MVPDs distribute, broadcast television provides a much easier and more efficient means for an advertiser to reach a high proportion of its target demographic in a broad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While media buyers often buy advertising on cable and satellite networks that MVPDs distribute, they </w:t>
      </w:r>
      <w:r>
        <w:rPr>
          <w:rFonts w:ascii="arial" w:eastAsia="arial" w:hAnsi="arial" w:cs="arial"/>
          <w:b/>
          <w:i w:val="0"/>
          <w:strike w:val="0"/>
          <w:noProof w:val="0"/>
          <w:color w:val="000000"/>
          <w:position w:val="0"/>
          <w:sz w:val="20"/>
          <w:u w:val="none"/>
          <w:vertAlign w:val="baseline"/>
        </w:rPr>
        <w:t> [*63208] </w:t>
      </w:r>
      <w:r>
        <w:rPr>
          <w:rFonts w:ascii="arial" w:eastAsia="arial" w:hAnsi="arial" w:cs="arial"/>
          <w:b w:val="0"/>
          <w:i w:val="0"/>
          <w:strike w:val="0"/>
          <w:noProof w:val="0"/>
          <w:color w:val="000000"/>
          <w:position w:val="0"/>
          <w:sz w:val="20"/>
          <w:u w:val="none"/>
          <w:vertAlign w:val="baseline"/>
        </w:rPr>
        <w:t xml:space="preserve"> do so not as a substitute for broadcast television spot advertising in the DMA Markets, but rather as a supplement, in order to reach a specific demographic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18-24 year olds) with greater frequency, or to target narrow geographic areas within a DMA. A small but significant price increase by broadcast television spot advertising providers would not be made unprofitable by advertisers switching to advertising on other cable and satellite networks distributed by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Internet-based media is also not currently a substitute for broadcast television spot advertising. Although Online Video Distributors ("OVDs") such as Netflix and Hulu are important sources of video programming, as with cable and satellite television advertising on MVPDs, the local video advertising of OVDs lacks the reach of broadcast television spot advertising. Non-video Internet advertising,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site banner advertising, lacks the important combination of sight, sound, and motion that gives television its impact. Consequently, local media buyers currently purchase Internet-based advertising primarily as a supplement to broadcast television spot advertising, and a small but significant price increase by broadcast television spot advertising providers would not be made unprofitable by advertisers switching to Internet-based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In addition, broadcast television stations negotiate prices individually with advertisers; consequently, television stations can charge different advertisers different prices. Broadcast television stations generally can identify advertisers with strong preferences to advertise on broadcast television stations in their DMAs. Because of this ability to price discriminate among customers, broadcast television stations may target with higher prices advertisers that view broadcast television in their DMA as particularly effective for their needs, while maintaining lower prices for more price-sensitive advertisers. As a result, a hypothetical monopolist could profitably raise prices to those advertisers that view broadcast television as a necessary advertising medium, either as their sole means of advertising or as a necessary part of a total advertising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addition to selling broadcast spot advertising, Nexstar and Media General independently license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broadcast television programming to MVPDs for retransmission to MVPD subscribers in each of the DMA Markets. MVPDs pay fees for these retransmission rights under a process known in the television industry and under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"retransmission consent." As described below, in each of the DMA Markets, Nexstar and Media General each own and operate broadcast television stations that are affiliated with one of the major broadcast television networks, and their stations reach broad audiences. As a consequence of their retransmission agreements with MVPDs, Nexstar and Media General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viewers who are MVPD subscribers in each of the DMA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Broadcast television station ownership in each of the DMA Markets is already highly concentrated. In each of those markets, four stations--each affiliated with a major network--had more than 90 percent of gross broadcast television advertising revenues in 2015. Defendants' stations accounted for at least 40 percent of such revenues, reflecting that in each of the DMA Markets, Nexstar and Media General own and operate stations that are affiliated with one of the major broadcast television networks. These networks offer popular programming that individually reach a much broader audience than any other video programming, including cable and satellite network programming carried by MVPDs and OVDs. Consequently, bringing the Nexstar and Media General stations under common ownership would significantly concentrate the television viewing audiences in each of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Market concentration is often one useful indicator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and the more a transaction would increase concentration in a market, the more likely it is that the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harms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Herfindahl-Hirschman Index ("HHI") is a standard measure of market concentration (defined and explained in Appendix A).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issued by the Department of Justice and the Federal Trade Commission, mergers resulting in highly concentrated markets (with an HHI in excess of 2,500) that involve an increase in the HHI of more than 200 points are presumed to be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Using 2015 gross broadcast television advertising revenues, the combination of Nexstar and Media General would result in HHIs in excess of 2,500 in each DMA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Designated market area</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acquisition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HHI</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Roanoke-Lynchburg, Virginia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 Haute, Indiana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Wayne, Indiana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 Bay-Appleton, Wisconsin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Lafayette, Louisiana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Cities, Iowa and Illinois</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post-acquisition HHIs, which reflect increases of more than 200 points in each DMA Market, are well above the 2,500 threshold at which a merger is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addition to substantially increasing the concentration levels in each of the DMA Markets, the proposed transaction would combine television stations that are at least partial substitutes and vigorous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markets with limited alternatives. In each of the DMA Markets, Defendants each have broadcast television stations that are affiliated with the major national television networks: ABC, CBS, NBC and FOX. In the Roanoke-Lynchburg, Virginia DMA, Nexstar owns and operates WFXR, a FOX affiliate; and Media General owns and operates WSLS-TV, an NBC affiliate. In the Terre Haute, Indiana DMA, Nexstar owns or operates WTWO, an NBC affiliate, and WAWV-TV, an ABC affiliate; and Media General owns and operates WTHI-TV, a CBS affiliate. In the Ft. Wayne, Indiana DMA, Nexstar owns and operates WFFT-TV, a FOX affiliate; and Media General owns and operates WANE-TV, a CBS affiliate. In the Green Bay-Appleton, Wisconsin DMA, Nexstar owns and operates WFRV-TV, a CBS affiliate; and Media General owns and operates WBAY-TV, an ABC affiliate. In the Lafayette, Louisiana DMA, Nexstar owns and operates KADN-TV, a FOX affiliate, and KLAF-LD, an NBC affiliate; and Media General owns and operates KLFY-TV, a CBS affiliate. In the Quad Cities DMA, Nexstar owns or operates WHBF-TV, a CBS affiliate, and KLJB, a FOX affiliate; and Media General owns and operates KWQC-TV, an NBC affiliate. Their respective affiliations with those networks, and their local news operations, provide Defendants' stations with a variety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programming options that are often each other's next-best or second-best substitutes for many viewers and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Advertisers benefit from Defendants'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television spot advertising in the DMA Markets. Advertisers purposefully spread their </w:t>
      </w:r>
      <w:r>
        <w:rPr>
          <w:rFonts w:ascii="arial" w:eastAsia="arial" w:hAnsi="arial" w:cs="arial"/>
          <w:b/>
          <w:i w:val="0"/>
          <w:strike w:val="0"/>
          <w:noProof w:val="0"/>
          <w:color w:val="000000"/>
          <w:position w:val="0"/>
          <w:sz w:val="20"/>
          <w:u w:val="none"/>
          <w:vertAlign w:val="baseline"/>
        </w:rPr>
        <w:t> [*63209] </w:t>
      </w:r>
      <w:r>
        <w:rPr>
          <w:rFonts w:ascii="arial" w:eastAsia="arial" w:hAnsi="arial" w:cs="arial"/>
          <w:b w:val="0"/>
          <w:i w:val="0"/>
          <w:strike w:val="0"/>
          <w:noProof w:val="0"/>
          <w:color w:val="000000"/>
          <w:position w:val="0"/>
          <w:sz w:val="20"/>
          <w:u w:val="none"/>
          <w:vertAlign w:val="baseline"/>
        </w:rPr>
        <w:t xml:space="preserve"> advertising dollars across numerous spot advertising suppliers to reach their marketing goals most efficiently. After the proposed acquisition, advertisers in each of the DMA Markets would likely find it more difficult to "buy around" Defendants' combined stations in response to higher advertising rates, than to "buy around" Nexstar's stations or Media General's stations, as separate entities, as they could have done before the proposed acquisition. Because a significant number of advertisers would likely be unable to reach their desired audiences as effectively unless they advertise on at least one station that Nexstar would control after the proposed acquisition, those advertisers' bargaining positions would be weaker, and the advertising rates they pay would likely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The proposed merger between Nexstar and Media General would also diminish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negotiation of retransmission agreements with MVPDs in the DMA Markets. Post-acquisition, Nexstar would gain the ability to threaten MVPDs in each of the DMA Markets with the simultaneous blackout of at least two major broadcast networks: its own network(s) and Media General's network(s). That threatened loss of programming, and the resulting diminution of an MVPD's subscribers and profits, would significantly strengthen Nexstar's bargaining position with MVPDs. Prior to the merger, an MVPD's failure to reach a retransmission agreement with Nexstar for a broadcast television station might result in a blackout of that station and threaten some subscriber loss for the MVPD. But because the MVPD would still be able to offer programming on Media General's major network affiliates, which are at least partial substitutes for Nexstar's, many MVPD subscribers would simply switch stations instead of cancelling their MVPD subscriptions. After the merger, an MVPD negotiating with Nexstar over a retransmission agreement could be faced with the prospect of a dual blackout of major broadcast networks (or worse), a result more likely to cause the MVPD to lose subscribers and therefore to accede to Nexstar's retransmission fee demands. For these reasons,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Nexstar and Media General stations in each DMA Markets would likely lead to an increase in retransmission fees in each DMA and, because increased retransmission fees typically are passed on to consumers, higher MVPD subscription fees.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De novo entry into each of the DMA Markets is unlikely. The FCC regulates entry through the issuance of broadcast television licenses, which are difficult to obtain because the availability of spectrum is limited and the regulatory process associated with obtaining a license is lengthy. Even if a new signal became available, commercial success would come, at best, over a period of many years. Thus, entry into each DMA Market's broadcast television spot advertising market would not be timely, likely, or sufficient to deter post-merger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Other broadcast television stations in each of the DMA Markets also likely would not increase their advertising capacity in response to a price increase by Nexstar. The number of 30-second spots in a DMA is largely fixed by programming and time constraints. This fact makes the pricing of spot advertising responsive to changes in demand. Adjusting programming in response to a pricing change is risky, difficult, and time-consuming. Network affiliates are often committed to the programming provided by the network with which they are affiliated, and it often takes years for a station to build its audience. Programming schedules are complex and carefully constructed, taking many factors into account, such as audience flow, station identity, and program popularity. In addition, stations typically have multi-year contractual commitments for individual shows. Accordingly, a television station is unlikely to change its programming sufficiently or with sufficient rapidity to overcome a small but significant price increase imposed by Nexstar.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Entry into the licensing of major broadcast television network programming to MVPDs for retransmission in each of the DMA markets is similarly unlikely. The FCC regulates the ability of MVPDs to import non-local broadcast station signals into a local market. Consequently, in the event of a blackout of a major broadcast television network's signal, an MVPD typically would not be allowed to import the signal from a non-local affiliate of that broadcast television network. Thus, entry would not be timely, likely, or sufficient to deter Nexstar from engaging in anticompetitive price increases or other anticompetitive conduct in its licensing of major broadcast television network programming to MVPDs for retransmission in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Defendants cannot demonstrate acquisition-specific and cognizable efficiencies that would be sufficient to offset the proposed acquisition's likely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United States hereby repeats and realleges the allegations of paragraphs 1 through 33 as if fully set forth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Nexstar's proposed acquisition of Media General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acquisition likely would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television spot advertising in each of the DMA Markets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Nexstar and Media General in the sale of broadcast television spot advertising in each of the DMA Markets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spot advertising on broadcast television stations in each of the DMA Markets would increase, and the quality of services would decline;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retransmission licensing fees to MVPDs in each of the DMA Markets would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United States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the proposed acquisition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the Court permanently enjoin and restrain Defendants from carrying out the transaction, or entering into any other agreement, understanding, or plan by which Nexstar would acquire Media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award the United States the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award such other relief to the United States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Assistant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A. Arteaga,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M. Kendler,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Asst. Chief, Litigation III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 [*63210]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 (D.C. Bar #451743),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III Section, 450 Fifth Street NW., Suite 4000, Washington, DC 20530, Phone: 202-616-1398, Facsimile: 202-514-7308, Email: </w:t>
      </w:r>
      <w:hyperlink r:id="rId16" w:history="1">
        <w:r>
          <w:rPr>
            <w:rFonts w:ascii="arial" w:eastAsia="arial" w:hAnsi="arial" w:cs="arial"/>
            <w:b w:val="0"/>
            <w:i/>
            <w:strike w:val="0"/>
            <w:noProof w:val="0"/>
            <w:color w:val="0077CC"/>
            <w:position w:val="0"/>
            <w:sz w:val="20"/>
            <w:u w:val="single"/>
            <w:vertAlign w:val="baseline"/>
          </w:rPr>
          <w:t>Mark.Merva@usdoj.gov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Justice &amp; FTC,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 5.3 (2010). Transactions that increase the HHI by more than 200 points in highly concentrated markets presumptively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issued by the Department of Justice and the Federal Trade Commission.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Nexstar Broadcasting Group, Inc., and Media General,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John D. 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09/02/2016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Plaintiff United States of America ("United States")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Nexstar Broadcasting Group, Inc. ("Nexstar") and Media General, Inc. ("Media General") (collectively, "Defendants") entered into an Agreement and Plan of Merger, dated January 27, 2016, pursuant to which Nexstar would acquire Media General for approximately $ 4.6 billion. Defendants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in the sale of broadcast television spot advertising in the following Designated Market Areas ("DMAs"): Roanoke-Lynchburg, Virginia; Terre Haute, Indiana; Ft. Wayne, Indiana; Green Bay-Appleton, Wisconsin; Lafayette, Louisiana; and Davenport, Iowa/Rock Island-Moline, Illinois ("Quad Cities") (collectively, "the DMA Markets"). Defendants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DMA Markets for viewers who are multichannel video programming distributor ("MVPD") subscribers.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September 2, 2016, seeking to enjoin the proposed acquisition. The Complaint alleges that the proposed transaction likely would lead to (1) higher prices for broadcast television spot advertising in each of the DMA Markets and (2) higher licensing fees for the retransmission of broadcast television programming to MVPD subscribers in each of the DMA Markets. These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proposed Final Judgment, which are designed to eliminate the likely anticompetitive effects of the acquisition. The proposed Final Judgment, which is explained more fully below, requires Defendants to divest the following broadcast television stations (the "Divestiture Stations") to Acquirers approved by the United States in a manner that preserves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DMA Markets: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WBAY-TV, located in the Green Bay-Appleton, Wisconsin DMA;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WSLS-TV, located in the Roanoke-Lynchburg, Virginia DMA;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KADN-TV, located in the Lafayette, Louisiana DMA;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KLAF-LD, located in the Lafayette, Louisiana DMA;</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WTHI-TV, located in the Terre Haute, Indiana DMA;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WFFT-TV, located in the Ft. Wayne, Indiana DMA;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KWQC-TV, located in the Quad Cities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Hold Separate requires Defendants to take certain steps to ensure that the Divestiture Stations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uninfluenced by the consummation of the acquisition so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until the required divestitures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Nexstar is a Delaware corporation with its headquarters in Irving, Texas. Nexstar owns, operates, or services broadcast television stations in 62 metropolitan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General is a Virginia corporation with its headquarters in Richmond, Virginia. Media General owns, operates, or services broadcast television stations in 48 metropolitan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an Agreement and Plan of Merger, dated January 27, 2016, Nexstar agreed to acquire Media General for approximately $ 4.6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as initially agreed to by Defendants,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each of the DMA Markets in (1) the sale broadcast television spot advertising and (2) the licensing of broadcast television programming to MVPDs for retransmission to MVPD subscribers. This acquisition is the subject of the Complaint and proposed Final Judgment filed today by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Transaction's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Broadcast Television Spot Advertising in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the sale of broadcast television spot advertising to advertisers targeting viewers located in each DMA Market constitutes a relevant market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Nexstar and Media General sell television advertising to local and national advertisers that seek to target viewers in each of the DMA Markets. A DMA is a geographical unit designated by the A.C. Nielsen Company, a company that surveys television viewers and furnishes broadcast television stations, advertisers, and advertising agencies in a particular area with data to aid in evaluating television audiences. DMAs are widely accepted by television stations, advertisers, and advertising agencies as the standard geographic area to use in evaluating </w:t>
      </w:r>
      <w:r>
        <w:rPr>
          <w:rFonts w:ascii="arial" w:eastAsia="arial" w:hAnsi="arial" w:cs="arial"/>
          <w:b/>
          <w:i w:val="0"/>
          <w:strike w:val="0"/>
          <w:noProof w:val="0"/>
          <w:color w:val="000000"/>
          <w:position w:val="0"/>
          <w:sz w:val="20"/>
          <w:u w:val="none"/>
          <w:vertAlign w:val="baseline"/>
        </w:rPr>
        <w:t> [*63211] </w:t>
      </w:r>
      <w:r>
        <w:rPr>
          <w:rFonts w:ascii="arial" w:eastAsia="arial" w:hAnsi="arial" w:cs="arial"/>
          <w:b w:val="0"/>
          <w:i w:val="0"/>
          <w:strike w:val="0"/>
          <w:noProof w:val="0"/>
          <w:color w:val="000000"/>
          <w:position w:val="0"/>
          <w:sz w:val="20"/>
          <w:u w:val="none"/>
          <w:vertAlign w:val="baseline"/>
        </w:rPr>
        <w:t xml:space="preserve"> television audience size and demographic composition. A television station's advertising rates typically are based on the station's ability, relative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television stations, to attract viewing audiences that have certain demographic characteristics that advertisers are seeking to reach. The Federal Communications Commission ("FCC") also uses DMAs as geographic units with respect to its MVPD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Nexstar's and Media General's broadcast television stations in the DMA Markets generate almost all of their revenues by selling advertising to local and national advertisers who want to reach viewers present in those DMAs. Advertising placed on broadcast television stations in a DMA is aimed at reaching viewing audiences in that DMA, and television stations broadcasting outside that DMA do not provide effective access to these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Broadcast television spot advertising possesses a unique combination of attributes that sets it apart from advertising using other types of media. Because of this unique combination of attributes, broadcast television spot advertising has no close substitute for a significant number of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Television combines sight, sound, and motion, thereby creating a more memorable advertisement when compared to other types of advertising. For example, radio spots lack the visual impact of television advertising; and newspaper and billboard ads lack sound and motion, as do many internet search engine and Web site banner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Broadcast television spot advertising also generally reaches the largest percentage of potential customers in a targeted geographic area and is therefore especially effective in introducing, establishing, and maintaining a product's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 advertising differs from network and syndicated television advertising, which are sold on a nationwide basis by major television networks and by producers of syndicated programs and are broadcast in every market area in which the network or syndicated program is aired. Spot advertising on cable and satellite networks distributed by MVPDs and internet-based video advertising also lacks the same reach as broadcast television spot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through information provided during individualized price negotiations, broadcast television stations can identify advertisers with strong preferences for using broadcast television spot advertising and charge different prices to those advertisers. Consequently, if there was a small but significant and non-transitory increase in the price ("SSNIP") of broadcast television spot advertising on broadcast television stations in the DMA Markets, advertisers would not reduce their purchases sufficiently to render the price increase unprofitable. Moreover, advertisers would not switch enough purchases of advertising time to television stations outside the DMA Markets, or to other media to render the price increase unprofitable.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Retransmission Licensing Fees in the DMA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also alleges that the licensing to MVPDs in each of the DMA Markets of broadcast television programming for retransmission to subscribers constitutes a relevant market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of the DMA Markets, Nexstar and Media General each own and operate broadcast television stations that are affiliated with one of the major broadcast television networks. Nexstar and Media General independently license the broadcast television programming from these stations to MVPDs to retransmit to the MVPDs' subscribers in each of the DMA Markets. MVPDs pay fees for these rights under a process known in the television industry and under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"retransmission consent." As a consequence of their retransmission agreements with MVPDs, Nexstar and Media General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viewers that are MVPD subscribers in each of the DMA Markets. Nexstar's and Media General's stations are at least partial substitutes for these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DMA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likely would have the following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television spot advertising in each of the DMA Markets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Nexstar and Media General in the sale of broadcast television spot advertising in each of the DMA markets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spot advertising on broadcast television stations in each of the DMA Markets would increase, and the quality of services would decline;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prices for retransmission licensing to MVPDs in each of the DMA Markets would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acquisition, by eliminating Media General as a separate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combining its operations with those of Nexstar, would allow the combined entity to increase its market share of broadcast television viewers, spot advertising, and revenues in each of the DMA Markets. Specifically, the acquisition would give the merged company the following shares of broadcast television station gross advertising revenues in each DMA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DMA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Roanoke-Lynchburg, VA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 Haute, IN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 Wayne, IN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 Bay-Appleton, WI</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Lafayette, LA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Cities, IA/IL</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Nexstar's acquisition of Media General would further concentrate the already highly concentrated broadcast television market in each of the DMA Markets. Using the Herfindahl-Hirschman Index ("HHI"), a standard measure of market concentration, the post-acquisition HHI in each of the DMA Markets would exceed 2,500 and the transaction would increase each DMA Market's HHI by over 200 points. As a result, the proposed acquisition is presumed likely to enhance market power under the Horizontal Merger Guidelines issued by the Department of Justice and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acquisition combines stations that are at least partial substitutes and vigorous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 product market with limited alternatives. In each of the DMA Markets, Defendants have broadcast stations that are affiliated with the major national television networks: ABC, CBS, NBC, and FOX. Their respective affiliations with those networks, and their local news operations, provide Defendants' stations with a variety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programming options that are often each other's next-best or second-best substitutes for viewers and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advertisers benefit from Defendants'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broadcast television spot advertising in the DMA Markets. Advertisers purposefully spread their advertising dollars across numerous spot advertising suppliers to reach their marketing goals most efficiently. After the proposed acquisition, advertisers in each of the DMA Markets would likely find it more difficult to "buy around" Defendants' </w:t>
      </w:r>
      <w:r>
        <w:rPr>
          <w:rFonts w:ascii="arial" w:eastAsia="arial" w:hAnsi="arial" w:cs="arial"/>
          <w:b/>
          <w:i w:val="0"/>
          <w:strike w:val="0"/>
          <w:noProof w:val="0"/>
          <w:color w:val="000000"/>
          <w:position w:val="0"/>
          <w:sz w:val="20"/>
          <w:u w:val="none"/>
          <w:vertAlign w:val="baseline"/>
        </w:rPr>
        <w:t> [*63212] </w:t>
      </w:r>
      <w:r>
        <w:rPr>
          <w:rFonts w:ascii="arial" w:eastAsia="arial" w:hAnsi="arial" w:cs="arial"/>
          <w:b w:val="0"/>
          <w:i w:val="0"/>
          <w:strike w:val="0"/>
          <w:noProof w:val="0"/>
          <w:color w:val="000000"/>
          <w:position w:val="0"/>
          <w:sz w:val="20"/>
          <w:u w:val="none"/>
          <w:vertAlign w:val="baseline"/>
        </w:rPr>
        <w:t xml:space="preserve"> combined stations in response to higher advertising rates than they could have done before the proposed acquisition. Because a significant number of advertisers would likely be unable to reach their desired audiences as effectively unless they advertise on at least one station that Nexstar would control after the proposed acquisition, those advertisers' bargaining positions would be weaker, and the advertising rates they pay would likely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merger would also diminish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negotiation of retransmission agreements with MVPDs in the DMA Markets. The acquisition would provide Nexstar with the ability to threaten MVPDs in each of the DMA Markets with the simultaneous blackout of at least two major broadcast networks: its own network(s) and Media General's network(s). That threatened loss of programming, and the resulting diminution of an MVPD's subscribers and profits, would significantly strengthen Nexstar's bargaining position. Prior to the merger, an MVPD's failure to reach a retransmission agreement with Nexstar for a broadcast television station might result in a blackout of that station and threaten some subscriber loss for the MVPD. But because the MVPD would still be able to offer programming on Media General's major network affiliates, which are at least partial substitutes for Nexstar's affiliates, many MVPD subscribers would simply switch stations instead of cancelling their MVPD subscriptions. After the merger, an MVPD negotiating with Nexstar over a retransmission agreement could be faced with the prospect of a dual blackout of major broadcast networks (or worse), a result more likely to cause the MVPD to lose subscribers and therefore to accede to Nexstar's retransmission fee demands. For these reasons,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Nexstar and Media General stations in each DMA Market would likely lead to an increase in retransmission fees in those markets and, because increased retransmission fees typically are passed on to consumers, higher MVPD subscription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entry or expansion in broadcast television spot advertising and the licensing of major broadcast television network programming to MVPDs for retransmission in each of the DMA Markets would not be timely, likely, or sufficient to prevent any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broadcast television spot advertising, new entry is unlikely because any new station would require an FCC license, which is difficult to obtain. Even if a new station became operational, commercial success would come over a period of many years. Because the number of 30-second spots available at a station is generally fixed, other television stations in each of the DMA Markets could not readily increase their advertising capacity in response to a SSNIP by Nexstar.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retransmission licensing fees, new entry of major broadcast television network programming for MVPD retransmission in each of the DMA Markets is unlikely. The FCC regulates the ability of MVPDs to import non-local broadcast station signals into a local market. Consequently, in the event of a blackout of a major broadcast television network's signal, an MVPD typically would not be allowed to import the signal from a non-local affiliate of that broadcast television network. Thus, entry would not be timely, likely, or sufficient to deter Nexstar from engaging in anticompetitive price increases or other anticompetitive conduct after the proposed acquisition is consummated.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likely anticompetitive effects of the acquisition in each of the DMA Markets by maintaining the Divestiture Stations as independent,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proposed Final Judgment requires Nexstar to divest the Divestiture Stations to the following Acquirers: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WBAY-TV, located in Green Bay-Appleton, Wisconsin, and KWQC-TV, located in Quad Cities to Gray Television, Inc.;</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WSLS-TV, located in Roanoke-Lynchburg, Virginia to Graham Holdings Company;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KADN-TV and KLAF-LD, both located in Lafayette, Louisiana to Bayou City Broadcasting Lafayette, Inc.;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WTHI-TV, located in Terre Haute, Indiana, and WFFT-TV, located in Ft. Wayne, Indiana to USA Television MidAmerica Holdings,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approved each of these Acquirers as suitable divestiture buyers. The United States required Nexstar to identify each Acquirer of a Divestiture Station in order to provide greater certainty and efficiency in the divestiture process. If, for any reason, Defendants are unable to complete the divestitures to one or more of these Acquirers, Defendants must divest the remaining Divestiture Stations to one or more alternative Acquirers approved by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are defined in Paragraph II.P of the proposed Final Judgment to include all assets, tangible or intangible, principally devoted to or necessary for the operation of the Divestiture Stations as viable, ongoing commercial broadcast television stations. With respect to each Divestiture Station, the divestiture will include assets sufficient to satisfy the United States, in its sole discretion, that such assets can and will be used to operate each station as a viable, ongoing, commercial television business. In addition, order to facilitate the continuous operations of the Divestiture Stations until the Acquirer(s) can provide such capabilities independently, Paragraph IV.G of the proposed Final Judgment provides that, at the option of an Acquirer, Defendants shall enter into a transition services agreement with the Acquirer for a period of up to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 Divestiture Stations are operated independently from Nexstar after the divestitures, Sections IV and XI of the proposed Final Judgment prohibit Defendants from entering into any agreements during the term of the Final Judgment that create a long-term relationship with or any entanglements that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Nexstar and an Acquirer of a Divestiture Station concerning the Divestiture Assets after the divestitures are completed. Examples of prohibited agreements include agreements during the term of the Final Judgment to reacquire any part of the Divestiture Assets; agreements to acquire any option to reacquire any part of the Divestiture Assets or to assign the Divestiture Assets to any other person; agreements to enter into any local marketing agreement, joint sales agreement, other cooperative selling arrangement, or shared services agreement; agreements to conduct other business negotiations jointly with the Acquirer(s) with respect to the Divestiture Assets; and agreements to provide financing or guarantees of financing with respect to the Divestiture Assets. The shared services agreement prohibition does not preclude Defendants from entering into an agreement pursuant to which an Acquirer can begin operating a Divestiture Station immediately after the Court's approval of the Hold Separate in this matter, so long as the agreement with the Acquirer expires upon the consummation of a final agreement to divest the Divestiture Assets to the Acquirer. </w:t>
      </w:r>
      <w:r>
        <w:rPr>
          <w:rFonts w:ascii="arial" w:eastAsia="arial" w:hAnsi="arial" w:cs="arial"/>
          <w:b/>
          <w:i w:val="0"/>
          <w:strike w:val="0"/>
          <w:noProof w:val="0"/>
          <w:color w:val="000000"/>
          <w:position w:val="0"/>
          <w:sz w:val="20"/>
          <w:u w:val="none"/>
          <w:vertAlign w:val="baseline"/>
        </w:rPr>
        <w:t> [*63213]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are required to take all steps reasonably necessary to accomplish the divestitures quickly and to cooperate with prospective purchasers. Pursuant to Paragraph IV.A of the proposed Final Judgment, divestiture of each of the Divestiture Stations must occur within 90 calendar days after the filing of the Complaint, or five calendar days after notice of the entry of the Final Judgment by the Court, whichever is later. The United States, in its sole discretion, may agree to one or more extensions of this time period not to exceed 90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transferring the broadcast license for each of the Divestiture Stations requires FCC approval, Paragraph IV.A of the proposed Final Judgment specifically requires Defendants to use their best efforts to obtain all necessary FCC approvals as expeditiously as possible. If applications have been filed with the FCC within the period permitted for divestiture seeking approval to assign or transfer licenses to the Acquirers of the Divestiture Assets, but an order or other dispositive action by the FCC on such applications has not been issued before the end of the period permitted for divestiture, the period shall be extended with respect to the divestiture of the Divestiture Assets for which no FCC order has issued until five calendar days after such order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all of the divestitures within the periods prescribed in the proposed Final Judgment, Section V of the proposed Final Judgment provides that the Court, upon application of the United States, will appoint a trustee selected by the United States to effect any remaining divestitures. If a trustee is appointed, the proposed Final Judgment provides that Nexstar will pay all costs and expenses of the trustee. The trustee's commission will be structured to provide an incentive for the trustee based on the price obtained and the speed with which the divestitures are accomplished. After his or her appointment becomes effective, the trustee will file monthly reports with the Court and the United States describing his or her efforts to accomplish the divestiture of any remaining stations. If the divestiture has not been accomplished after 6 months, the trustee and the United States will make recommendations to the Court, which shall enter such orders as appropriate,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the Court's entry of judgment. The comments and the response of the United States, if any, will be filed with the Court. In addition, comments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Owen M. Kendler, Asst. Chief, Litigation III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Street NW. Suite 4000,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Defendants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Nexstar's acquisition of Media General.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broadcast television spot advertising and for the licensing of broadcast television programming to MVPDs for retransmission to MVPD subscribers in each of the DMA Markets.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8"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0"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1"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2"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5"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2"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7"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8"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8"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9"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0"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29"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/s/Mark A. Merva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 (D.C. Bar #451743),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III Section, 450 Fifth Street, NW., Suite 4000, Washington, DC 20530, Phone: 202-616-1398, Facsimile: 202-514-7308, E-mail: </w:t>
      </w:r>
      <w:hyperlink r:id="rId16" w:history="1">
        <w:r>
          <w:rPr>
            <w:rFonts w:ascii="arial" w:eastAsia="arial" w:hAnsi="arial" w:cs="arial"/>
            <w:b w:val="0"/>
            <w:i/>
            <w:strike w:val="0"/>
            <w:noProof w:val="0"/>
            <w:color w:val="0077CC"/>
            <w:position w:val="0"/>
            <w:sz w:val="20"/>
            <w:u w:val="single"/>
            <w:vertAlign w:val="baseline"/>
          </w:rPr>
          <w:t>Mark.Merva@usdoj.gov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Mark A. Merva,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do hereby certify that true copies of the Complaint,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Hold Separate Stipulation and Order, Proposed Final Judgment, and Plaintiff's Explanation of Consent Decree Procedures were served this 2nd day of September, 2016, by email, to the following: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Defendant Nexstar Broadcasting 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Jakovic,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Conner,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Kirkland &amp; Ellis LLP, 655 Fifteenth Street NW., Washington, D.C. 20005.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G. John,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601 Lexington Avenue, New York, NY 10022-4611, Phone: 212-446-4665, </w:t>
      </w:r>
      <w:hyperlink r:id="rId30" w:history="1">
        <w:r>
          <w:rPr>
            <w:rFonts w:ascii="arial" w:eastAsia="arial" w:hAnsi="arial" w:cs="arial"/>
            <w:b w:val="0"/>
            <w:i/>
            <w:strike w:val="0"/>
            <w:noProof w:val="0"/>
            <w:color w:val="0077CC"/>
            <w:position w:val="0"/>
            <w:sz w:val="20"/>
            <w:u w:val="single"/>
            <w:vertAlign w:val="baseline"/>
          </w:rPr>
          <w:t>Ian.john@kirkland.com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Defendant Media General,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A. Nigro Jr. (D.C. Bar #412357),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 Frank,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801 17th Street NW., Washington, DC 20006, Phone: 202-639-7373, </w:t>
      </w:r>
      <w:hyperlink r:id="rId31" w:history="1">
        <w:r>
          <w:rPr>
            <w:rFonts w:ascii="arial" w:eastAsia="arial" w:hAnsi="arial" w:cs="arial"/>
            <w:b w:val="0"/>
            <w:i/>
            <w:strike w:val="0"/>
            <w:noProof w:val="0"/>
            <w:color w:val="0077CC"/>
            <w:position w:val="0"/>
            <w:sz w:val="20"/>
            <w:u w:val="single"/>
            <w:vertAlign w:val="baseline"/>
          </w:rPr>
          <w:t>Barry.Nigro@friedfrank.com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/s/Mark A. Merva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Merva.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NEXSTAR Broadcasting Group, Inc., and Media General,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John D. 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09/02/2016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the United States of America, filed its Complaint on September 2, 2016, and Defendant Nexstar Broadcasting Group, Inc. ("Nexstar") and Defendant Media General, Inc. ("Media General"),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"Nexstar" means Defendant Nexstar Broadcasting Group, Inc., a Delaware corporation headquartered in Irving, Texas,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"Media General" means Defendant Media General, Inc., a Virginia corporation headquartered in Richmond, Virginia,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"Gray" means Gray Television, Inc., a Georgia corporation headquartered in Atlanta, Georgia,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"Graham" means Graham Holdings Company, a Delaware corporation headquartered in Arlington, Virginia, its successor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"Bayou City" means Bayou City Broadcasting Lafayette, Inc., a privately held company headquartered in Houston, Texas, its successor and assigns, and its subsidiaries, divisions, groups, affiliates, partnerships, and joint ventures, including, but not limited to, Bayou City Broadcasting, LLC,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"USA TV" means USA Television MidAmerica Holdings, LLC, a privately held company headquartered in Atlanta, Georgia, its successor and assigns, and its subsidiaries, divisions, groups, affiliates, partnerships, and joint ventures, including, but not limited to, MSouth Equity Partners, Heartland Media, LLC, and USA Television Holdings, LLC,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"Acquirer" means Gray, Graham, Bayou City, USA TV, or another entity to which Defendants divest any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"DMA" means Designated Market Area as defined by A.C. Nielsen Company based upon viewing patterns and used by the </w:t>
      </w:r>
      <w:r>
        <w:rPr>
          <w:rFonts w:ascii="arial" w:eastAsia="arial" w:hAnsi="arial" w:cs="arial"/>
          <w:b w:val="0"/>
          <w:i/>
          <w:strike w:val="0"/>
          <w:noProof w:val="0"/>
          <w:color w:val="000000"/>
          <w:position w:val="0"/>
          <w:sz w:val="20"/>
          <w:u w:val="none"/>
          <w:vertAlign w:val="baseline"/>
        </w:rPr>
        <w:t>Investing in Television BIA Market Report 2016</w:t>
      </w:r>
      <w:r>
        <w:rPr>
          <w:rFonts w:ascii="arial" w:eastAsia="arial" w:hAnsi="arial" w:cs="arial"/>
          <w:b w:val="0"/>
          <w:i w:val="0"/>
          <w:strike w:val="0"/>
          <w:noProof w:val="0"/>
          <w:color w:val="000000"/>
          <w:position w:val="0"/>
          <w:sz w:val="20"/>
          <w:u w:val="none"/>
          <w:vertAlign w:val="baseline"/>
        </w:rPr>
        <w:t xml:space="preserve"> (1st edition). DMAs are ranked according to the number of households therein and are used by broadcasters, advertisers, and advertising agencies to aid in evaluating television audience size and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"WBAY-TV" means the ABC-affiliated broadcast television station </w:t>
      </w:r>
      <w:r>
        <w:rPr>
          <w:rFonts w:ascii="arial" w:eastAsia="arial" w:hAnsi="arial" w:cs="arial"/>
          <w:b/>
          <w:i w:val="0"/>
          <w:strike w:val="0"/>
          <w:noProof w:val="0"/>
          <w:color w:val="000000"/>
          <w:position w:val="0"/>
          <w:sz w:val="20"/>
          <w:u w:val="none"/>
          <w:vertAlign w:val="baseline"/>
        </w:rPr>
        <w:t> [*63216] </w:t>
      </w:r>
      <w:r>
        <w:rPr>
          <w:rFonts w:ascii="arial" w:eastAsia="arial" w:hAnsi="arial" w:cs="arial"/>
          <w:b w:val="0"/>
          <w:i w:val="0"/>
          <w:strike w:val="0"/>
          <w:noProof w:val="0"/>
          <w:color w:val="000000"/>
          <w:position w:val="0"/>
          <w:sz w:val="20"/>
          <w:u w:val="none"/>
          <w:vertAlign w:val="baseline"/>
        </w:rPr>
        <w:t xml:space="preserve"> located in the Green Bay-Appleton, Wisconsin DMA owned by Defendant Media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"WSLS-TV" means the NBC-affiliated broadcast television station located in the Roanoke-Lynchburg, Virginia DMA owned by Defendant Media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"KADN-TV" means the FOX-affiliated broadcast television station located in the Lafayette, Louisiana DMA owned by Defendant Nexstar.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"KLAF-LD" means the NBC-affiliated broadcast television station located in the Lafayette, Louisiana DMA owned by Defendant Nexstar.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"WTHI-TV" means the CBS-affiliated broadcast television station located in the Terre Haute, Indiana DMA owned by Defendant Media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"WFFT-TV" means the FOX-affiliated broadcast television station located in the Ft. Wayne, Indiana DMA owned by Defendant Nexstar.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"KWQC-TV" means the NBC-affiliated broadcast television station located in the Davenport, Iowa/Rock Island-Moline, Illinois DMA owned by Defendant Media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"Divestiture Assets" means the WBAY-TV, WSLS-TV, KADN-TV, KLAF-LD, WTHI-TV, WFFT-TV, and KWQC-TV broadcast television stations and all assets, tangible or intangible, principally devoted to or necessary for the operation of the stations as viable, ongoing commercial broadcast television stations, including, but not limited to, all real property (owned or leased), all broadcast equipment, office equipment, office furniture, fixtures, materials, supplies, and other tangible property; all licenses, permits, authorizations, and applications therefore issued by the Federal Communications Commission ("FCC") and other government agencies related to the stations; all contracts (including programming contracts and rights), agreements, network affiliation agreements, leases, and commitments and understandings of Defendants; all trademarks, service marks, trade names, copyrights, patents, slogans, programming materials, and promotional materials relating to the stations; all customer lists, contracts, accounts, and credit records; and all logs and other records maintained by Defendants in connection with the stations.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Defendants,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ninety (90) calendar days after the filing of the Complaint in this matter, or five (5) calendar days after notice of entry of this Final Judgment by the Court, whichever is later, to divest the Divestiture Assets in a manner consistent with this Final Judgment to one or more Acquirers acceptable to the United States, in its sole discretion. The United States, in its sole discretion, may agree to one or more extensions of this time period not to exceed ninety (90) calendar days in total, and shall notify the Court in such circumstances. With respect to divestiture of the Divestiture Assets by Defendants or a trustee appointed pursuant to Section V of this Final Judgment, if applications have been filed with the FCC within the period permitted for divestiture seeking approval to assign or transfer licenses to the Acquirers of the Divestiture Assets, but an order or other dispositive action by the FCC on such applications has not been issued before the end of the period permitted for divestiture, the period shall be extended with respect to divestiture of the Divestiture Assets for which no FCC order has issued until five (5) days after such order is issued. Defendants agree to use their best efforts to divest the Divestiture Assets and to obtain all necessary FCC approvals as expeditiously as possible. This Final Judgment does not limit the FCC's exercise of its regulatory powers and process with respect to the Divestiture Assets. Authorization by the FCC to conduct the divestiture of a Divestiture Asset in a particular manner will not modify any of the requirements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that Defendants are attempting to divest assets related to WBAY-TV or KWQC-TV to an Acquirer other than Gray, or assets related to WSLS-TV to an Acquirer other than Graham, or assets related to KADN-TV or KLAF-LD to an Acquirer other than Bayou City, or assets related to WTHI-TV or WFFT-TV to an Acquirer other than USA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Defendants, in accomplishing the divestitures ordered by this Final Judgment, promptly shall make known, by usual and customary means, the availability of the Divestiture Assets to be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Defendants shall inform any person making an inquiry regarding a possible purchase of the relevant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Defendants shall offer to furnish to all prospective Acquirers, subject to customary confidentiality assurances, all information and documents relating to the relevant Divestiture Assets customarily provided in a due diligence process except such information or documents subject to the attorney-client privilege or work-product doctrine;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Acquirer(s) and the United States information relating to the personnel involved in the operation and management of the relevant Divestiture Assets to enable the Acquirer(s) to make offers of employment. Defendants shall not interfere with any negotiations by the Acquirer(s) to employ or contract with any employee of any Defendant whose primary responsibility relates to the operation or management of the relevant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the prospective Acquirer(s) of the Divestiture Assets to have reasonable access to personnel and to make inspections of the physical facilities of the relevant stations;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warrant to the Acquirers that each Divestiture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At the option of the Acquirer(s), Defendants shall enter into a transition services agreement with the Acquirer(s) for a period of up to six (6) months to facilitate the continuous operations of the relevant Divestiture Assets until the Acquirer(s) can provide such capabilities independently. The terms and conditions of any contractual arrangement intended to satisfy this provision must be reasonably related to </w:t>
      </w:r>
      <w:r>
        <w:rPr>
          <w:rFonts w:ascii="arial" w:eastAsia="arial" w:hAnsi="arial" w:cs="arial"/>
          <w:b/>
          <w:i w:val="0"/>
          <w:strike w:val="0"/>
          <w:noProof w:val="0"/>
          <w:color w:val="000000"/>
          <w:position w:val="0"/>
          <w:sz w:val="20"/>
          <w:u w:val="none"/>
          <w:vertAlign w:val="baseline"/>
        </w:rPr>
        <w:t> [*63217] </w:t>
      </w:r>
      <w:r>
        <w:rPr>
          <w:rFonts w:ascii="arial" w:eastAsia="arial" w:hAnsi="arial" w:cs="arial"/>
          <w:b w:val="0"/>
          <w:i w:val="0"/>
          <w:strike w:val="0"/>
          <w:noProof w:val="0"/>
          <w:color w:val="000000"/>
          <w:position w:val="0"/>
          <w:sz w:val="20"/>
          <w:u w:val="none"/>
          <w:vertAlign w:val="baseline"/>
        </w:rPr>
        <w:t xml:space="preserve"> market conditions and shall be subject to the approval of the United States, in its sole discretion. Additionally, the United States in its sole discretion may approve one or more extensions of this agreement for a total of up to an additional six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warrant to the Acquirer(s)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the United States otherwise consents in writing, the divestitures pursuant to Section IV, or by trustee appointed pursuant to Section V of this Final Judgment, shall include the entire Divestiture Assets and be accomplished in such a way as to satisfy the United States, in its sole discretion, that the Divestiture Assets can and will be used by the Acquirers as part of a viable, ongoing commercial television broadcasting business. Divestiture of the Divestiture Assets may be made to one or more Acquirers, provided that in each instance it is demonstrated to the sole satisfaction of the United States that the Divestiture Assets will remain viable, and the divestiture of such assets will achieve the purposes of this Final Judgment and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Acquirer(s) that, in the United States' sole judgment, have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commercial television broadcasting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the Acquirer(s) and Defendants gives Defendants the ability unreasonably to raise the costs of the Acquirer(s), to lower the efficiency of the Acquirer(s), or otherwise to interfere in the ability of the Acquirer(s)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Apppointment of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Defendants shall notify the United States of that fact in writing, specifically identifying the Divestiture Assets that have not been divested. Upon application of the United States, the Court shall appoint a trustee selected by the United States and approved by the Court to effect the divestiture of the Divestiture Assets that have not yet been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trustee becomes effective, only the trustee shall have the right to sell the relevant Divestiture Assets. The trustee shall have the power and authority to accomplish the divestiture to an Acquirer acceptable to the United States at such price and on such terms as are then obtainable upon reasonable effort by the trustee, subject to the provisions of Sections IV, V, and VI of this Final Judgment, and shall have such other powers as this Court deems appropriate. Subject to Section V(D) of this Final Judgment, the trustee may hire at the cost and expense of Defendants any investment bankers, attorneys, or other agents, who shall be solely accountable to the trustee, reasonably necessary in the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trustee on any ground other than the trustee's malfeasance. Any such objections by Defendants must be conveyed in writing to the United States and the trustee within ten (10) calendar days after the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trustee shall serve at the cost and expense of Defendants pursuant to a written agreement, on such terms and conditions as the United States approves, including confidentiality requirements and conflict of interest certifications. The trustee shall account for all monies derived from the sale of the relevant Divestiture Assets and all costs and expenses so incurred. After approval by the Court of the trustee's accounting, including fees for its services yet unpaid and those of any professionals and agents retained by the trustee, all remaining money shall be paid to Defendants and the trust shall then be terminated. The compensation of the trustee and any professionals and agents retained by the trustee shall be reasonable in light of the value of the Divestiture Assets subject to sale by the trustee and based on a fee arrangement providing the trustee with an incentive based on the price and terms of the divestiture and the speed with which it is accomplished, but timeliness is paramount. If the trustee and Defendants are unable to reach agreement on the trustee's or any agents' or consultants' compensation or other terms and conditions of engagement within 14 calendar days of appointment of the trustee, the United States may, in its sole discretion, take appropriate action, including making a recommendation to the Court. The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trustee in accomplishing the required divestiture. The trustee and any consultants, accountants, attorneys, and other agents retained by the trustee shall have full and complete access to the personnel, books, records, and facilities of the business to be divested, and Defendants shall develop financial and other information relevant to such business as the trustee may reasonably request, subject to reasonable protection for trade secret or other confidential research, development, or commercial information or any applicable privileges. Defendants shall take no action to interfere with or to impede the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trustee shall file monthly reports with the United States and, as appropriate, the Court setting forth the trustee's efforts to accomplish the relevant divestitures ordered under this Final Judgment. To the extent such reports contain information that the trustee deems confidential, such report shall not be filed in the public docket of the Court. Such report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trustee shall maintain full records of all efforts made to divest the relevant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If the trustee has not accomplished the divestitures ordered under this Final Judgment within six (6) months after its appointment, the trustee shall promptly file with the Court a report setting forth (1) the trustee's efforts to accomplish the required divestiture, (2) the reasons, in the trustee's judgment, why the required divestiture has not been accomplished, and (3) the trustee's recommendations. To the extent such report contains information that the trustee deems confidential, such report shall not be filed in the public docket of the Court. </w:t>
      </w:r>
      <w:r>
        <w:rPr>
          <w:rFonts w:ascii="arial" w:eastAsia="arial" w:hAnsi="arial" w:cs="arial"/>
          <w:b/>
          <w:i w:val="0"/>
          <w:strike w:val="0"/>
          <w:noProof w:val="0"/>
          <w:color w:val="000000"/>
          <w:position w:val="0"/>
          <w:sz w:val="20"/>
          <w:u w:val="none"/>
          <w:vertAlign w:val="baseline"/>
        </w:rPr>
        <w:t> [*63218] </w:t>
      </w:r>
      <w:r>
        <w:rPr>
          <w:rFonts w:ascii="arial" w:eastAsia="arial" w:hAnsi="arial" w:cs="arial"/>
          <w:b w:val="0"/>
          <w:i w:val="0"/>
          <w:strike w:val="0"/>
          <w:noProof w:val="0"/>
          <w:color w:val="000000"/>
          <w:position w:val="0"/>
          <w:sz w:val="20"/>
          <w:u w:val="none"/>
          <w:vertAlign w:val="baseline"/>
        </w:rPr>
        <w:t xml:space="preserve"> The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trustee has ceased to act or failed to act diligently or in a reasonably cost-effective manner, it may recommend the Court appoint a substitute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trustee, whichever is then responsible for effecting the divestitures required herein, shall notify the United States of any proposed divestiture required by Section IV or V of this Final Judgment. If the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trustee, if applicable, additional information concerning the proposed divestiture, the proposed Acquirer, and any other potential Acquirers. Defendants and the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trustee, whichever is later, the United States shall provide written notice to Defendants and the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of this Final Judgment, Defendants shall deliver to the United States an affidavit as to the fact and manner of their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and complete the sale of the Divestiture Assets, including efforts to secure FCC or other regulatory approvals,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limitations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copies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No information or documents obtained by the means provided in this section shall be divulged by the United States to any person other than an authorized representative of the executive branch of the United States, except in the course of legal proceedings </w:t>
      </w:r>
      <w:r>
        <w:rPr>
          <w:rFonts w:ascii="arial" w:eastAsia="arial" w:hAnsi="arial" w:cs="arial"/>
          <w:b/>
          <w:i w:val="0"/>
          <w:strike w:val="0"/>
          <w:noProof w:val="0"/>
          <w:color w:val="000000"/>
          <w:position w:val="0"/>
          <w:sz w:val="20"/>
          <w:u w:val="none"/>
          <w:vertAlign w:val="baseline"/>
        </w:rPr>
        <w:t> [*63219] </w:t>
      </w:r>
      <w:r>
        <w:rPr>
          <w:rFonts w:ascii="arial" w:eastAsia="arial" w:hAnsi="arial" w:cs="arial"/>
          <w:b w:val="0"/>
          <w:i w:val="0"/>
          <w:strike w:val="0"/>
          <w:noProof w:val="0"/>
          <w:color w:val="000000"/>
          <w:position w:val="0"/>
          <w:sz w:val="20"/>
          <w:u w:val="none"/>
          <w:vertAlign w:val="baseline"/>
        </w:rPr>
        <w:t xml:space="preserve">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 Reacquisition and Other Prohibited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(1) reacquire any part of the Divestiture Assets, (2) acquire any option to reacquire any part of the Divestiture Assets or to assign the Divestiture Assets to any other person, (3) enter into any local marketing agreement, joint sales agreement, other cooperative selling arrangement, or shared services agreement, or conduct other business negotiations jointly with the Acquirers with respect to the Divestiture Assets, or (4) provide financing or guarantees of financing with respect to the Divestiture Assets, during the term of this Final Judgment. The shared services prohibition does not preclude Defendants from continuing or entering into agreements in a form customarily used in the industry to (1) share news helicopters or (2) pool generic video footage that does not include recording a reporter or other on-air talent, and does not preclude Defendants from entering into any non-sales-related shared services agreement or transition services agreement that is approved in advance by the United States in its sole discretion.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2016-22086 Filed 9-13-16;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63206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Mark.Merva@usdoj.gov"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3RTP-83N0-001T-D0C7-00000-00&amp;context=" TargetMode="External" /><Relationship Id="rId19" Type="http://schemas.openxmlformats.org/officeDocument/2006/relationships/hyperlink" Target="https://advance.lexis.com/api/document?collection=cases&amp;id=urn:contentItem:4NCK-65B0-TVT3-D3D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C2F-7GX1-F04C-Y0FY-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3S4W-Y8S0-001B-K1MJ-00000-00&amp;context=" TargetMode="External" /><Relationship Id="rId23" Type="http://schemas.openxmlformats.org/officeDocument/2006/relationships/hyperlink" Target="https://advance.lexis.com/api/document?collection=cases&amp;id=urn:contentItem:3S4X-16H0-0039-W1PJ-00000-00&amp;context=" TargetMode="External" /><Relationship Id="rId24" Type="http://schemas.openxmlformats.org/officeDocument/2006/relationships/hyperlink" Target="https://advance.lexis.com/api/document?collection=cases&amp;id=urn:contentItem:44N5-9DK0-0038-Y4CW-00000-00&amp;context=" TargetMode="External" /><Relationship Id="rId25" Type="http://schemas.openxmlformats.org/officeDocument/2006/relationships/hyperlink" Target="https://advance.lexis.com/api/document?collection=cases&amp;id=urn:contentItem:494T-VD60-0038-Y0P1-00000-00&amp;context=" TargetMode="External" /><Relationship Id="rId26" Type="http://schemas.openxmlformats.org/officeDocument/2006/relationships/hyperlink" Target="https://advance.lexis.com/api/document?collection=cases&amp;id=urn:contentItem:3S4V-KH30-0054-6289-00000-00&amp;context=" TargetMode="External" /><Relationship Id="rId27" Type="http://schemas.openxmlformats.org/officeDocument/2006/relationships/hyperlink" Target="https://advance.lexis.com/api/document?collection=cases&amp;id=urn:contentItem:3S4X-53H0-003B-S0M5-00000-00&amp;context=" TargetMode="External" /><Relationship Id="rId28" Type="http://schemas.openxmlformats.org/officeDocument/2006/relationships/hyperlink" Target="https://advance.lexis.com/api/document?collection=cases&amp;id=urn:contentItem:40T2-X8J0-0038-Y2SJ-00000-00&amp;context=" TargetMode="External" /><Relationship Id="rId29" Type="http://schemas.openxmlformats.org/officeDocument/2006/relationships/hyperlink" Target="https://advance.lexis.com/api/document?collection=cases&amp;id=urn:contentItem:3S4N-V3J0-0054-72HT-00000-00&amp;context=" TargetMode="External" /><Relationship Id="rId3" Type="http://schemas.openxmlformats.org/officeDocument/2006/relationships/fontTable" Target="fontTable.xml" /><Relationship Id="rId30" Type="http://schemas.openxmlformats.org/officeDocument/2006/relationships/hyperlink" Target="mailto:Ian.john@kirkland.com" TargetMode="External" /><Relationship Id="rId31" Type="http://schemas.openxmlformats.org/officeDocument/2006/relationships/hyperlink" Target="mailto:Barry.Nigro@friedfrank.com"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PJ-77W0-006W-84XK-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73212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