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65648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185, Friday, September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65648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HOUSING FINANCE AGENCY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Collection; Comment Request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60-day notice of submission of information collection for approval from Office of Management and Budget.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HOUSING FINANCE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 2016-N-07]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the requirements of the Paperwork Reduction Act of 1995, the Federal Housing Finance Agency (FHFA) is seeking public comments concerning the information collection known as the "Affordable Housing Program," which has been assigned control number 2590-0007 by the Office of Management and Budget (OMB). FHFA intends to submit the information collection to OMB for review and approval of a three-year extension of the control number, which is due to expire on November 30, 2016.</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10(j) of the Federal Home Loan Bank Act (Bank Act) requires FHFA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each of the 11 Federal Home Loan Banks (Banks) must establish an Affordable Housing Program (AHP), to provide subsidy to the Bank's member institutions to: (1) Finance homeownership by households with incomes at or below 80 percent of the area median income (low- or moderate-income households); and (2) to finance the purchase, construction, or rehabilitation of rental housing in which at least 20 percent of the units will be occupied by and affordable for households earning 50 percent or less of the area median income (very low-income households). n1 Section 10(j) also establishes standards and requirements for providing such subsidized funding to Bank members and requires each Bank to contribute 10 percent of its previous year's net earnings to its AHP annually, subject to a minimum annual combined contribution by the 11 Banks of $ 100 million.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12 U.S.C. 1430(j)(1)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12 U.S.C. 1430(j)(5)(C)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implements the statutory AHP requirements, is set forth at 12 CFR part 1291.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each Bank establish and fund an AHP and sets forth the parameters within which the Banks' programs must operate.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the Banks a degree of discretion in determining how their individual programs are to be implemented and requires that each Bank adopt an AHP Implementation Plan setting forth the specific requirements for that Bank's program.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12 CFR 1291.3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each Bank to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under which the Bank accepts applications for AHP subsidized advances or direct subsidies (grants) submitted by its members on behalf of non-member entities having a significant connection to the projects for which subsidy is being sought (project sponsors). n4 Each Bank accepts applications for AHP subsidy under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during a specified number of funding periods each year, as determined by the Bank. n5 A Bank must determine for each application it receives whether the proposed project meets the AHP regulatory eligibility requirements. n6 The Bank must score each application according to AHP regulatory and Bank-specific scoring guidelines, and approve the highest scoring projects within that funding period for AHP subsidy.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12 CFR 1291.5</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AHP project sponsor may be an entity that either: (1) has an ownership interest in a rental project; (2) is integrally involved in an owner-occupied project, such as by exercising control over the planning, development, or management of the project, or by qualifying borrowers and providing or arranging financing for the owners of the units; (3) operates a loan pool; or (4) is a revolving loan fund. </w:t>
      </w:r>
      <w:hyperlink r:id="rId11" w:history="1">
        <w:r>
          <w:rPr>
            <w:rFonts w:ascii="arial" w:eastAsia="arial" w:hAnsi="arial" w:cs="arial"/>
            <w:b w:val="0"/>
            <w:i/>
            <w:strike w:val="0"/>
            <w:noProof w:val="0"/>
            <w:color w:val="0077CC"/>
            <w:position w:val="0"/>
            <w:sz w:val="20"/>
            <w:u w:val="single"/>
            <w:vertAlign w:val="baseline"/>
          </w:rPr>
          <w:t>12 CFR 1291.1</w:t>
        </w:r>
      </w:hyperlink>
      <w:r>
        <w:rPr>
          <w:rFonts w:ascii="arial" w:eastAsia="arial" w:hAnsi="arial" w:cs="arial"/>
          <w:b w:val="0"/>
          <w:i w:val="0"/>
          <w:strike w:val="0"/>
          <w:noProof w:val="0"/>
          <w:color w:val="000000"/>
          <w:position w:val="0"/>
          <w:sz w:val="20"/>
          <w:u w:val="none"/>
          <w:vertAlign w:val="baseline"/>
        </w:rPr>
        <w:t xml:space="preserve"> (definition of "sponsor").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12 CFR 1291.5(b)(1)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0" w:history="1">
        <w:r>
          <w:rPr>
            <w:rFonts w:ascii="arial" w:eastAsia="arial" w:hAnsi="arial" w:cs="arial"/>
            <w:b w:val="0"/>
            <w:i/>
            <w:strike w:val="0"/>
            <w:noProof w:val="0"/>
            <w:color w:val="0077CC"/>
            <w:position w:val="0"/>
            <w:sz w:val="20"/>
            <w:u w:val="single"/>
            <w:vertAlign w:val="baseline"/>
          </w:rPr>
          <w:t>12 CFR 1291.5(c)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0" w:history="1">
        <w:r>
          <w:rPr>
            <w:rFonts w:ascii="arial" w:eastAsia="arial" w:hAnsi="arial" w:cs="arial"/>
            <w:b w:val="0"/>
            <w:i/>
            <w:strike w:val="0"/>
            <w:noProof w:val="0"/>
            <w:color w:val="0077CC"/>
            <w:position w:val="0"/>
            <w:sz w:val="20"/>
            <w:u w:val="single"/>
            <w:vertAlign w:val="baseline"/>
          </w:rPr>
          <w:t>12 CFR 1291.5(d)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prior to each disbursement of AHP subsidy for a project approved under a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the Bank must confirm that the project continues to meet the AHP regulatory eligibility requirements, as well as all commitments made in the approved AHP application. n8 As part of this process, Banks typically require that the member and project sponsor provide documentation demonstrating continuing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0" w:history="1">
        <w:r>
          <w:rPr>
            <w:rFonts w:ascii="arial" w:eastAsia="arial" w:hAnsi="arial" w:cs="arial"/>
            <w:b w:val="0"/>
            <w:i/>
            <w:strike w:val="0"/>
            <w:noProof w:val="0"/>
            <w:color w:val="0077CC"/>
            <w:position w:val="0"/>
            <w:sz w:val="20"/>
            <w:u w:val="single"/>
            <w:vertAlign w:val="baseline"/>
          </w:rPr>
          <w:t>12 CFR 1291.5(g)(3)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a Bank to approve a modification to the terms of an approved application that would change the score that the application received in the funding period in which it was originally scored and approved, had the changed facts been operative at that time. To approve a modification: (i) The project, incorporating the changes, must continue to meet the regulatory eligibility requirements; (ii) the application, as reflective of the changes, must continue to score high enough to have been approved in the funding period in which it was originally scored and approved; and (iii) there must be good cause for the modification, and the analysis and justification for the modification must be documented by the Bank in writing. n9 Banks typically require the member and project sponsor requesting a modification to provide a written analysis and justification as part of their modification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0" w:history="1">
        <w:r>
          <w:rPr>
            <w:rFonts w:ascii="arial" w:eastAsia="arial" w:hAnsi="arial" w:cs="arial"/>
            <w:b w:val="0"/>
            <w:i/>
            <w:strike w:val="0"/>
            <w:noProof w:val="0"/>
            <w:color w:val="0077CC"/>
            <w:position w:val="0"/>
            <w:sz w:val="20"/>
            <w:u w:val="single"/>
            <w:vertAlign w:val="baseline"/>
          </w:rPr>
          <w:t>12 CFR 1291.5(f)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generally that a Bank monitor each owner-occupied and rental project receiving AHP subsidy under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prior to and after project completion. For initial monitoring, a Bank must determine whether the project is making satisfactory progress towards completion, in compliance with the commitments made in the approved application, Bank policies, and the AHP regulatory requirements. Following project completion, the Bank must determine whether satisfactory progress is being made towards occupancy of the project by eligible households, and whether the project meets the regulatory requirements and the commitments made in the approved application. n10 For long-term monitoring of rental projects, subject to certain exceptions in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Bank must determine whether, during the 15-year retention period, the household incomes and rents comply with the income targeting and rent commitments made in the approved application. n11 For both the initial and long-term monitoring, a Bank must review appropriate documentation maintained by the project sponsor.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2" w:history="1">
        <w:r>
          <w:rPr>
            <w:rFonts w:ascii="arial" w:eastAsia="arial" w:hAnsi="arial" w:cs="arial"/>
            <w:b w:val="0"/>
            <w:i/>
            <w:strike w:val="0"/>
            <w:noProof w:val="0"/>
            <w:color w:val="0077CC"/>
            <w:position w:val="0"/>
            <w:sz w:val="20"/>
            <w:u w:val="single"/>
            <w:vertAlign w:val="baseline"/>
          </w:rPr>
          <w:t>12 CFR 1291.7(a)(1)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2" w:history="1">
        <w:r>
          <w:rPr>
            <w:rFonts w:ascii="arial" w:eastAsia="arial" w:hAnsi="arial" w:cs="arial"/>
            <w:b w:val="0"/>
            <w:i/>
            <w:strike w:val="0"/>
            <w:noProof w:val="0"/>
            <w:color w:val="0077CC"/>
            <w:position w:val="0"/>
            <w:sz w:val="20"/>
            <w:u w:val="single"/>
            <w:vertAlign w:val="baseline"/>
          </w:rPr>
          <w:t>12 CFR 1291.7(a)(4)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Homeownership Set-Aside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authorizes each Bank, in its discretion, to allocate up to the greater of $ 4.5 million or 35 percent of its annual required AHP contribution to establish homeownership set-aside programs for the purpose of promoting homeownership for low- or moderate-income households. n12 Under these </w:t>
      </w:r>
      <w:r>
        <w:rPr>
          <w:rFonts w:ascii="arial" w:eastAsia="arial" w:hAnsi="arial" w:cs="arial"/>
          <w:b/>
          <w:i w:val="0"/>
          <w:strike w:val="0"/>
          <w:noProof w:val="0"/>
          <w:color w:val="000000"/>
          <w:position w:val="0"/>
          <w:sz w:val="20"/>
          <w:u w:val="none"/>
          <w:vertAlign w:val="baseline"/>
        </w:rPr>
        <w:t> [*65650] </w:t>
      </w:r>
      <w:r>
        <w:rPr>
          <w:rFonts w:ascii="arial" w:eastAsia="arial" w:hAnsi="arial" w:cs="arial"/>
          <w:b w:val="0"/>
          <w:i w:val="0"/>
          <w:strike w:val="0"/>
          <w:noProof w:val="0"/>
          <w:color w:val="000000"/>
          <w:position w:val="0"/>
          <w:sz w:val="20"/>
          <w:u w:val="none"/>
          <w:vertAlign w:val="baseline"/>
        </w:rPr>
        <w:t xml:space="preserve"> homeownership set-aside programs, a Bank may provide to its members AHP direct subsidies, which are to be provided by the members to eligible households as a grant to pay for down payment, closing cost, counseling cost or rehabilitation assistance in connection with the household's purchase of a primary residence or rehabilitation of an owner-occupied residence. n13 Prior to the Bank's disbursement of a direct subsidy under its homeownership set-aside program, the member must provide a certification that the subsidy will be provided in compliance with all applicable regulatory eligibility requirements.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3" w:history="1">
        <w:r>
          <w:rPr>
            <w:rFonts w:ascii="arial" w:eastAsia="arial" w:hAnsi="arial" w:cs="arial"/>
            <w:b w:val="0"/>
            <w:i/>
            <w:strike w:val="0"/>
            <w:noProof w:val="0"/>
            <w:color w:val="0077CC"/>
            <w:position w:val="0"/>
            <w:sz w:val="20"/>
            <w:u w:val="single"/>
            <w:vertAlign w:val="baseline"/>
          </w:rPr>
          <w:t>12 CFR 1291.2(b)(2)</w:t>
        </w:r>
      </w:hyperlink>
      <w:r>
        <w:rPr>
          <w:rFonts w:ascii="arial" w:eastAsia="arial" w:hAnsi="arial" w:cs="arial"/>
          <w:b w:val="0"/>
          <w:i w:val="0"/>
          <w:strike w:val="0"/>
          <w:noProof w:val="0"/>
          <w:color w:val="000000"/>
          <w:position w:val="0"/>
          <w:sz w:val="20"/>
          <w:u w:val="none"/>
          <w:vertAlign w:val="baseline"/>
        </w:rPr>
        <w:t>; 1291.6.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4" w:history="1">
        <w:r>
          <w:rPr>
            <w:rFonts w:ascii="arial" w:eastAsia="arial" w:hAnsi="arial" w:cs="arial"/>
            <w:b w:val="0"/>
            <w:i/>
            <w:strike w:val="0"/>
            <w:noProof w:val="0"/>
            <w:color w:val="0077CC"/>
            <w:position w:val="0"/>
            <w:sz w:val="20"/>
            <w:u w:val="single"/>
            <w:vertAlign w:val="baseline"/>
          </w:rPr>
          <w:t>12 CFR 1291.6(c)(4)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2" w:history="1">
        <w:r>
          <w:rPr>
            <w:rFonts w:ascii="arial" w:eastAsia="arial" w:hAnsi="arial" w:cs="arial"/>
            <w:b w:val="0"/>
            <w:i/>
            <w:strike w:val="0"/>
            <w:noProof w:val="0"/>
            <w:color w:val="0077CC"/>
            <w:position w:val="0"/>
            <w:sz w:val="20"/>
            <w:u w:val="single"/>
            <w:vertAlign w:val="baseline"/>
          </w:rPr>
          <w:t>12 CFR 1291.7(b)(2)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AHP Information Submitted by Banks to FHFA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Data Reporting Manual (DRM) requires each Bank to submit to FHFA aggregate AHP information. n15 The DRM requires each Bank to submit to FHFA project-level information regarding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and household-level information regarding its homeownership set-aside program semi-annually. The information the Banks are required to submit to FHFA under the DRM is derived from the documentation submitted by Bank members and project sponsors that is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AHP reporting requirements are located in chapter 5 of the DRM, which is available electronically on FHFA's public Web site at </w:t>
      </w:r>
      <w:hyperlink r:id="rId15" w:history="1">
        <w:r>
          <w:rPr>
            <w:rFonts w:ascii="arial" w:eastAsia="arial" w:hAnsi="arial" w:cs="arial"/>
            <w:b w:val="0"/>
            <w:i/>
            <w:strike w:val="0"/>
            <w:noProof w:val="0"/>
            <w:color w:val="0077CC"/>
            <w:position w:val="0"/>
            <w:sz w:val="20"/>
            <w:u w:val="single"/>
            <w:vertAlign w:val="baseline"/>
          </w:rPr>
          <w:t>http://www.fhfa.gov/SupervisionRegulation/FederalHomeLoanBanks/Documents/FHFB-Resolutions/2006/2006-13-Attachment.pdf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Need for and Use of the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Banks use the information collected under part 1291 to determine whether: (1) Projects for which Bank members and project sponsors are seeking subsidies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satisfy the applicable statutory and regulatory requirements and score highly enough in comparison with other applications submitted during the same funding period to be approved for AHP subsidies; (2)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continue to meet the applicable requirements and to comply with the commitments made in the approved applications each time subsidy is disbursed; (3) requests for modifications of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meet the regulatory requirements for approval; (4)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are making satisfactory progress towards completion, and following project completion, are making satisfactory progress towards occupancy of the project by eligible households, in compliance with the commitments made in the approved applications, Bank policies, and the regulatory requirements (initial monitoring); (5) during the 15-year retention period, completed rental projects continue to comply with the household income targeting and rent commitments made in the approved applications (long-term monitoring); and (6) applications for direct subsidy under Banks' homeownership set-aside programs were approved, and the direct subsidies disbursed, in accordance with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uses the information required to be submitted by the Banks under the DRM to verify that the Banks' funding decisions, and the use of the funds awarded, were consistent with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OMB control number for the information collection is 2590-0007. The current clearance expires on November 30, 2016. The likely respondents are institutions that are Bank members and non-member entities that sponsor an AHP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analyzed each of the six facets of this information collection in order to estimate the hour burdens that the collection will impose upon Bank members and AHP project sponsors annually over the next three years. Based on that analysis, FHFA estimates that the total annual hour burden will be 115,750. The method FHFA used to determine the annual hour burden for each facet of the information collection is explained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Bank members, on behalf of project sponsors, will submit to the Banks an annual average of 1,350 applications for AHP subsidies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application will be 24 hours. The estimate for the total annual hour burden on members and project sponsors in connection with the preparation and submission of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is 32,400 hours (1,350 applications x 24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 Compliance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Projects at AHP Subsidy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Bank members, on behalf of project sponsors, will make an annual average of 700 submissions to the Banks documenting that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continue to comply with the regulatory eligibility requirements and all commitments made in the approved applications at the time each AHP subsidy is disbursed, and that the average preparation time for each submission will be 1 hour. The estimate for the total annual hour burden on members and project sponsors in connection with the preparation and submission of these compliance submissions is 700 hours (700 submissions x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III. Modification Requests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Bank members, on behalf of project sponsors, will submit to the Banks an annual average of 300 requests for modifications to projects that have been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request will be 2.5 hours. The estimate for the total annual hour burden on members and project sponsors in connection with the preparation and submission of these modification requests is 750 hours (300 requests x 2.5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IV. Initial Monitoring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project sponsors will make an annual average of 500 submissions of documentation to the Banks for purposes of the Banks' initial monitoring of in-progress and recently completed projects approved under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submission will be 5 hours. The estimate for the total annual hour burden on project sponsors in connection with the preparation and submission of documentation required for initial monitoring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is 2,500 hours (500 submissions x 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V. Long-Term Monitoring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Program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project sponsors will make an annual average of 4,800 submissions of documentation to the Banks for purposes of the Banks' long-term monitoring of completed projects approved under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submission will be 3 hours. The estimate for the total annual hour burden on project sponsors in connection with the preparation and </w:t>
      </w:r>
      <w:r>
        <w:rPr>
          <w:rFonts w:ascii="arial" w:eastAsia="arial" w:hAnsi="arial" w:cs="arial"/>
          <w:b/>
          <w:i w:val="0"/>
          <w:strike w:val="0"/>
          <w:noProof w:val="0"/>
          <w:color w:val="000000"/>
          <w:position w:val="0"/>
          <w:sz w:val="20"/>
          <w:u w:val="none"/>
          <w:vertAlign w:val="baseline"/>
        </w:rPr>
        <w:t> [*65651] </w:t>
      </w:r>
      <w:r>
        <w:rPr>
          <w:rFonts w:ascii="arial" w:eastAsia="arial" w:hAnsi="arial" w:cs="arial"/>
          <w:b w:val="0"/>
          <w:i w:val="0"/>
          <w:strike w:val="0"/>
          <w:noProof w:val="0"/>
          <w:color w:val="000000"/>
          <w:position w:val="0"/>
          <w:sz w:val="20"/>
          <w:u w:val="none"/>
          <w:vertAlign w:val="baseline"/>
        </w:rPr>
        <w:t xml:space="preserve"> submission of documentation required for long-term monitoring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is 14,400 hours (4,800 submissions x 3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Homeownership Set-aside Program Applications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estimates that Bank members will submit to the Banks an annual average of 13,000 applications and required certifications for AHP direct subsidies under the Banks' homeownership set-aside programs, and that the average preparation time for those submissions together will be 5 hours. The estimate for the total annual hour burden on members in connection with the preparation and submission of homeownership set-aside program applications and certifications is 65,000 hours (13,000 applications/certifications x 5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Public Comments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are requested on: (1) Whether the collection of information is necessary for the proper performance of FHFA functions, including whether the information has practical utility; (2) the accuracy of FHFA's estimates of the burdens of the collection of information; (3) ways to enhance the quality, utility, and clarity of the information collected; and (4) ways to minimize the burden of the collection of information on members and project sponsors,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Kevin Winkler,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Information Officer, Federal Housing Finance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2016-22947 Filed 9-22-16;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8070-01-P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Interested persons may submit comments on or before November 22,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to FHFA, identified by "Proposed Collection; Comment Request: Affordable Housing Program, (No. 2016-N-07)'" by any of the following methods: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 site: </w:t>
      </w:r>
      <w:hyperlink r:id="rId16" w:history="1">
        <w:r>
          <w:rPr>
            <w:rFonts w:ascii="arial" w:eastAsia="arial" w:hAnsi="arial" w:cs="arial"/>
            <w:b w:val="0"/>
            <w:i/>
            <w:strike w:val="0"/>
            <w:noProof w:val="0"/>
            <w:color w:val="0077CC"/>
            <w:position w:val="0"/>
            <w:sz w:val="20"/>
            <w:u w:val="single"/>
            <w:vertAlign w:val="baseline"/>
          </w:rPr>
          <w:t>www.fhfa.gov/open-for-comment-or-input</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If you submit your comment to the Federal eRulemaking Portal, please also send it by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to FHFA at </w:t>
      </w:r>
      <w:hyperlink r:id="rId18" w:history="1">
        <w:r>
          <w:rPr>
            <w:rFonts w:ascii="arial" w:eastAsia="arial" w:hAnsi="arial" w:cs="arial"/>
            <w:b w:val="0"/>
            <w:i/>
            <w:strike w:val="0"/>
            <w:noProof w:val="0"/>
            <w:color w:val="0077CC"/>
            <w:position w:val="0"/>
            <w:sz w:val="20"/>
            <w:u w:val="single"/>
            <w:vertAlign w:val="baseline"/>
          </w:rPr>
          <w:t>RegComments@fhfa.gov</w:t>
        </w:r>
      </w:hyperlink>
      <w:r>
        <w:rPr>
          <w:rFonts w:ascii="arial" w:eastAsia="arial" w:hAnsi="arial" w:cs="arial"/>
          <w:b w:val="0"/>
          <w:i w:val="0"/>
          <w:strike w:val="0"/>
          <w:noProof w:val="0"/>
          <w:color w:val="000000"/>
          <w:position w:val="0"/>
          <w:sz w:val="20"/>
          <w:u w:val="none"/>
          <w:vertAlign w:val="baseline"/>
        </w:rPr>
        <w:t xml:space="preserve"> to ensure timely receipt by the agency.</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Mail/Hand Delivery:</w:t>
      </w:r>
      <w:r>
        <w:rPr>
          <w:rFonts w:ascii="arial" w:eastAsia="arial" w:hAnsi="arial" w:cs="arial"/>
          <w:b w:val="0"/>
          <w:i w:val="0"/>
          <w:strike w:val="0"/>
          <w:noProof w:val="0"/>
          <w:color w:val="000000"/>
          <w:position w:val="0"/>
          <w:sz w:val="20"/>
          <w:u w:val="none"/>
          <w:vertAlign w:val="baseline"/>
        </w:rPr>
        <w:t xml:space="preserve"> Federal Housing Finance Agency, Eighth Floor, </w:t>
      </w:r>
      <w:r>
        <w:rPr>
          <w:rFonts w:ascii="arial" w:eastAsia="arial" w:hAnsi="arial" w:cs="arial"/>
          <w:b/>
          <w:i w:val="0"/>
          <w:strike w:val="0"/>
          <w:noProof w:val="0"/>
          <w:color w:val="000000"/>
          <w:position w:val="0"/>
          <w:sz w:val="20"/>
          <w:u w:val="none"/>
          <w:vertAlign w:val="baseline"/>
        </w:rPr>
        <w:t> [*65649] </w:t>
      </w:r>
      <w:r>
        <w:rPr>
          <w:rFonts w:ascii="arial" w:eastAsia="arial" w:hAnsi="arial" w:cs="arial"/>
          <w:b w:val="0"/>
          <w:i w:val="0"/>
          <w:strike w:val="0"/>
          <w:noProof w:val="0"/>
          <w:color w:val="000000"/>
          <w:position w:val="0"/>
          <w:sz w:val="20"/>
          <w:u w:val="none"/>
          <w:vertAlign w:val="baseline"/>
        </w:rPr>
        <w:t xml:space="preserve"> 400 Seventh Street SW., Washington, DC 20219, ATTENTION: Proposed Collection; Comment Request: "Affordable Housing Program, (No. 2016-N-07)".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post all public comments we receive without change, including any personal information you provide, such as your name and address, email address, and telephone number, on the FHFA Web site at </w:t>
      </w:r>
      <w:hyperlink r:id="rId19" w:history="1">
        <w:r>
          <w:rPr>
            <w:rFonts w:ascii="arial" w:eastAsia="arial" w:hAnsi="arial" w:cs="arial"/>
            <w:b w:val="0"/>
            <w:i/>
            <w:strike w:val="0"/>
            <w:noProof w:val="0"/>
            <w:color w:val="0077CC"/>
            <w:position w:val="0"/>
            <w:sz w:val="20"/>
            <w:u w:val="single"/>
            <w:vertAlign w:val="baseline"/>
          </w:rPr>
          <w:t>http://www.fhfa.gov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copies of all comments received will be available for examination by the public on business days between the hours of 10 a.m. and 3 p.m., at the Federal Housing Finance Agency, Eighth Floor, 400 Seventh Street SW., Washington, DC 20219. To make an appointment to inspect comments, please call the Office of General Counsel at (202) 649-3804.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Deattra D. Perkins, Senior Policy Analyst, Division of Housing Mission &amp; Goals, </w:t>
      </w:r>
      <w:hyperlink r:id="rId20" w:history="1">
        <w:r>
          <w:rPr>
            <w:rFonts w:ascii="arial" w:eastAsia="arial" w:hAnsi="arial" w:cs="arial"/>
            <w:b w:val="0"/>
            <w:i/>
            <w:strike w:val="0"/>
            <w:noProof w:val="0"/>
            <w:color w:val="0077CC"/>
            <w:position w:val="0"/>
            <w:sz w:val="20"/>
            <w:u w:val="single"/>
            <w:vertAlign w:val="baseline"/>
          </w:rPr>
          <w:t>Deattra.Perkins@fhfa.gov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649-3133; or Sylvia C. Martinez, Manager, Federal Home Loan Bank Housing and Community Investment Programs, Division of Housing Mission &amp; Goals, </w:t>
      </w:r>
      <w:hyperlink r:id="rId21" w:history="1">
        <w:r>
          <w:rPr>
            <w:rFonts w:ascii="arial" w:eastAsia="arial" w:hAnsi="arial" w:cs="arial"/>
            <w:b w:val="0"/>
            <w:i/>
            <w:strike w:val="0"/>
            <w:noProof w:val="0"/>
            <w:color w:val="0077CC"/>
            <w:position w:val="0"/>
            <w:sz w:val="20"/>
            <w:u w:val="single"/>
            <w:vertAlign w:val="baseline"/>
          </w:rPr>
          <w:t>Sylvia.Martinez@fhfa.gov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649-3301 (these are not toll-free numbers); Federal Housing Finance Agency, 400 Seventh Street SW., Washington, DC 20219. The Telecommunications Device for the Hearing Impaired is (800) 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65648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WM-SPH0-008G-Y43Y-00000-00&amp;context=" TargetMode="External" /><Relationship Id="rId11" Type="http://schemas.openxmlformats.org/officeDocument/2006/relationships/hyperlink" Target="https://advance.lexis.com/api/document?collection=administrative-codes&amp;id=urn:contentItem:5MWM-SPH0-008G-Y43W-00000-00&amp;context=" TargetMode="External" /><Relationship Id="rId12" Type="http://schemas.openxmlformats.org/officeDocument/2006/relationships/hyperlink" Target="https://advance.lexis.com/api/document?collection=administrative-codes&amp;id=urn:contentItem:5MWM-SPF0-008G-Y3CV-00000-00&amp;context=" TargetMode="External" /><Relationship Id="rId13" Type="http://schemas.openxmlformats.org/officeDocument/2006/relationships/hyperlink" Target="https://advance.lexis.com/api/document?collection=administrative-codes&amp;id=urn:contentItem:5MWM-SPH0-008G-Y43X-00000-00&amp;context=" TargetMode="External" /><Relationship Id="rId14" Type="http://schemas.openxmlformats.org/officeDocument/2006/relationships/hyperlink" Target="https://advance.lexis.com/api/document?collection=administrative-codes&amp;id=urn:contentItem:5MWM-SPH0-008G-Y440-00000-00&amp;context=" TargetMode="External" /><Relationship Id="rId15" Type="http://schemas.openxmlformats.org/officeDocument/2006/relationships/hyperlink" Target="http://www.fhfa.gov/SupervisionRegulation/FederalHomeLoanBanks/Documents/FHFB-Resolutions/2006/2006-13-Attachment.pdf" TargetMode="External" /><Relationship Id="rId16" Type="http://schemas.openxmlformats.org/officeDocument/2006/relationships/hyperlink" Target="http://www.fhfa.gov/open-for-comment-or-input" TargetMode="External" /><Relationship Id="rId17" Type="http://schemas.openxmlformats.org/officeDocument/2006/relationships/hyperlink" Target="http://www.regulations.gov" TargetMode="External" /><Relationship Id="rId18" Type="http://schemas.openxmlformats.org/officeDocument/2006/relationships/hyperlink" Target="mailto:RegComments@fhfa.gov" TargetMode="External" /><Relationship Id="rId19" Type="http://schemas.openxmlformats.org/officeDocument/2006/relationships/hyperlink" Target="http://www.fhfa.gov" TargetMode="External" /><Relationship Id="rId2" Type="http://schemas.openxmlformats.org/officeDocument/2006/relationships/webSettings" Target="webSettings.xml" /><Relationship Id="rId20" Type="http://schemas.openxmlformats.org/officeDocument/2006/relationships/hyperlink" Target="mailto:Deattra.Perkins@fhfa.gov" TargetMode="External" /><Relationship Id="rId21" Type="http://schemas.openxmlformats.org/officeDocument/2006/relationships/hyperlink" Target="mailto:Sylvia.Martinez@fhfa.gov"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SG-D330-006W-80SG-00000-00&amp;context=" TargetMode="External" /><Relationship Id="rId8" Type="http://schemas.openxmlformats.org/officeDocument/2006/relationships/hyperlink" Target="https://advance.lexis.com/api/document?collection=statutes-legislation&amp;id=urn:contentItem:4YF7-GSM1-NRF4-44FB-00000-00&amp;context=" TargetMode="External" /><Relationship Id="rId9" Type="http://schemas.openxmlformats.org/officeDocument/2006/relationships/hyperlink" Target="https://advance.lexis.com/api/document?collection=administrative-codes&amp;id=urn:contentItem:5MWM-SPF0-008G-Y3C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71492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