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69127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69127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ISE Mercury, LLC;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34-78980; File No. SR-ISEMercury-2016-16]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ISE Mercury, LLC ("ISE Mercury")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www.ise.com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w:t>
      </w:r>
      <w:r>
        <w:rPr>
          <w:rFonts w:ascii="arial" w:eastAsia="arial" w:hAnsi="arial" w:cs="arial"/>
          <w:b/>
          <w:i w:val="0"/>
          <w:strike w:val="0"/>
          <w:noProof w:val="0"/>
          <w:color w:val="000000"/>
          <w:position w:val="0"/>
          <w:sz w:val="20"/>
          <w:u w:val="none"/>
          <w:vertAlign w:val="baseline"/>
        </w:rPr>
        <w:t> [*69128]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w:t>
      </w:r>
      <w:r>
        <w:rPr>
          <w:rFonts w:ascii="arial" w:eastAsia="arial" w:hAnsi="arial" w:cs="arial"/>
          <w:b/>
          <w:i w:val="0"/>
          <w:strike w:val="0"/>
          <w:noProof w:val="0"/>
          <w:color w:val="000000"/>
          <w:position w:val="0"/>
          <w:sz w:val="20"/>
          <w:u w:val="none"/>
          <w:vertAlign w:val="baseline"/>
        </w:rPr>
        <w:t> [*69129] </w:t>
      </w:r>
      <w:r>
        <w:rPr>
          <w:rFonts w:ascii="arial" w:eastAsia="arial" w:hAnsi="arial" w:cs="arial"/>
          <w:b w:val="0"/>
          <w:i w:val="0"/>
          <w:strike w:val="0"/>
          <w:noProof w:val="0"/>
          <w:color w:val="000000"/>
          <w:position w:val="0"/>
          <w:sz w:val="20"/>
          <w:u w:val="none"/>
          <w:vertAlign w:val="baseline"/>
        </w:rPr>
        <w:t xml:space="preserve">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 </w:t>
      </w:r>
      <w:r>
        <w:rPr>
          <w:rFonts w:ascii="arial" w:eastAsia="arial" w:hAnsi="arial" w:cs="arial"/>
          <w:b/>
          <w:i w:val="0"/>
          <w:strike w:val="0"/>
          <w:noProof w:val="0"/>
          <w:color w:val="000000"/>
          <w:position w:val="0"/>
          <w:sz w:val="20"/>
          <w:u w:val="none"/>
          <w:vertAlign w:val="baseline"/>
        </w:rPr>
        <w:t> [*69130]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 (l)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establishes the information the Stockholder Nominee must deliver to Nasdaq's Corporate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w:t>
      </w:r>
      <w:r>
        <w:rPr>
          <w:rFonts w:ascii="arial" w:eastAsia="arial" w:hAnsi="arial" w:cs="arial"/>
          <w:b/>
          <w:i w:val="0"/>
          <w:strike w:val="0"/>
          <w:noProof w:val="0"/>
          <w:color w:val="000000"/>
          <w:position w:val="0"/>
          <w:sz w:val="20"/>
          <w:u w:val="none"/>
          <w:vertAlign w:val="baseline"/>
        </w:rPr>
        <w:t> [*69131] </w:t>
      </w:r>
      <w:r>
        <w:rPr>
          <w:rFonts w:ascii="arial" w:eastAsia="arial" w:hAnsi="arial" w:cs="arial"/>
          <w:b w:val="0"/>
          <w:i w:val="0"/>
          <w:strike w:val="0"/>
          <w:noProof w:val="0"/>
          <w:color w:val="000000"/>
          <w:position w:val="0"/>
          <w:sz w:val="20"/>
          <w:u w:val="none"/>
          <w:vertAlign w:val="baseline"/>
        </w:rPr>
        <w:t xml:space="preserv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Stockholder Nominee(s) and/or the applicable Eligible Stockholder have breached its or their obligations under </w:t>
      </w:r>
      <w:r>
        <w:rPr>
          <w:rFonts w:ascii="arial" w:eastAsia="arial" w:hAnsi="arial" w:cs="arial"/>
          <w:b/>
          <w:i w:val="0"/>
          <w:strike w:val="0"/>
          <w:noProof w:val="0"/>
          <w:color w:val="000000"/>
          <w:position w:val="0"/>
          <w:sz w:val="20"/>
          <w:u w:val="none"/>
          <w:vertAlign w:val="baseline"/>
        </w:rPr>
        <w:t> [*69132] </w:t>
      </w:r>
      <w:r>
        <w:rPr>
          <w:rFonts w:ascii="arial" w:eastAsia="arial" w:hAnsi="arial" w:cs="arial"/>
          <w:b w:val="0"/>
          <w:i w:val="0"/>
          <w:strike w:val="0"/>
          <w:noProof w:val="0"/>
          <w:color w:val="000000"/>
          <w:position w:val="0"/>
          <w:sz w:val="20"/>
          <w:u w:val="none"/>
          <w:vertAlign w:val="baseline"/>
        </w:rPr>
        <w:t xml:space="preserve">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n41 in general, and furthers the objectives of Section 6(b)(5) of the Act, n42 in particular, in that it is designed to promote just and equitable principles of trade,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The Exchange believes that, by permitting an Eligible Stockholder of Nasdaq that meets the stated requirements to nominate directors and have its nominees included in Nasdaq's annual meeting proxy statement, the proposed rule change strengthens the corporate governance of the Exchange's ultimate parent company, which is beneficial to both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for the protection of the Company and its investors. Specifically, the procedural requirements will protect investors by stating clearly and explicitly the procedures stockholders </w:t>
      </w:r>
      <w:r>
        <w:rPr>
          <w:rFonts w:ascii="arial" w:eastAsia="arial" w:hAnsi="arial" w:cs="arial"/>
          <w:b/>
          <w:i w:val="0"/>
          <w:strike w:val="0"/>
          <w:noProof w:val="0"/>
          <w:color w:val="000000"/>
          <w:position w:val="0"/>
          <w:sz w:val="20"/>
          <w:u w:val="none"/>
          <w:vertAlign w:val="baseline"/>
        </w:rPr>
        <w:t> [*69133] </w:t>
      </w:r>
      <w:r>
        <w:rPr>
          <w:rFonts w:ascii="arial" w:eastAsia="arial" w:hAnsi="arial" w:cs="arial"/>
          <w:b w:val="0"/>
          <w:i w:val="0"/>
          <w:strike w:val="0"/>
          <w:noProof w:val="0"/>
          <w:color w:val="000000"/>
          <w:position w:val="0"/>
          <w:sz w:val="20"/>
          <w:u w:val="none"/>
          <w:vertAlign w:val="baseline"/>
        </w:rPr>
        <w:t xml:space="preserve"> must follow in order to submit a proper proxy access nomination. The informational requirements will enhance investor protection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enhance investor protection and the public interest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the Exchange,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SR-ISEMercury-2016-16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SR-ISEMercury-2016-16.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SR-ISEMercury-2016-16 and should be submitted on or before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3"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2016-24002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69127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se.com"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hyperlink" Target="https://advance.lexis.com/api/document?collection=administrative-codes&amp;id=urn:contentItem:5SPP-2120-008G-Y2ND-00000-00&amp;context="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D2-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71343907</vt:lpwstr>
  </property>
  <property fmtid="{D5CDD505-2E9C-101B-9397-08002B2CF9AE}" pid="3" name="LADocCount">
    <vt:lpwstr>1</vt:lpwstr>
  </property>
  <property fmtid="{D5CDD505-2E9C-101B-9397-08002B2CF9AE}" pid="4" name="UserPermID">
    <vt:lpwstr>urn:user:PA185916758</vt:lpwstr>
  </property>
</Properties>
</file>