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ISE Gemini, LLC;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34-78981; File No. SR-ISEGemini-2016-10]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ISE Gemini, LLC ("ISE Gemini")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www.ise.com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w:t>
      </w:r>
      <w:r>
        <w:rPr>
          <w:rFonts w:ascii="arial" w:eastAsia="arial" w:hAnsi="arial" w:cs="arial"/>
          <w:b/>
          <w:i w:val="0"/>
          <w:strike w:val="0"/>
          <w:noProof w:val="0"/>
          <w:color w:val="000000"/>
          <w:position w:val="0"/>
          <w:sz w:val="20"/>
          <w:u w:val="none"/>
          <w:vertAlign w:val="baseline"/>
        </w:rPr>
        <w:t> [*69166] </w:t>
      </w:r>
      <w:r>
        <w:rPr>
          <w:rFonts w:ascii="arial" w:eastAsia="arial" w:hAnsi="arial" w:cs="arial"/>
          <w:b w:val="0"/>
          <w:i w:val="0"/>
          <w:strike w:val="0"/>
          <w:noProof w:val="0"/>
          <w:color w:val="000000"/>
          <w:position w:val="0"/>
          <w:sz w:val="20"/>
          <w:u w:val="none"/>
          <w:vertAlign w:val="baseline"/>
        </w:rPr>
        <w:t xml:space="preserv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w:t>
      </w:r>
      <w:r>
        <w:rPr>
          <w:rFonts w:ascii="arial" w:eastAsia="arial" w:hAnsi="arial" w:cs="arial"/>
          <w:b/>
          <w:i w:val="0"/>
          <w:strike w:val="0"/>
          <w:noProof w:val="0"/>
          <w:color w:val="000000"/>
          <w:position w:val="0"/>
          <w:sz w:val="20"/>
          <w:u w:val="none"/>
          <w:vertAlign w:val="baseline"/>
        </w:rPr>
        <w:t> [*69167] </w:t>
      </w:r>
      <w:r>
        <w:rPr>
          <w:rFonts w:ascii="arial" w:eastAsia="arial" w:hAnsi="arial" w:cs="arial"/>
          <w:b w:val="0"/>
          <w:i w:val="0"/>
          <w:strike w:val="0"/>
          <w:noProof w:val="0"/>
          <w:color w:val="000000"/>
          <w:position w:val="0"/>
          <w:sz w:val="20"/>
          <w:u w:val="none"/>
          <w:vertAlign w:val="baseline"/>
        </w:rPr>
        <w:t xml:space="preserv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w:t>
      </w:r>
      <w:r>
        <w:rPr>
          <w:rFonts w:ascii="arial" w:eastAsia="arial" w:hAnsi="arial" w:cs="arial"/>
          <w:b/>
          <w:i w:val="0"/>
          <w:strike w:val="0"/>
          <w:noProof w:val="0"/>
          <w:color w:val="000000"/>
          <w:position w:val="0"/>
          <w:sz w:val="20"/>
          <w:u w:val="none"/>
          <w:vertAlign w:val="baseline"/>
        </w:rPr>
        <w:t> [*69168] </w:t>
      </w:r>
      <w:r>
        <w:rPr>
          <w:rFonts w:ascii="arial" w:eastAsia="arial" w:hAnsi="arial" w:cs="arial"/>
          <w:b w:val="0"/>
          <w:i w:val="0"/>
          <w:strike w:val="0"/>
          <w:noProof w:val="0"/>
          <w:color w:val="000000"/>
          <w:position w:val="0"/>
          <w:sz w:val="20"/>
          <w:u w:val="none"/>
          <w:vertAlign w:val="baseline"/>
        </w:rPr>
        <w:t xml:space="preserve">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undertaking that the Eligible Stockholder agrees to: </w:t>
      </w:r>
      <w:r>
        <w:rPr>
          <w:rFonts w:ascii="arial" w:eastAsia="arial" w:hAnsi="arial" w:cs="arial"/>
          <w:b/>
          <w:i w:val="0"/>
          <w:strike w:val="0"/>
          <w:noProof w:val="0"/>
          <w:color w:val="000000"/>
          <w:position w:val="0"/>
          <w:sz w:val="20"/>
          <w:u w:val="none"/>
          <w:vertAlign w:val="baseline"/>
        </w:rPr>
        <w:t> [*69169]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 </w:t>
      </w:r>
      <w:r>
        <w:rPr>
          <w:rFonts w:ascii="arial" w:eastAsia="arial" w:hAnsi="arial" w:cs="arial"/>
          <w:b/>
          <w:i w:val="0"/>
          <w:strike w:val="0"/>
          <w:noProof w:val="0"/>
          <w:color w:val="000000"/>
          <w:position w:val="0"/>
          <w:sz w:val="20"/>
          <w:u w:val="none"/>
          <w:vertAlign w:val="baseline"/>
        </w:rPr>
        <w:t> [*69170]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 there are matters involving a proxy access nomination that are open to interpretation, proposed Section 3.6(k) states that the Board (or any other person or body authorized by the Board) shall have exclusive power and authority to interpret the proxy access </w:t>
      </w:r>
      <w:r>
        <w:rPr>
          <w:rFonts w:ascii="arial" w:eastAsia="arial" w:hAnsi="arial" w:cs="arial"/>
          <w:b/>
          <w:i w:val="0"/>
          <w:strike w:val="0"/>
          <w:noProof w:val="0"/>
          <w:color w:val="000000"/>
          <w:position w:val="0"/>
          <w:sz w:val="20"/>
          <w:u w:val="none"/>
          <w:vertAlign w:val="baseline"/>
        </w:rPr>
        <w:t> [*69171] </w:t>
      </w:r>
      <w:r>
        <w:rPr>
          <w:rFonts w:ascii="arial" w:eastAsia="arial" w:hAnsi="arial" w:cs="arial"/>
          <w:b w:val="0"/>
          <w:i w:val="0"/>
          <w:strike w:val="0"/>
          <w:noProof w:val="0"/>
          <w:color w:val="000000"/>
          <w:position w:val="0"/>
          <w:sz w:val="20"/>
          <w:u w:val="none"/>
          <w:vertAlign w:val="baseline"/>
        </w:rPr>
        <w:t xml:space="preserve">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n41 in general, and furthers the objectives of Section 6(b)(5) of the Act, n42 in particular, in that it is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The Exchange believes that, by permitting an Eligible Stockholder of Nasdaq that meets the stated requirements to nominate directors and have its nominees included in Nasdaq's annual meeting proxy statement, the proposed rule change strengthens the corporate governance of the Exchange's ultimate parent company, which is beneficial to both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for the protection of the Company and its investors. Specifically, the procedural requirements will protect investors by stating clearly and explicitly the procedures stockholders must follow in order to submit a proper proxy access nomination. The informational requirements will enhance investor protection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enhance investor protection and the public interest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the Exchange,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the proposed rule change is consistent with the Act. Comments may be submitted by any of the following methods: </w:t>
      </w:r>
      <w:r>
        <w:rPr>
          <w:rFonts w:ascii="arial" w:eastAsia="arial" w:hAnsi="arial" w:cs="arial"/>
          <w:b/>
          <w:i w:val="0"/>
          <w:strike w:val="0"/>
          <w:noProof w:val="0"/>
          <w:color w:val="000000"/>
          <w:position w:val="0"/>
          <w:sz w:val="20"/>
          <w:u w:val="none"/>
          <w:vertAlign w:val="baseline"/>
        </w:rPr>
        <w:t> [*69172]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 Please include File Number SR-ISEGemini-2016-10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w:t>
      </w:r>
      <w:r>
        <w:rPr>
          <w:rFonts w:ascii="arial" w:eastAsia="arial" w:hAnsi="arial" w:cs="arial"/>
          <w:b w:val="0"/>
          <w:i/>
          <w:strike w:val="0"/>
          <w:noProof w:val="0"/>
          <w:color w:val="000000"/>
          <w:position w:val="0"/>
          <w:sz w:val="20"/>
          <w:u w:val="none"/>
          <w:vertAlign w:val="baseline"/>
        </w:rPr>
        <w:t>SR-ISEGemini-2016-10.</w:t>
      </w:r>
      <w:r>
        <w:rPr>
          <w:rFonts w:ascii="arial" w:eastAsia="arial" w:hAnsi="arial" w:cs="arial"/>
          <w:b w:val="0"/>
          <w:i w:val="0"/>
          <w:strike w:val="0"/>
          <w:noProof w:val="0"/>
          <w:color w:val="000000"/>
          <w:position w:val="0"/>
          <w:sz w:val="20"/>
          <w:u w:val="none"/>
          <w:vertAlign w:val="baseline"/>
        </w:rPr>
        <w:t xml:space="preserve">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w:t>
      </w:r>
      <w:r>
        <w:rPr>
          <w:rFonts w:ascii="arial" w:eastAsia="arial" w:hAnsi="arial" w:cs="arial"/>
          <w:b w:val="0"/>
          <w:i/>
          <w:strike w:val="0"/>
          <w:noProof w:val="0"/>
          <w:color w:val="000000"/>
          <w:position w:val="0"/>
          <w:sz w:val="20"/>
          <w:u w:val="none"/>
          <w:vertAlign w:val="baseline"/>
        </w:rPr>
        <w:t>SR-ISEGemini-2016-10</w:t>
      </w:r>
      <w:r>
        <w:rPr>
          <w:rFonts w:ascii="arial" w:eastAsia="arial" w:hAnsi="arial" w:cs="arial"/>
          <w:b w:val="0"/>
          <w:i w:val="0"/>
          <w:strike w:val="0"/>
          <w:noProof w:val="0"/>
          <w:color w:val="000000"/>
          <w:position w:val="0"/>
          <w:sz w:val="20"/>
          <w:u w:val="none"/>
          <w:vertAlign w:val="baseline"/>
        </w:rPr>
        <w:t xml:space="preserve"> and should be submitted on or before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2016-24003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69165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se.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D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