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763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004, Thursday, January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763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College Assistance Migrant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College Assistance Migrant Program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inviting applications for new awards for fiscal year (FY) 2016. </w:t>
      </w:r>
      <w:r>
        <w:rPr>
          <w:rFonts w:ascii="arial" w:eastAsia="arial" w:hAnsi="arial" w:cs="arial"/>
          <w:b/>
          <w:i w:val="0"/>
          <w:strike w:val="0"/>
          <w:noProof w:val="0"/>
          <w:color w:val="000000"/>
          <w:position w:val="0"/>
          <w:sz w:val="20"/>
          <w:u w:val="none"/>
          <w:vertAlign w:val="baseline"/>
        </w:rPr>
        <w:t> [*764]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84.149A.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January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March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May 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CAMP is to provide academic and financial support to help migrant and seasonal farmworkers and members of their immediate family complete their first year of college and continue in postsecondary education.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two invitational priorities.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section 418A(e) of the Higher Education Act of 1965, as amended (HEA) (</w:t>
      </w:r>
      <w:hyperlink r:id="rId9" w:history="1">
        <w:r>
          <w:rPr>
            <w:rFonts w:ascii="arial" w:eastAsia="arial" w:hAnsi="arial" w:cs="arial"/>
            <w:b w:val="0"/>
            <w:i/>
            <w:strike w:val="0"/>
            <w:noProof w:val="0"/>
            <w:color w:val="0077CC"/>
            <w:position w:val="0"/>
            <w:sz w:val="20"/>
            <w:u w:val="single"/>
            <w:vertAlign w:val="baseline"/>
          </w:rPr>
          <w:t>20 U.S.C. 1070d-2(e)</w:t>
        </w:r>
      </w:hyperlink>
      <w:r>
        <w:rPr>
          <w:rFonts w:ascii="arial" w:eastAsia="arial" w:hAnsi="arial" w:cs="arial"/>
          <w:b w:val="0"/>
          <w:i w:val="0"/>
          <w:strike w:val="0"/>
          <w:noProof w:val="0"/>
          <w:color w:val="000000"/>
          <w:position w:val="0"/>
          <w:sz w:val="20"/>
          <w:u w:val="none"/>
          <w:vertAlign w:val="baseline"/>
        </w:rPr>
        <w:t>), and concerns the prior experience of grantees with expiring CAMP projects in implementing those projects. The first invitational priority is for applications that promote science, technology, engineering, and mathematics (STEM) education. The second invitational priority is for applications that propose to engage faith-based and community organizations in the delivery of services under this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15 additional points to an application, depending on how well the applicant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Experience of Service Delivery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applicants with an expiring CAMP project, the Secretary will consider the applicant's prior experience in implementing its expiring CAMP project, based on information contained in documents previously provided to the Department, such as annual performance reports, project evaluation reports, site visit reports, and the previously approved CAMP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are particularly interested in applications that address the following invitational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w:t>
      </w:r>
      <w:hyperlink r:id="rId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1--Science, Technology, Engineering, and Mathematics Education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Providing students with increased access to rigorous and engaging coursework in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Increasing the number and proportion of students prepared for postsecondary or graduate study and careers in STEM, with a specific focus on an increase in the number and proportion of students so prepared who are from groups traditionally underrepresented in STEM careers, including minorities, individuals with disabilities, and women.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could, for example, propose providing students with increased access to coursework in STEM through such activities as mentoring, counseling, and tutoring in ways that motivate participants to pursue postsecondary education in the areas of STEM. Similarly, applicants could propose increasing the number and proportion of students prepared for postsecondary or graduate study and careers in STEM through activities such as referrals to STEM-oriented work-based learning experiences, exposure to academic programs and careers in STEM-related fields, and providing support services. These could include services to improve participants' academic skills and knowledge so that they may pursue studies and careers in STEM-related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2--Faith-Based and Community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to engage faith-based and community organizations in the delivery of services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1070d-2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206. (e) The definitions of "migratory agricultural worker" in </w:t>
      </w:r>
      <w:hyperlink r:id="rId10" w:history="1">
        <w:r>
          <w:rPr>
            <w:rFonts w:ascii="arial" w:eastAsia="arial" w:hAnsi="arial" w:cs="arial"/>
            <w:b w:val="0"/>
            <w:i/>
            <w:strike w:val="0"/>
            <w:noProof w:val="0"/>
            <w:color w:val="0077CC"/>
            <w:position w:val="0"/>
            <w:sz w:val="20"/>
            <w:u w:val="single"/>
            <w:vertAlign w:val="baseline"/>
          </w:rPr>
          <w:t>34 CFR 200.81(d)</w:t>
        </w:r>
      </w:hyperlink>
      <w:r>
        <w:rPr>
          <w:rFonts w:ascii="arial" w:eastAsia="arial" w:hAnsi="arial" w:cs="arial"/>
          <w:b w:val="0"/>
          <w:i w:val="0"/>
          <w:strike w:val="0"/>
          <w:noProof w:val="0"/>
          <w:color w:val="000000"/>
          <w:position w:val="0"/>
          <w:sz w:val="20"/>
          <w:u w:val="none"/>
          <w:vertAlign w:val="baseline"/>
        </w:rPr>
        <w:t xml:space="preserve">, "migratory child" in </w:t>
      </w:r>
      <w:hyperlink r:id="rId10" w:history="1">
        <w:r>
          <w:rPr>
            <w:rFonts w:ascii="arial" w:eastAsia="arial" w:hAnsi="arial" w:cs="arial"/>
            <w:b w:val="0"/>
            <w:i/>
            <w:strike w:val="0"/>
            <w:noProof w:val="0"/>
            <w:color w:val="0077CC"/>
            <w:position w:val="0"/>
            <w:sz w:val="20"/>
            <w:u w:val="single"/>
            <w:vertAlign w:val="baseline"/>
          </w:rPr>
          <w:t>34 CFR 200.81(e)</w:t>
        </w:r>
      </w:hyperlink>
      <w:r>
        <w:rPr>
          <w:rFonts w:ascii="arial" w:eastAsia="arial" w:hAnsi="arial" w:cs="arial"/>
          <w:b w:val="0"/>
          <w:i w:val="0"/>
          <w:strike w:val="0"/>
          <w:noProof w:val="0"/>
          <w:color w:val="000000"/>
          <w:position w:val="0"/>
          <w:sz w:val="20"/>
          <w:u w:val="none"/>
          <w:vertAlign w:val="baseline"/>
        </w:rPr>
        <w:t xml:space="preserve">, and "migratory fisher" in </w:t>
      </w:r>
      <w:hyperlink r:id="rId10" w:history="1">
        <w:r>
          <w:rPr>
            <w:rFonts w:ascii="arial" w:eastAsia="arial" w:hAnsi="arial" w:cs="arial"/>
            <w:b w:val="0"/>
            <w:i/>
            <w:strike w:val="0"/>
            <w:noProof w:val="0"/>
            <w:color w:val="0077CC"/>
            <w:position w:val="0"/>
            <w:sz w:val="20"/>
            <w:u w:val="single"/>
            <w:vertAlign w:val="baseline"/>
          </w:rPr>
          <w:t>34 CFR 200.81(f)</w:t>
        </w:r>
      </w:hyperlink>
      <w:r>
        <w:rPr>
          <w:rFonts w:ascii="arial" w:eastAsia="arial" w:hAnsi="arial" w:cs="arial"/>
          <w:b w:val="0"/>
          <w:i w:val="0"/>
          <w:strike w:val="0"/>
          <w:noProof w:val="0"/>
          <w:color w:val="000000"/>
          <w:position w:val="0"/>
          <w:sz w:val="20"/>
          <w:u w:val="none"/>
          <w:vertAlign w:val="baseline"/>
        </w:rPr>
        <w:t xml:space="preserve">. (f)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20 CFR 669.110</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669.320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$ 5,407,472.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$ 180,000-$ 425,000.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$ 422,826.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CAMP award exceeding $ 425,000 for any of the five single budget periods of 12 months as reflected in the applicant's ED 524 Budget Form, Table A, submitted as a part of the project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CAMP award that is less than $ 180,000 for any of the five single budget periods of 12 months as reflected in the applicant's ED 524 Budget Form, Table A, submitted as a part of the project application. Regardless of any other information in the application, the Department will interpret an ED 524 form that, in Part A, provides a blank budget summary for any of the five project years as the applicant's intent to seek "$ 0" for that year, and thus to not operate a project that year. Similarly, the Department will interpret any blank spaces on the ED 524 budget form as $ 0.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Applicants must propose a project of 60 months (five years) in duration, and we will reject any application that does not do so as reflected on the applicant's ED 524 form, Table A, submitted as a part of the application. However, if an applicant receives an initial grant award, annual continuation funding is contingent upon availability of funds and the grantee having met minimum performance standards. </w:t>
      </w:r>
      <w:r>
        <w:rPr>
          <w:rFonts w:ascii="arial" w:eastAsia="arial" w:hAnsi="arial" w:cs="arial"/>
          <w:b/>
          <w:i w:val="0"/>
          <w:strike w:val="0"/>
          <w:noProof w:val="0"/>
          <w:color w:val="000000"/>
          <w:position w:val="0"/>
          <w:sz w:val="20"/>
          <w:u w:val="none"/>
          <w:vertAlign w:val="baseline"/>
        </w:rPr>
        <w:t> [*765]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or private non-profit organizations (including faith-based organizations) that plan their projects in cooperation with an IHE and propose to operate the project with the facilities of the IHE.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However, consistent with </w:t>
      </w:r>
      <w:hyperlink r:id="rId13" w:history="1">
        <w:r>
          <w:rPr>
            <w:rFonts w:ascii="arial" w:eastAsia="arial" w:hAnsi="arial" w:cs="arial"/>
            <w:b w:val="0"/>
            <w:i/>
            <w:strike w:val="0"/>
            <w:noProof w:val="0"/>
            <w:color w:val="0077CC"/>
            <w:position w:val="0"/>
            <w:sz w:val="20"/>
            <w:u w:val="single"/>
            <w:vertAlign w:val="baseline"/>
          </w:rPr>
          <w:t>34 CFR 75.700</w:t>
        </w:r>
      </w:hyperlink>
      <w:r>
        <w:rPr>
          <w:rFonts w:ascii="arial" w:eastAsia="arial" w:hAnsi="arial" w:cs="arial"/>
          <w:b w:val="0"/>
          <w:i w:val="0"/>
          <w:strike w:val="0"/>
          <w:noProof w:val="0"/>
          <w:color w:val="000000"/>
          <w:position w:val="0"/>
          <w:sz w:val="20"/>
          <w:u w:val="none"/>
          <w:vertAlign w:val="baseline"/>
        </w:rPr>
        <w:t>, which requires an applicant to comply with its approved application, an applicant that proposes non-Federal matching funds and is awarded a grant must provide those funds for each year that the funds are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budget for a two-day Office of Migrant Education annual meeting for CAMP directors in the Washington, DC area during each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Emily Bank, U.S. Department of Education, Office of Migrant Education, 400 Maryland Avenue SW., Room 3E338, Washington, DC 20202-6135. Telephone: (202) 453-6389 or by email: </w:t>
      </w:r>
      <w:hyperlink r:id="rId14" w:history="1">
        <w:r>
          <w:rPr>
            <w:rFonts w:ascii="arial" w:eastAsia="arial" w:hAnsi="arial" w:cs="arial"/>
            <w:b w:val="0"/>
            <w:i/>
            <w:strike w:val="0"/>
            <w:noProof w:val="0"/>
            <w:color w:val="0077CC"/>
            <w:position w:val="0"/>
            <w:sz w:val="20"/>
            <w:u w:val="single"/>
            <w:vertAlign w:val="baseline"/>
          </w:rPr>
          <w:t>emily.bank@ed.gov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www.ed.gov/programs/camp/applicant.html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Page Limit: The project narrative (Part IV of the application) is where you, the applicant, address the selection criteria that reviewers use to evaluate your application. Panel readers will award points only for an applicant's response to a given selection criterion that is contained within the section of the application designated to address that particular selection criterion. Readers will not review, or award points for, a response to the selection criterion that is located in any other section of the application or the appendices. We will reject any project narrative that exceeds 25 pages or does not adhere to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However, you may single space all text in charts, tables, figures, and graphs. Charts, tables, figures, and graphs presented in the application narrative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throughout the entire application package.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 The 25-page limit for the project narrative does not apply to the cover sheet; the budget section, including the narrative budget justification; the assurances and certifications; or the one-page abstract. However, the page limit does apply to all of the project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Appendices must be limited to 20 pages and must include the following: Resumes, if applicable, and job descriptions of key personnel. Job descriptions must include duties and minimum qualifications. Items in the appendices will only be used by the program office; the items will not be read by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January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March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May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w:t>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CAMP, CFDA number 84.149A, must be submitted electronically using the Governmentwide Grants.gov Apply site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CAMP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84.149, not 84.149A).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application; or failure to meet applicant eligibility requirements. It is your responsibility to ensure that your submitted application has met all of the Department's requirements.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Emily Bank, U.S. Department of Education, 400 Maryland Avenue SW., Room 3E338, Washington, DC 20202-6135. FAX: (202) 205-0089.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84.149A,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84.149A,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Secretary will consider the need to provide an equitable geographic distribution of grants in selecting applications for awards, in accordance with section 418A of the HEA (</w:t>
      </w:r>
      <w:hyperlink r:id="rId9" w:history="1">
        <w:r>
          <w:rPr>
            <w:rFonts w:ascii="arial" w:eastAsia="arial" w:hAnsi="arial" w:cs="arial"/>
            <w:b w:val="0"/>
            <w:i/>
            <w:strike w:val="0"/>
            <w:noProof w:val="0"/>
            <w:color w:val="0077CC"/>
            <w:position w:val="0"/>
            <w:sz w:val="20"/>
            <w:u w:val="single"/>
            <w:vertAlign w:val="baseline"/>
          </w:rPr>
          <w:t>20 U.S.C. 1070d-2(g)</w:t>
        </w:r>
      </w:hyperlink>
      <w:r>
        <w:rPr>
          <w:rFonts w:ascii="arial" w:eastAsia="arial" w:hAnsi="arial" w:cs="arial"/>
          <w:b w:val="0"/>
          <w:i w:val="0"/>
          <w:strike w:val="0"/>
          <w:noProof w:val="0"/>
          <w:color w:val="000000"/>
          <w:position w:val="0"/>
          <w:sz w:val="20"/>
          <w:u w:val="none"/>
          <w:vertAlign w:val="baseline"/>
        </w:rPr>
        <w:t xml:space="preserve">). In addition,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xml:space="preserve">, the past performance of the applicant in carrying out a previous award, such as the applicant's use of funds, achievement of project objectives, and compliance with grant conditions. The Secretary may also consider whether the applicant failed to submit a timely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0"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6"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developed the following performance measures to evaluate the overall effectiveness of CAMP: (1) The percentage of CAMP participants completing the first academic year of their postsecondary program, and (2) the percentage of CAMP participants who, after completing the first academic year of college, continue their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propose annual targets for these measures in their applications. The national target for GPRA measure 1 for FY 2016 is that 86 percent of CAMP participants will complete the first academic year of their postsecondary program. The national target for GPRA measure 2 for FY 2016 is that 85 percent of CAMP participants continue their postsecondary education after completing the first academic year of college. The national targets for subsequent years may be adjusted based on additional baseline data. The panel readers will score related selection criteria on the basis of how well an applicant addresses these GPRA measures. Therefore, applicants will want to consider how to demonstrate a sound capacity to provide reliable data on the GPRA measures, including the project's annual performance targets for addressing the GPRA performance measures, as is required by the Office of Management and Budget approved annual performance report that is included in the application package. All grantees will be required to submit, as part of their annual performance report, information with respect to these GPRA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Emily Bank, U.S. Department of Education, 400 Maryland Avenue SW., Room 3E338, Washington, DC 20202-6135. Telephone: (202) 453-6389 or by email: </w:t>
      </w:r>
      <w:hyperlink r:id="rId14" w:history="1">
        <w:r>
          <w:rPr>
            <w:rFonts w:ascii="arial" w:eastAsia="arial" w:hAnsi="arial" w:cs="arial"/>
            <w:b w:val="0"/>
            <w:i/>
            <w:strike w:val="0"/>
            <w:noProof w:val="0"/>
            <w:color w:val="0077CC"/>
            <w:position w:val="0"/>
            <w:sz w:val="20"/>
            <w:u w:val="single"/>
            <w:vertAlign w:val="baseline"/>
          </w:rPr>
          <w:t>emily.bank@ed.gov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TYY,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Delegated the authority to perform the functions and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2016-00083 Filed 1-6-16;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763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25-NG20-008H-02D7-00000-00&amp;context=" TargetMode="External" /><Relationship Id="rId11" Type="http://schemas.openxmlformats.org/officeDocument/2006/relationships/hyperlink" Target="https://advance.lexis.com/api/document?collection=administrative-codes&amp;id=urn:contentItem:56C5-S3C0-008G-Y4TG-00000-00&amp;context=" TargetMode="External" /><Relationship Id="rId12" Type="http://schemas.openxmlformats.org/officeDocument/2006/relationships/hyperlink" Target="https://advance.lexis.com/api/document?collection=administrative-codes&amp;id=urn:contentItem:56C5-S3C0-008G-Y4V0-00000-00&amp;context=" TargetMode="External" /><Relationship Id="rId13" Type="http://schemas.openxmlformats.org/officeDocument/2006/relationships/hyperlink" Target="https://advance.lexis.com/api/document?collection=administrative-codes&amp;id=urn:contentItem:5GMB-DPB0-008H-028K-00000-00&amp;context=" TargetMode="External" /><Relationship Id="rId14" Type="http://schemas.openxmlformats.org/officeDocument/2006/relationships/hyperlink" Target="mailto:emily.bank@ed.gov" TargetMode="External" /><Relationship Id="rId15" Type="http://schemas.openxmlformats.org/officeDocument/2006/relationships/hyperlink" Target="http://www.ed.gov/programs/camp/applicant.html" TargetMode="External" /><Relationship Id="rId16" Type="http://schemas.openxmlformats.org/officeDocument/2006/relationships/hyperlink" Target="http://fedgov.dnb.com/webform" TargetMode="External" /><Relationship Id="rId17" Type="http://schemas.openxmlformats.org/officeDocument/2006/relationships/hyperlink" Target="http://www.SAM.gov" TargetMode="External" /><Relationship Id="rId18" Type="http://schemas.openxmlformats.org/officeDocument/2006/relationships/hyperlink" Target="http://www2.ed.gov/fund/grant/apply/sam-faqs.html"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rants.gov" TargetMode="External" /><Relationship Id="rId21" Type="http://schemas.openxmlformats.org/officeDocument/2006/relationships/hyperlink" Target="http://www.G5.gov" TargetMode="External" /><Relationship Id="rId22" Type="http://schemas.openxmlformats.org/officeDocument/2006/relationships/hyperlink" Target="http://www.grants.gov/web/grants/applicants/apply-for-grants.html" TargetMode="External" /><Relationship Id="rId23" Type="http://schemas.openxmlformats.org/officeDocument/2006/relationships/hyperlink" Target="https://advance.lexis.com/api/document?collection=administrative-codes&amp;id=urn:contentItem:5S7T-7HS0-008H-02VY-00000-00&amp;context=" TargetMode="External" /><Relationship Id="rId24" Type="http://schemas.openxmlformats.org/officeDocument/2006/relationships/hyperlink" Target="https://advance.lexis.com/api/document?collection=administrative-codes&amp;id=urn:contentItem:5GMB-DPB0-008H-02GP-00000-00&amp;context=" TargetMode="External" /><Relationship Id="rId25" Type="http://schemas.openxmlformats.org/officeDocument/2006/relationships/hyperlink" Target="https://advance.lexis.com/api/document?collection=administrative-codes&amp;id=urn:contentItem:5KS0-F5W0-008H-023P-00000-00&amp;context=" TargetMode="External" /><Relationship Id="rId26" Type="http://schemas.openxmlformats.org/officeDocument/2006/relationships/hyperlink" Target="https://advance.lexis.com/api/document?collection=administrative-codes&amp;id=urn:contentItem:5R5H-J1H0-008H-043K-00000-00&amp;context=" TargetMode="External" /><Relationship Id="rId27" Type="http://schemas.openxmlformats.org/officeDocument/2006/relationships/hyperlink" Target="https://advance.lexis.com/api/document?collection=administrative-codes&amp;id=urn:contentItem:5KS0-F5W0-008H-024V-00000-00&amp;context=" TargetMode="External" /><Relationship Id="rId28" Type="http://schemas.openxmlformats.org/officeDocument/2006/relationships/hyperlink" Target="https://advance.lexis.com/api/document?collection=administrative-codes&amp;id=urn:contentItem:5KS0-F600-008H-02PT-00000-00&amp;context=" TargetMode="External" /><Relationship Id="rId29" Type="http://schemas.openxmlformats.org/officeDocument/2006/relationships/hyperlink" Target="https://advance.lexis.com/api/document?collection=administrative-codes&amp;id=urn:contentItem:5KS0-F5W0-008H-025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DM-DHF0-008G-Y2NJ-00000-00&amp;context=" TargetMode="External" /><Relationship Id="rId31" Type="http://schemas.openxmlformats.org/officeDocument/2006/relationships/hyperlink" Target="https://advance.lexis.com/api/document?collection=administrative-codes&amp;id=urn:contentItem:5F34-Y1R0-008G-Y1F9-00000-00&amp;context=" TargetMode="External" /><Relationship Id="rId32" Type="http://schemas.openxmlformats.org/officeDocument/2006/relationships/hyperlink" Target="https://advance.lexis.com/api/document?collection=administrative-codes&amp;id=urn:contentItem:5F2R-48P0-008G-Y31V-00000-00&amp;context=" TargetMode="External" /><Relationship Id="rId33" Type="http://schemas.openxmlformats.org/officeDocument/2006/relationships/hyperlink" Target="https://advance.lexis.com/api/document?collection=administrative-codes&amp;id=urn:contentItem:5GMB-DPC0-008H-02S7-00000-00&amp;context=" TargetMode="External" /><Relationship Id="rId34" Type="http://schemas.openxmlformats.org/officeDocument/2006/relationships/hyperlink" Target="https://advance.lexis.com/api/document?collection=administrative-codes&amp;id=urn:contentItem:5GMB-DPC0-008H-02SK-00000-00&amp;context=" TargetMode="External" /><Relationship Id="rId35" Type="http://schemas.openxmlformats.org/officeDocument/2006/relationships/hyperlink" Target="http://www.ed.gov/fund/grant/apply/appforms/appforms.html" TargetMode="External" /><Relationship Id="rId36" Type="http://schemas.openxmlformats.org/officeDocument/2006/relationships/hyperlink" Target="https://advance.lexis.com/api/document?collection=administrative-codes&amp;id=urn:contentItem:5GMB-DPB0-008H-0272-00000-00&amp;context=" TargetMode="External" /><Relationship Id="rId37" Type="http://schemas.openxmlformats.org/officeDocument/2006/relationships/hyperlink" Target="https://advance.lexis.com/api/document?collection=administrative-codes&amp;id=urn:contentItem:5GMB-DPB0-008H-02K8-00000-00&amp;context=" TargetMode="External" /><Relationship Id="rId38" Type="http://schemas.openxmlformats.org/officeDocument/2006/relationships/hyperlink" Target="http://www.gpo.gov/fdsys" TargetMode="External" /><Relationship Id="rId39" Type="http://schemas.openxmlformats.org/officeDocument/2006/relationships/hyperlink" Target="http://www.federalregister.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T1-HBG0-006W-830D-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R71-NRF4-411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80339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