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769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004, Thursday, January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769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High School Equivalency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School Equivalency Program (HEP)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84.141A.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 Applications Available:</w:t>
      </w:r>
      <w:r>
        <w:rPr>
          <w:rFonts w:ascii="arial" w:eastAsia="arial" w:hAnsi="arial" w:cs="arial"/>
          <w:b w:val="0"/>
          <w:i w:val="0"/>
          <w:strike w:val="0"/>
          <w:noProof w:val="0"/>
          <w:color w:val="000000"/>
          <w:position w:val="0"/>
          <w:sz w:val="20"/>
          <w:u w:val="none"/>
          <w:vertAlign w:val="baseline"/>
        </w:rPr>
        <w:t xml:space="preserve"> January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HEP are to help migrant and seasonal farmworkers and members of their immediate family: (1) Obtain a general education diploma that meets the guidelines for high school equivalency (HSE) established by the State in which the HEP project is conducted; and (2) gain employment or be placed in an institution of higher education (IHE) or other postsecondary education or training.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two invitational priorities.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section 418A(e) of the Higher Education Act of 1965, as amended (HEA) (</w:t>
      </w:r>
      <w:hyperlink r:id="rId9" w:history="1">
        <w:r>
          <w:rPr>
            <w:rFonts w:ascii="arial" w:eastAsia="arial" w:hAnsi="arial" w:cs="arial"/>
            <w:b w:val="0"/>
            <w:i/>
            <w:strike w:val="0"/>
            <w:noProof w:val="0"/>
            <w:color w:val="0077CC"/>
            <w:position w:val="0"/>
            <w:sz w:val="20"/>
            <w:u w:val="single"/>
            <w:vertAlign w:val="baseline"/>
          </w:rPr>
          <w:t>20 U.S.C. 1070d-2(e)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up to an additional 15 points to an application, depending on how well the application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Experience of Service Delivery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applicants with an expiring HEP project, the Secretary will consider the applicant's prior experience in implementing its expiring HEP project, based on information contained in documents previously provided to the Department, such as annual performance reports, project evaluation reports, site visit reports, and the previously approved HEP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also are particularly interested in applications that address the following invitational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invitational priorities. Under </w:t>
      </w:r>
      <w:hyperlink r:id="rId8"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these invitational priorities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1--Science, Technology, Engineering, and Mathematics Education (STEM)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Providing students with increased access to rigorous and engaging coursework in 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Increasing the opportunities for high-quality preparation of, or professional development for, teachers or other educators of STEM subjects.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could, for example, consider activities to better prepare program participants to transition into postsecondary education, such as preparing students to pass the sections of college entrance examinations in STEM-related subjects or providing mentoring, counseling, and tutoring services designed to motivate participants to pursue postsecondary education in STEM-related fields. Similarly, for the professional development priority area, applicants could propose activities to increase the opportunities for high-quality professional development for HSE instructors of STEM-related subjects that include, for example, training in intensive science teaching techniques presented by a professionally credentialed expert in science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2--Faith-Based and Community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to engage faith-based and community organizations in the delivery of services under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1070d-2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206. (e) The definitions of "migratory agricultural worker" in </w:t>
      </w:r>
      <w:hyperlink r:id="rId10" w:history="1">
        <w:r>
          <w:rPr>
            <w:rFonts w:ascii="arial" w:eastAsia="arial" w:hAnsi="arial" w:cs="arial"/>
            <w:b w:val="0"/>
            <w:i/>
            <w:strike w:val="0"/>
            <w:noProof w:val="0"/>
            <w:color w:val="0077CC"/>
            <w:position w:val="0"/>
            <w:sz w:val="20"/>
            <w:u w:val="single"/>
            <w:vertAlign w:val="baseline"/>
          </w:rPr>
          <w:t>34 CFR 200.81(d)</w:t>
        </w:r>
      </w:hyperlink>
      <w:r>
        <w:rPr>
          <w:rFonts w:ascii="arial" w:eastAsia="arial" w:hAnsi="arial" w:cs="arial"/>
          <w:b w:val="0"/>
          <w:i w:val="0"/>
          <w:strike w:val="0"/>
          <w:noProof w:val="0"/>
          <w:color w:val="000000"/>
          <w:position w:val="0"/>
          <w:sz w:val="20"/>
          <w:u w:val="none"/>
          <w:vertAlign w:val="baseline"/>
        </w:rPr>
        <w:t xml:space="preserve">, "migratory child" in </w:t>
      </w:r>
      <w:hyperlink r:id="rId10" w:history="1">
        <w:r>
          <w:rPr>
            <w:rFonts w:ascii="arial" w:eastAsia="arial" w:hAnsi="arial" w:cs="arial"/>
            <w:b w:val="0"/>
            <w:i/>
            <w:strike w:val="0"/>
            <w:noProof w:val="0"/>
            <w:color w:val="0077CC"/>
            <w:position w:val="0"/>
            <w:sz w:val="20"/>
            <w:u w:val="single"/>
            <w:vertAlign w:val="baseline"/>
          </w:rPr>
          <w:t>34 CFR 200.81(e)</w:t>
        </w:r>
      </w:hyperlink>
      <w:r>
        <w:rPr>
          <w:rFonts w:ascii="arial" w:eastAsia="arial" w:hAnsi="arial" w:cs="arial"/>
          <w:b w:val="0"/>
          <w:i w:val="0"/>
          <w:strike w:val="0"/>
          <w:noProof w:val="0"/>
          <w:color w:val="000000"/>
          <w:position w:val="0"/>
          <w:sz w:val="20"/>
          <w:u w:val="none"/>
          <w:vertAlign w:val="baseline"/>
        </w:rPr>
        <w:t xml:space="preserve">, and "migratory fisher" in </w:t>
      </w:r>
      <w:hyperlink r:id="rId10" w:history="1">
        <w:r>
          <w:rPr>
            <w:rFonts w:ascii="arial" w:eastAsia="arial" w:hAnsi="arial" w:cs="arial"/>
            <w:b w:val="0"/>
            <w:i/>
            <w:strike w:val="0"/>
            <w:noProof w:val="0"/>
            <w:color w:val="0077CC"/>
            <w:position w:val="0"/>
            <w:sz w:val="20"/>
            <w:u w:val="single"/>
            <w:vertAlign w:val="baseline"/>
          </w:rPr>
          <w:t>34 CFR 200.81(f)</w:t>
        </w:r>
      </w:hyperlink>
      <w:r>
        <w:rPr>
          <w:rFonts w:ascii="arial" w:eastAsia="arial" w:hAnsi="arial" w:cs="arial"/>
          <w:b w:val="0"/>
          <w:i w:val="0"/>
          <w:strike w:val="0"/>
          <w:noProof w:val="0"/>
          <w:color w:val="000000"/>
          <w:position w:val="0"/>
          <w:sz w:val="20"/>
          <w:u w:val="none"/>
          <w:vertAlign w:val="baseline"/>
        </w:rPr>
        <w:t xml:space="preserve">. (f)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1" w:history="1">
        <w:r>
          <w:rPr>
            <w:rFonts w:ascii="arial" w:eastAsia="arial" w:hAnsi="arial" w:cs="arial"/>
            <w:b w:val="0"/>
            <w:i/>
            <w:strike w:val="0"/>
            <w:noProof w:val="0"/>
            <w:color w:val="0077CC"/>
            <w:position w:val="0"/>
            <w:sz w:val="20"/>
            <w:u w:val="single"/>
            <w:vertAlign w:val="baseline"/>
          </w:rPr>
          <w:t>20 CFR 669.110</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669.320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$ 4,082,415.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$ 180,000-$ 475,000.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$ 463,016.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HEP award exceeding $ 475,000 for any of the five single budget periods of 12 months as reflected in the applicant's ED 524 Budget Form, Table A, submitted as a part of the project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HEP award that is less than $ 180,000 for any of the five single budget periods of 12 months as reflected in the applicant's ED 524 Budget Form, Table A, submitted as a part of the project application. Regardless of any other information in the application, the Department will interpret an ED 524 form that, in Part A, provides a blank budget summary for any of the five project years as the applicant's intent to seek "$ 0" for that year, and thus to not operate a project that year. Similarly, the Department will interpret any blank spaces on the ED 524 budget form as $ 0.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Applicants must propose a project of 60 months (five years) in duration, and we will reject any application that does not do so as reflected on the applicant's ED 524 form, Table A, submitted as a part of the application. However, if an applicant receives an initial grant award, annual continuation funding is contingent upon availability of funds and the grantee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having met minimum performance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IHEs or private non-profit organizations (including faith-based organizations) that plan their projects in cooperation with an IHE and propose to operate some aspects of the project with the facilities of the IHE.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However, consistent with </w:t>
      </w:r>
      <w:hyperlink r:id="rId13" w:history="1">
        <w:r>
          <w:rPr>
            <w:rFonts w:ascii="arial" w:eastAsia="arial" w:hAnsi="arial" w:cs="arial"/>
            <w:b w:val="0"/>
            <w:i/>
            <w:strike w:val="0"/>
            <w:noProof w:val="0"/>
            <w:color w:val="0077CC"/>
            <w:position w:val="0"/>
            <w:sz w:val="20"/>
            <w:u w:val="single"/>
            <w:vertAlign w:val="baseline"/>
          </w:rPr>
          <w:t>34 CFR 75.700</w:t>
        </w:r>
      </w:hyperlink>
      <w:r>
        <w:rPr>
          <w:rFonts w:ascii="arial" w:eastAsia="arial" w:hAnsi="arial" w:cs="arial"/>
          <w:b w:val="0"/>
          <w:i w:val="0"/>
          <w:strike w:val="0"/>
          <w:noProof w:val="0"/>
          <w:color w:val="000000"/>
          <w:position w:val="0"/>
          <w:sz w:val="20"/>
          <w:u w:val="none"/>
          <w:vertAlign w:val="baseline"/>
        </w:rPr>
        <w:t>, which requires an applicant to comply with its approved application, an applicant that proposes non-Federal matching funds and is awarded a grant must provide those funds for each year that the funds are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budget for a two-day Office of Migrant Education annual meeting for HEP Directors in the Washington, DC area during each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Emily Bank, U.S. Department of Education, Office of Migrant Education, 400 Maryland Avenue SW., Room 3E338, Washington, DC 20202-6135. Telephone: (202) 453-6389 or by email: </w:t>
      </w:r>
      <w:hyperlink r:id="rId14" w:history="1">
        <w:r>
          <w:rPr>
            <w:rFonts w:ascii="arial" w:eastAsia="arial" w:hAnsi="arial" w:cs="arial"/>
            <w:b w:val="0"/>
            <w:i/>
            <w:strike w:val="0"/>
            <w:noProof w:val="0"/>
            <w:color w:val="0077CC"/>
            <w:position w:val="0"/>
            <w:sz w:val="20"/>
            <w:u w:val="single"/>
            <w:vertAlign w:val="baseline"/>
          </w:rPr>
          <w:t>emily.bank@ed.gov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www.ed.gov/programs/hep/applicant.html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project narrative (Part IV of the application) is where you, the applicant, address the selection criteria that reviewers use to evaluate your application. Panel readers will award points only for an applicant's response to a given selection criterion that is contained within the section of the application designated to address that particular selection criterion. Readers will not review, or award points for, a response to the selection criterion that is located in any other section of the application or the appendices. We will reject any project narrative that exceeds 25 pages or does not adhere to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However, you may single space all text in charts, tables, figures, and graphs. Charts, tables, figures, and graphs presented in the application narrative count toward the page limit.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throughout the entire application package.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 The 25-page limit for the project narrative does not apply to the cover sheet; the budget section, including the narrative budget justification; the assurances and certifications; or the one-page abstract. However, the page limit does apply to all of the project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Appendices must be limited to 20 pages and must include the following: Resumes, if applicable, and job descriptions of key personnel. Job descriptions must include duties and minimum qualifications. Items in the appendices will only be used by the program office; the items will not be read by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 xml:space="preserve"> 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May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6"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t>
      </w:r>
      <w:r>
        <w:rPr>
          <w:rFonts w:ascii="arial" w:eastAsia="arial" w:hAnsi="arial" w:cs="arial"/>
          <w:b/>
          <w:i w:val="0"/>
          <w:strike w:val="0"/>
          <w:noProof w:val="0"/>
          <w:color w:val="000000"/>
          <w:position w:val="0"/>
          <w:sz w:val="20"/>
          <w:u w:val="none"/>
          <w:vertAlign w:val="baseline"/>
        </w:rPr>
        <w:t> [*771] </w:t>
      </w:r>
      <w:r>
        <w:rPr>
          <w:rFonts w:ascii="arial" w:eastAsia="arial" w:hAnsi="arial" w:cs="arial"/>
          <w:b w:val="0"/>
          <w:i w:val="0"/>
          <w:strike w:val="0"/>
          <w:noProof w:val="0"/>
          <w:color w:val="000000"/>
          <w:position w:val="0"/>
          <w:sz w:val="20"/>
          <w:u w:val="none"/>
          <w:vertAlign w:val="baseline"/>
        </w:rPr>
        <w:t xml:space="preserve">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1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HEP, CFDA number 84.141A, must be submitted electronically using the Governmentwide Grants.gov Apply site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HEP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84.141, not 84.141A).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2"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Grants.gov, it must also meet the Department's application requirements as specified in this notice and in the </w:t>
      </w:r>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Emily Bank, U.S. Department of Education, 400 Maryland Avenue SW., Room 3E338, Washington, DC 20202-6135. FAX: (202) 205-0089.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84.141A,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84.141A,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Secretary will consider the need to provide an equitable geographic distribution of grants in selecting applications for awards, in accordance with section 418A of the HEA (</w:t>
      </w:r>
      <w:hyperlink r:id="rId9" w:history="1">
        <w:r>
          <w:rPr>
            <w:rFonts w:ascii="arial" w:eastAsia="arial" w:hAnsi="arial" w:cs="arial"/>
            <w:b w:val="0"/>
            <w:i/>
            <w:strike w:val="0"/>
            <w:noProof w:val="0"/>
            <w:color w:val="0077CC"/>
            <w:position w:val="0"/>
            <w:sz w:val="20"/>
            <w:u w:val="single"/>
            <w:vertAlign w:val="baseline"/>
          </w:rPr>
          <w:t>20 U.S.C. 1070d-2(g)</w:t>
        </w:r>
      </w:hyperlink>
      <w:r>
        <w:rPr>
          <w:rFonts w:ascii="arial" w:eastAsia="arial" w:hAnsi="arial" w:cs="arial"/>
          <w:b w:val="0"/>
          <w:i w:val="0"/>
          <w:strike w:val="0"/>
          <w:noProof w:val="0"/>
          <w:color w:val="000000"/>
          <w:position w:val="0"/>
          <w:sz w:val="20"/>
          <w:u w:val="none"/>
          <w:vertAlign w:val="baseline"/>
        </w:rPr>
        <w:t xml:space="preserve">). In addition,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4"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xml:space="preserve">, the past performance of the applicant in carrying out a previous award, such as the applicant's use of funds, achievement of project objectives, and compliance with grant conditions. The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0"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6"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developed the following performance measures to evaluate the overall effectiveness of HEP: (1) The percentage of HEP program participants exiting the program having received an HSE diploma (GPRA 1), and (2) the percentage of HSE diploma recipients who enter postsecondary education or training programs, upgraded employment, or the military (GPRA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propose annual targets for these measures in their applications. The national target for GPRA measure 1 for FY 2016 is that 69 percent of HEP program participants exit the program having received an HSE credential. The national target for GPRA measure 2 for FY 2016 is that 80 percent of HEP HSE diploma recipients will enter postsecondary education or training programs, upgraded employment, or the military. The national targets for subsequent years may be adjusted based on additional baseline data. The panel readers will score related selection criteria on the basis of how well an applicant addresses these GPRA measures. Therefore, applicants will want to consider how to demonstrate a sound capacity to provide reliable data on the GPRA measures, including the project's annual performance targets for addressing the GPRA performance measures, as is required by the Office of Management and Budget approved annual performance report that is included in the application package. All grantees will be required to submit, as part of their annual performance report, information with respect to these GPRA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Emily Bank, U.S. Department of Education, 400 Maryland Avenue SW., Room 3E338, Washington, DC 20202-6135. Telephone: (202) 453-6389 or by email: </w:t>
      </w:r>
      <w:hyperlink r:id="rId14" w:history="1">
        <w:r>
          <w:rPr>
            <w:rFonts w:ascii="arial" w:eastAsia="arial" w:hAnsi="arial" w:cs="arial"/>
            <w:b w:val="0"/>
            <w:i/>
            <w:strike w:val="0"/>
            <w:noProof w:val="0"/>
            <w:color w:val="0077CC"/>
            <w:position w:val="0"/>
            <w:sz w:val="20"/>
            <w:u w:val="single"/>
            <w:vertAlign w:val="baseline"/>
          </w:rPr>
          <w:t>emily.bank@ed.gov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TYY,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4,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Delegated the authority to perform the functions and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2016-00084 Filed 1-6-16;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769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25-NG20-008H-02D7-00000-00&amp;context=" TargetMode="External" /><Relationship Id="rId11" Type="http://schemas.openxmlformats.org/officeDocument/2006/relationships/hyperlink" Target="https://advance.lexis.com/api/document?collection=administrative-codes&amp;id=urn:contentItem:56C5-S3C0-008G-Y4TG-00000-00&amp;context=" TargetMode="External" /><Relationship Id="rId12" Type="http://schemas.openxmlformats.org/officeDocument/2006/relationships/hyperlink" Target="https://advance.lexis.com/api/document?collection=administrative-codes&amp;id=urn:contentItem:56C5-S3C0-008G-Y4V0-00000-00&amp;context=" TargetMode="External" /><Relationship Id="rId13" Type="http://schemas.openxmlformats.org/officeDocument/2006/relationships/hyperlink" Target="https://advance.lexis.com/api/document?collection=administrative-codes&amp;id=urn:contentItem:5GMB-DPB0-008H-028K-00000-00&amp;context=" TargetMode="External" /><Relationship Id="rId14" Type="http://schemas.openxmlformats.org/officeDocument/2006/relationships/hyperlink" Target="mailto:emily.bank@ed.gov" TargetMode="External" /><Relationship Id="rId15" Type="http://schemas.openxmlformats.org/officeDocument/2006/relationships/hyperlink" Target="http://www.ed.gov/programs/hep/applicant.html" TargetMode="External" /><Relationship Id="rId16" Type="http://schemas.openxmlformats.org/officeDocument/2006/relationships/hyperlink" Target="http://fedgov.dnb.com/webform" TargetMode="External" /><Relationship Id="rId17" Type="http://schemas.openxmlformats.org/officeDocument/2006/relationships/hyperlink" Target="http://www.SAM.gov" TargetMode="External" /><Relationship Id="rId18" Type="http://schemas.openxmlformats.org/officeDocument/2006/relationships/hyperlink" Target="http://www2.ed.gov/fund/grant/apply/sam-faqs.html" TargetMode="External" /><Relationship Id="rId19" Type="http://schemas.openxmlformats.org/officeDocument/2006/relationships/hyperlink" Target="http://www.grants.gov/web/grants/register.html" TargetMode="External" /><Relationship Id="rId2" Type="http://schemas.openxmlformats.org/officeDocument/2006/relationships/webSettings" Target="webSettings.xml" /><Relationship Id="rId20" Type="http://schemas.openxmlformats.org/officeDocument/2006/relationships/hyperlink" Target="http://www.Grants.gov" TargetMode="External" /><Relationship Id="rId21" Type="http://schemas.openxmlformats.org/officeDocument/2006/relationships/hyperlink" Target="http://www.G5.gov" TargetMode="External" /><Relationship Id="rId22" Type="http://schemas.openxmlformats.org/officeDocument/2006/relationships/hyperlink" Target="http://www.grants.gov/web/grants/applicants/apply-for-grants.html" TargetMode="External" /><Relationship Id="rId23" Type="http://schemas.openxmlformats.org/officeDocument/2006/relationships/hyperlink" Target="https://advance.lexis.com/api/document?collection=administrative-codes&amp;id=urn:contentItem:5S7T-7HS0-008H-02VY-00000-00&amp;context=" TargetMode="External" /><Relationship Id="rId24" Type="http://schemas.openxmlformats.org/officeDocument/2006/relationships/hyperlink" Target="https://advance.lexis.com/api/document?collection=administrative-codes&amp;id=urn:contentItem:5GMB-DPB0-008H-02GP-00000-00&amp;context=" TargetMode="External" /><Relationship Id="rId25" Type="http://schemas.openxmlformats.org/officeDocument/2006/relationships/hyperlink" Target="https://advance.lexis.com/api/document?collection=administrative-codes&amp;id=urn:contentItem:5KS0-F5W0-008H-023P-00000-00&amp;context=" TargetMode="External" /><Relationship Id="rId26" Type="http://schemas.openxmlformats.org/officeDocument/2006/relationships/hyperlink" Target="https://advance.lexis.com/api/document?collection=administrative-codes&amp;id=urn:contentItem:5R5H-J1H0-008H-043K-00000-00&amp;context=" TargetMode="External" /><Relationship Id="rId27" Type="http://schemas.openxmlformats.org/officeDocument/2006/relationships/hyperlink" Target="https://advance.lexis.com/api/document?collection=administrative-codes&amp;id=urn:contentItem:5KS0-F5W0-008H-024V-00000-00&amp;context=" TargetMode="External" /><Relationship Id="rId28" Type="http://schemas.openxmlformats.org/officeDocument/2006/relationships/hyperlink" Target="https://advance.lexis.com/api/document?collection=administrative-codes&amp;id=urn:contentItem:5KS0-F600-008H-02PT-00000-00&amp;context=" TargetMode="External" /><Relationship Id="rId29" Type="http://schemas.openxmlformats.org/officeDocument/2006/relationships/hyperlink" Target="https://advance.lexis.com/api/document?collection=administrative-codes&amp;id=urn:contentItem:5KS0-F5W0-008H-025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HDM-DHF0-008G-Y2NJ-00000-00&amp;context=" TargetMode="External" /><Relationship Id="rId31" Type="http://schemas.openxmlformats.org/officeDocument/2006/relationships/hyperlink" Target="https://advance.lexis.com/api/document?collection=administrative-codes&amp;id=urn:contentItem:5F34-Y1R0-008G-Y1F9-00000-00&amp;context=" TargetMode="External" /><Relationship Id="rId32" Type="http://schemas.openxmlformats.org/officeDocument/2006/relationships/hyperlink" Target="https://advance.lexis.com/api/document?collection=administrative-codes&amp;id=urn:contentItem:5F2R-48P0-008G-Y31V-00000-00&amp;context=" TargetMode="External" /><Relationship Id="rId33" Type="http://schemas.openxmlformats.org/officeDocument/2006/relationships/hyperlink" Target="https://advance.lexis.com/api/document?collection=administrative-codes&amp;id=urn:contentItem:5GMB-DPC0-008H-02S7-00000-00&amp;context=" TargetMode="External" /><Relationship Id="rId34" Type="http://schemas.openxmlformats.org/officeDocument/2006/relationships/hyperlink" Target="https://advance.lexis.com/api/document?collection=administrative-codes&amp;id=urn:contentItem:5GMB-DPC0-008H-02SK-00000-00&amp;context=" TargetMode="External" /><Relationship Id="rId35" Type="http://schemas.openxmlformats.org/officeDocument/2006/relationships/hyperlink" Target="http://www.ed.gov/fund/grant/apply/appforms/appforms.html" TargetMode="External" /><Relationship Id="rId36" Type="http://schemas.openxmlformats.org/officeDocument/2006/relationships/hyperlink" Target="https://advance.lexis.com/api/document?collection=administrative-codes&amp;id=urn:contentItem:5GMB-DPB0-008H-0272-00000-00&amp;context=" TargetMode="External" /><Relationship Id="rId37" Type="http://schemas.openxmlformats.org/officeDocument/2006/relationships/hyperlink" Target="https://advance.lexis.com/api/document?collection=administrative-codes&amp;id=urn:contentItem:5GMB-DPB0-008H-02K8-00000-00&amp;context=" TargetMode="External" /><Relationship Id="rId38" Type="http://schemas.openxmlformats.org/officeDocument/2006/relationships/hyperlink" Target="http://www.gpo.gov/fdsys" TargetMode="External" /><Relationship Id="rId39" Type="http://schemas.openxmlformats.org/officeDocument/2006/relationships/hyperlink" Target="http://www.federalregister.gov"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T1-HBG0-006W-830F-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R71-NRF4-411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80339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71569883</vt:lpwstr>
  </property>
  <property fmtid="{D5CDD505-2E9C-101B-9397-08002B2CF9AE}" pid="3" name="LADocCount">
    <vt:lpwstr>1</vt:lpwstr>
  </property>
  <property fmtid="{D5CDD505-2E9C-101B-9397-08002B2CF9AE}" pid="4" name="UserPermID">
    <vt:lpwstr>urn:user:PA185916758</vt:lpwstr>
  </property>
</Properties>
</file>