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78187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215, Monday, November 7,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78187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7,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Westinghouse Air Brake Technologies Corp.,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Westinghouse Air Brake Technologies Corp. et al.,</w:t>
      </w:r>
      <w:r>
        <w:rPr>
          <w:rFonts w:ascii="arial" w:eastAsia="arial" w:hAnsi="arial" w:cs="arial"/>
          <w:b w:val="0"/>
          <w:i w:val="0"/>
          <w:strike w:val="0"/>
          <w:noProof w:val="0"/>
          <w:color w:val="000000"/>
          <w:position w:val="0"/>
          <w:sz w:val="20"/>
          <w:u w:val="none"/>
          <w:vertAlign w:val="baseline"/>
        </w:rPr>
        <w:t xml:space="preserve"> Civil Action No. 1:16-cv-02147. On October 26, 2016, the United States filed a Complaint alleging that Westinghouse Air Brake Technologies Corp.'s ("Wabtec") proposed acquisition of Faiveley Transport S.A. and Faiveley Transport North America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Wabtec to divest Faiveley's U.S. freight brakes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Maribeth Petrizzi, Chief, Litigation II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8700, Washington, DC 20530 (telephone: 202-307-0924).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Fifth Street NW., Suite 8700, Washington, DC 20530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Westinghouse Air Brake Technologies Corp., 1001 Airbrake Avenue, Wilmerding, PA 15148, Faiveley Transport S.A., Le Delage Building, Hall Parc--Batiment 6A, 6eme etage, 3, rue du 19 mars 1962, 92230 Gennevilliers, CEDEX--France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Faiveley Transport North America, 50 Beachtree Boulevard, Greenville, SC 29605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Tanya S. Chutkan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10/26/2016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acting under the direction of the Attorney General of the United States, brings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the proposed acquisition of Faiveley Transport S.A. and Faiveley Transport North America (collectively, "Faiveley") by Westinghouse Air Brake Technologies Corporation ("Wabtec") and to obtain other equitable relief. The United Sates alleges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Wabtec proposes to acquire Faiveley, a global provider of railway brake equipment components that make up a critical system intimately linked to both the performance and safety of trains. Faiveley produces its brake system components in the United States through its subsidiary, Faiveley Transport North America. Wabtec is a leading manufacturer of rail equipment used in the assembly of freight cars built for use in the U.S. freight rail network. For purchasers of components of freight car brake systems, Wabtec and Faiveley are two of the top three suppliers approved by the Association of American Railroads ("AAR"), with combined market shares ranging from approximately 41 to 96 percent for many of the products in which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Where a product must be AAR approved, customers must source it from an AAR-approved supplier of that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In 2010, Faiveley entered into a joint venture with Amsted Rail Company, Inc. ("Amsted"), a rail equipment supplier based in Chicago, Illinois, to form Amsted Rail Faiveley LLC ("ARF"). Faiveley owns 67.5 percent of ARF and Amsted owns the remaining 32.5 percent interest in the joint venture. As part of the joint venture, all of the freight car brake system components that are manufactured by Faiveley Transport North America are marketed and sold to customers by Amsted. Amsted and Faiveley do not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sale of brake system components. Critically, the joint venture allows Faiveley to bundle brake components with Amsted's other products such as wheels and axles, thereby increasing its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sale of freight car brake system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Wabtec's proposed acquisition of Faiveley would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manufacture, and sale of several components of freight car brake systems in the United States. The proposed acquisition likely would give Wabtec the incentive and ability to raise prices or decrease the quality of service provided to customers in the railroad freight industry. The proposed acquisition also would eliminate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control valves, the most safety-critical component on a freight car. If approved, the proposed acquisition would eliminate the entry of Faiveley into this market, thus maintaining a century-old duopoly between Wabtec and its only other control valve rival, and reducing the two incumbent control valve suppliers' incentive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Accordingly, the proposed acquisition likely would substantially lessen existing and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[*78188] </w:t>
      </w:r>
      <w:r>
        <w:rPr>
          <w:rFonts w:ascii="arial" w:eastAsia="arial" w:hAnsi="arial" w:cs="arial"/>
          <w:b w:val="0"/>
          <w:i w:val="0"/>
          <w:strike w:val="0"/>
          <w:noProof w:val="0"/>
          <w:color w:val="000000"/>
          <w:position w:val="0"/>
          <w:sz w:val="20"/>
          <w:u w:val="none"/>
          <w:vertAlign w:val="baseline"/>
        </w:rPr>
        <w:t xml:space="preserve"> in the development, manufacture, and sale of freight car brake system components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United States brings this action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the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Defendants manufacture and sell components of freight car brake systems throughout the United States. They are engaged in a regular, continuous, and substantial flow of interstate commerce, and their activities in the development, manufacture, and sale of rail equipment have had a substantial effect upon interstate commerce. The Court has subject-matter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Venue is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1391(c)</w:t>
        </w:r>
      </w:hyperlink>
      <w:r>
        <w:rPr>
          <w:rFonts w:ascii="arial" w:eastAsia="arial" w:hAnsi="arial" w:cs="arial"/>
          <w:b w:val="0"/>
          <w:i w:val="0"/>
          <w:strike w:val="0"/>
          <w:noProof w:val="0"/>
          <w:color w:val="000000"/>
          <w:position w:val="0"/>
          <w:sz w:val="20"/>
          <w:u w:val="none"/>
          <w:vertAlign w:val="baseline"/>
        </w:rPr>
        <w:t>. Defendants have consented to venue and personal jurisdiction in the District of Columbia.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Defendants and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Wabtec is a Delaware corporation headquartered in Wilmerding, Pennsylvania. It is one of the world's largest providers of rail equipment and services with global sales of $ 3.3 billion in 2015. Wabtec makes and sells rail equipment, including braking equipment, for a variety of different end uses, including the railroad freight industry. In 2015, Wabtec's annual worldwide sales of freight rail equipment were approximately $ 2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Faiveley Transport North America is a New York corporation headquartered in Greenville, South Carolina. Faiveley makes and sells rail equipment, including braking equipment, for a variety of end uses to customers in 24 countries, including the United States. In particular, it manufactures products used in freight rail applications. During the fiscal year beginning April 1, 2015 and ending March 31, 2016, Faiveley had global sales of approximately [Euro]1.1 billion, with approximately $ 174 million of revenue in the United States. Faiveley has manufacturing facilities in Europe, Asia, and North America, including six U.S. locations. Faiveley Transport North America is a wholly-owned subsidiary of defendant Faiveley Transport S.A., a societe anonyme based in Gennevilliers,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On July 27, 2015, Wabtec entered into an Exclusivity Agreement with Faiveley whereby it made an irrevocable offer to acquire Faiveley, for cash and stock totaling approximately $ 1.8 billion, including assumed debt. The proposed acquisition would create the world's largest rail equipment supplier with expected revenue of approximately $ 4.5 billion per year and a presence in every key rail market in the world.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Trade and Commerce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Industry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Rail freight transport is the use of railroads and freight trains to transport cargo. A freight train is a group of freight cars hauled by one or more locomotives on a railway. A typical freight locomotive can haul as many as 25 to 100 freight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railroad freight industry plays a significant role in the U.S. economy, hauling key commodities such as energy products, automobiles, construction materials, chemicals, coal, petroleum, equipment, food, metals, and minerals. The U.S. freight rail network accounts for approximately 40 percent of the distance all freight shipments of commodity goods travel in the United States. The U.S. freight rail network is one of the most developed rail networks in the world and it supports approximately $ 60 billion in railroad freight shipments each year. This freight network consists of 140,000 miles of trackage owned and operated by seven Class I Railroads (as identified by the U.S. Department of Transportation), 21 regional railroads, and 510 local railroads.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Railroads and freight car leasing companies purchase new freight cars from car builders. Car builders build the body of the freight car and are responsible for sourcing and integrating all of the components needed for the various sub-systems required to assemble a functioning freight car. The most important sub-system is the safety critical brake system. Manufacturers of brake systems and brake system components sell their components and systems to car builders for new freight cars and directly to railroads and leasing companies for aftermarket maintenance of cars. Railroads and freight car leasing companies collectively purchase and maintain approximately 1.5 million freight cars utilized throughout the U.S. freight rail network. Freight railroads in the United States spend over $ 20 billion annually to acquire new freight cars and maintain existing freight car fleets. Freight car maintenance is critical for the safety and performance of a freight train.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Railroad Freight Industry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Freight cars often must travel over multiple railroads' trackage in order to deliver commodities throughout the United States. Traveling over multiple lines requires freight car equipment to be mechanically interoperable and meet performance standards for certain types of rail equipment. In order for the brake systems on individual freight cars to work together properly, freight car brake systems must be comprised of industry-approved components and meet critical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The Federal Railroad Administration of the U.S. Department of Transportation establishes strict standards to ensure interoperability of freight cars in use within the U.S. freight rail network. These standards require that certain freight car components achieve common performance and interoperability standards. For certain freight rail equipment, including freight car brake systems, the AAR is responsible for setting technical and performance standards. The AAR is a policy- and standard-setting organization comprised of full, affiliate, and associate members. Full members include the Class I railroads. Affiliate and associate members include rail equipment suppliers and freight car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AAR's functions include technical and mechanical standard setting for freight rail equipment. The AAR manages fifteen technical committees comprised of select employees of full, affiliate, and associate members. These committees write technical and performance standards for components used on freight trains. They also approve products for use within the U.S. freight rail network. Thus, a component manufacturer like Wabtec or Faiveley must have AAR approval for many significant components of a freight train before its products can be used in the United States. The length and difficulty of the AAR-approval process depends on the nature and function of the train component. Brake components face some of the lengthiest and most rigorous testing and approval processes because brakes are safety-critical components that must be fail-safe. The Brake Systems Committee of the AAR oversees the review and performance testing of brake equipment and it awards incremental approvals over time before a component can earn unconditional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Freight car owners and operators view AAR approval as a critical certification. Industry participants view </w:t>
      </w:r>
      <w:r>
        <w:rPr>
          <w:rFonts w:ascii="arial" w:eastAsia="arial" w:hAnsi="arial" w:cs="arial"/>
          <w:b/>
          <w:i w:val="0"/>
          <w:strike w:val="0"/>
          <w:noProof w:val="0"/>
          <w:color w:val="000000"/>
          <w:position w:val="0"/>
          <w:sz w:val="20"/>
          <w:u w:val="none"/>
          <w:vertAlign w:val="baseline"/>
        </w:rPr>
        <w:t> [*78189] </w:t>
      </w:r>
      <w:r>
        <w:rPr>
          <w:rFonts w:ascii="arial" w:eastAsia="arial" w:hAnsi="arial" w:cs="arial"/>
          <w:b w:val="0"/>
          <w:i w:val="0"/>
          <w:strike w:val="0"/>
          <w:noProof w:val="0"/>
          <w:color w:val="000000"/>
          <w:position w:val="0"/>
          <w:sz w:val="20"/>
          <w:u w:val="none"/>
          <w:vertAlign w:val="baseline"/>
        </w:rPr>
        <w:t xml:space="preserve"> AAR approval as a high barrier to selling freight car brake systems and components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Freight Car Brake Equipment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On average, there are expected to be approximately 75,000 new freight car builds per year in the United States. Demand for new cars is tied to macroeconomic conditions, including demand for the commodities that freight cars carry. In recent years demand for freight cars has ranged from approximately 63,000 to 81,000 new car builds per year. Railroads and freight car leasing companies typically issue requests for proposals to freight car builders who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complete freight cars built to specification. Freight car builders source sub-systems and components from suppliers, like Wabtec and Faiveley. Where a product must be AAR approved, car builders must source it from an AAR-approved supplier of that product. For certain components of a freight car brake system, Wabtec and Faiveley are two of the only three AAR-approved suppliers.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New freight car procurements typically include performance specifications identified by customers. Freight car builders use these specifications to source and price particular components for the procurement. Inclusion in new car procurements also becomes a source for long-term revenues for component suppliers. Incumbent suppliers for many freight car brake system components enjoy an advantage in the aftermarket. Although components are technically interoperable, changing suppliers often introduces at least some switching costs and increased risk of failure for end-use customers. Thus,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for original equipment sales is critical.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Customers can purchase freight car brake equipment on a component-by-component basis. However, a large rail equipment supplier will typically offer better pricing to customers who purchase multiple freight car brake system components together as a bundle. For example, rail equipment suppliers will offer more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pricing to customers who purchase all the components for an entire freight car brake system rather than piecemeal purchases of certain components. Because product bundles may span multiple systems on a freight train, suppliers with broad offerings often have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over niche suppliers.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Defendants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across a range of freight car brake system components, many of which require AAR approval. Each product described below constitutes a line of commerce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and each is a relevant product market in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can be assessed. They are recognized in the railroad freight industry as separate product lines, they have unique characteristics and uses, they have customers that rely specifically on these products, they are distinctly priced, and they have specialized vendors.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Mergers and acquisitions that reduce the number of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already concentrated markets are more likely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Concentration can be measured in various ways, including by market shares and by the widely-used Herfindahl-Hirschman Index ("HHI").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Under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post-acquisition HHIs above 2500 and changes in HHI above 200 trigger a presumption that a proposed acquisition is likely to enhance market power and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 defined market. Given the high pre- and post-acquisition concentration levels in the relevant markets described below, Wabtec's proposed acquisition of Faiveley presumptively violates Section 7 of the Clayton Act. In almost all of these markets, customers would face a duopoly after the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Relevant Market 1: Hand Brakes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 hand brake is a manual wheel located at the end of a freight car that, when turned, can engage a freight car's brake system without using pneumatic or hydraulic pressure. It is a secondary means to prevent a freight car from moving, for example, during maintenance or when being connected to a new locomotive.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The market for the development, manufacture, and sale of freight car hand brakes is already concentrated. Wabtec and Faiveley together hold approximately 60 percent of this market based on the quantity of hand brakes sold. Their only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holds most of the remaining share of the hand brakes market. A fourth, marginal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sells a negligible quantity of hand brakes each year. Further, this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does not manufacture any other significant components of a freight car brake system nor is it likely to begin doing so in the foreseeable future. Thus, it is unlikely to replace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be lost as a result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In the U.S. market for the development, manufacture, and sale of freight car hand brakes, the pre-acquisition HHI is 3,500. The post-acquisition HHI would be in excess of 5,000, with an increase in HHI in excess of 1,500. Thus, this market is highly concentrated and would become significantly more concentrated as a result of the proposed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Relevant Market 2: Slack Adjusters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A slack adjuster is a pneumatically-driven "arm" that applies pressure to the brake shoe (a friction material) in order to change the brake shoe's position relative to the train's wheel. As the brake shoe wears down, this adjustment in position maintains the brake systems' ability to apply the correct amount of braking force by ensuring the brake shoe is applied appropriately to the wheel to achieve optimal braking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Combined, Wabtec and Faiveley have approximately 76 percent of this market based on quantity sold. Their only significant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has a market share of approximately 24 percent, thereby making the proposed acquisition a virtual merger-to-duopoly in the market for the development, manufacture, and sale of slack adjusters. The proposed acquisition threatens to further concentrate this market, as evidenced by the pre- and post-merger HHIs. The post-acquisition HHI would be approximately 6,300, reflecting an increase of approximately 2,800 as a result of the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Relevant Market 3: Truck-Mounted Brake Assemblies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Freight car braking equipment is often mounted under the bogie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 thereby serving as the foundation for the wheels. Truck-mounted brake assemblies ("TMBs"), however, are an approach to mounting the brakes on freight car designs for which body-mounted brakes are not suitable. TMBs are free standing equipment that do not require additional rigging and so are significantly lighter than their bogie counterparts. They are commonly used for special lightweight or low profile freight car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Post-acquisition, the market for the development, manufacture, and sale of TMBs would be highly concentrated. Combined, Wabtec and Faiveley have approximately a 96 percent share of the market based on quantity sold. The post-acquisition HHI of the merged firm would be approximately 9,200, with an increase of approximately 3,600 resulting from the acquisition. </w:t>
      </w:r>
      <w:r>
        <w:rPr>
          <w:rFonts w:ascii="arial" w:eastAsia="arial" w:hAnsi="arial" w:cs="arial"/>
          <w:b/>
          <w:i w:val="0"/>
          <w:strike w:val="0"/>
          <w:noProof w:val="0"/>
          <w:color w:val="000000"/>
          <w:position w:val="0"/>
          <w:sz w:val="20"/>
          <w:u w:val="none"/>
          <w:vertAlign w:val="baseline"/>
        </w:rPr>
        <w:t> [*78190]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Relevant Market 4: Empty Load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Empty load devices are incorporated into every freight car and detect when a freight car is empty. The empty load device relays this information to the brake system control board, which is then able to reduce the amount of braking force applied to the brakes on a freight car that is empty so that it decelerates in concert with the remainder of the freight cars in tow.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Post acquisition, the market for the development, manufacture, and sale of empty load devices would be highly concentrated. Combined, Wabtec and Faiveley have a 60 percent share of the market based on quantity sold. The post-acquisition HHI of the merged firm would be approximately 5,100, with an increase of approximately 1,700 resulting from the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Relevant Market 5: Brake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A brake cylinder is a component of a freight car brake system that converts compressed air into mechanical force to apply the brake shoe to the wheel in order to decelerate or stop the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Post-acquisition, the market for the development, manufacture, and sale of brake cylinders would be highly concentrated. Combined, Wabtec and Faiveley have approximately a 41 percent share of the market based on quantity sold. The post-acquisition HHI of the merged firm would be approximately 5,100 with an increase of approximately 800 resulting from the acquisition.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Relevant Market 6: Control Valve and Co-Valves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Modern trains rely upon a fail-safe air (or pneumatic) brake system that uses changes in air pressure to signal each freight car to release its brakes. A reduction or loss of air pressure applies the brakes using the compressed air in the air reservoir. An increase in air pressure decreases the braking force applied until it is released. The control valve, often described as the brain of a freight car's brake system, regulates the flow of air to engage or disengage the brakes.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A control valve is the most highly-engineered, technologically-sophisticated component in a freight car brake system. Without it, a supplier cannot offer a complete freight car brake system. The development of a control valve also requires significant development time and financial resources. In addition, it faces one of the railroad freight industry's lengthiest and most rigorous testing and approval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The market for the development, manufacture, and sale of control valves is characterized by a century-old duopoly between Wabtec and another manufacturer. Over the past five years, Wabtec had approximately 40 percent of the U.S. control valve market and its rival had the other 60 percent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On June 29, 2016, Faiveley obtained conditional approval from the AAR to sell a control valve. In doing so, it disrupted the duopoly by becoming the first firm in over 25 years and only the second firm in the last 50 years to develop a control valve and make substantial progress through the industry's formidable testing and approval process for freight car control valves. Thus, the proposed acquisition would eliminate a third potential supplier of control valves, and continue a longstanding duopoly for the foreseeable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Working closely with the control valve are its complementary valves: The dirt collector, angle cock, and vent valve (collectively, "co-valves"). A dirt collector is a ball style cut-out-cock with a dirt chamber that is installed adjacent to the control valve. It allows for impurities in the air compressor to be filtered out to keep the air lines feeding the braking system clear of obstructions that would reduce air pressure. An angle cock is placed at the end of the brake pipe and provides a means for closing the brake pipe at the end of the freight car. A vent valve is a device on a freight car that reacts to a rapid drop in brake pipe pressure and is used to exhaust air from the brake pipe during emergency brake applications. For new freight car builds, sales of co-valves correlate with the sale of the control valve. Customers have a preference for purchasing co-valves and control valves from the same supplier, to which they return for replacement parts in the aftermarket. While Faiveley currently has insignificant sales of angle cocks, vent valves, and dirt collectors, it is an AAR-approved supplier of these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Based on customer location and the governing regulatory framework, the United States is the relevant geographic market for the development, manufacture, and sale of freight brake components. Wabtec and Faiveley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customers located throughout the United States. When a geographic market is defined based on the location of customers,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 are firms that sell to customers in the specified region even though some suppliers that sell into the relevant market may be located outside the geographic market. In addition, before suppliers can sell components of freight car brake systems in the United States, they must first get AAR approval. The AAR's regulatory authority requires products be certified for interoperability within the U.S. freight rail network. Because these products are certified for use and sale anywhere in the United States, the regulatory framework determines which firms can supply the U.S. customer base, which supports a United States geographic market. Furthermore, suppliers of freight car brake systems and components typically deliver their products and services to customers' locations and are able to price discriminate based on those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In addition, a small but significant increase in price of each of the foregoing components of a freight car brake system sold into the United States would not cause a sufficient number of U.S. customers to turn to providers of freight brake components sold into other countries because those products lack AAR approval and interoperability with U.S. freight rail networks. Accordingly, the United States is a relevant geographic market within the meaning of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Wabtec and Faiveley presently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the development, manufacture, and sale of many components of a freight car brake system, including hand brakes, slack adjusters, empty load devices, TMBs and brake cylinders. The defendants' combined shares in each of these markets range from approximately 41 to 96 percent. Therefore, the unilateral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the proposed acquisition are presumptively harmful in these product markets under the </w:t>
      </w:r>
      <w:r>
        <w:rPr>
          <w:rFonts w:ascii="arial" w:eastAsia="arial" w:hAnsi="arial" w:cs="arial"/>
          <w:b w:val="0"/>
          <w:i/>
          <w:strike w:val="0"/>
          <w:noProof w:val="0"/>
          <w:color w:val="000000"/>
          <w:position w:val="0"/>
          <w:sz w:val="20"/>
          <w:u w:val="none"/>
          <w:vertAlign w:val="baseline"/>
        </w:rPr>
        <w:t>Horizontal Merger Guidelines.</w:t>
      </w:r>
      <w:r>
        <w:rPr>
          <w:rFonts w:ascii="arial" w:eastAsia="arial" w:hAnsi="arial" w:cs="arial"/>
          <w:b w:val="0"/>
          <w:i w:val="0"/>
          <w:strike w:val="0"/>
          <w:noProof w:val="0"/>
          <w:color w:val="000000"/>
          <w:position w:val="0"/>
          <w:sz w:val="20"/>
          <w:u w:val="none"/>
          <w:vertAlign w:val="baseline"/>
        </w:rPr>
        <w:t xml:space="preserve"> The proposed acquisition likely will result in unilateral effects that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hand brakes, load detection devices, slack adjusters, TMBs, and brake cylinders,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In each of the foregoing relevant markets, Wabtec and Faiveley presently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each other and only one other large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Prices and other terms of trade are usually determined by negotiations between suppliers and customers. Products are not highly differentiated by function or performance, and price is the primary customer consideration given that performance is presumed after approval by the industry's standard-setting body, the AAR. </w:t>
      </w:r>
      <w:r>
        <w:rPr>
          <w:rFonts w:ascii="arial" w:eastAsia="arial" w:hAnsi="arial" w:cs="arial"/>
          <w:b/>
          <w:i w:val="0"/>
          <w:strike w:val="0"/>
          <w:noProof w:val="0"/>
          <w:color w:val="000000"/>
          <w:position w:val="0"/>
          <w:sz w:val="20"/>
          <w:u w:val="none"/>
          <w:vertAlign w:val="baseline"/>
        </w:rPr>
        <w:t> [*78191]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A merger between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sellers reduces the ability of buyers to negotiate better contract terms, including price, by leveraging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offers. The loss of customer negotiating power can significantly enhance the ability and incentive of the merged entity to offer less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terms. Customers likely derive significant benefits from having Faiveley in the market today, as reflected by its substantial market shares in the relevant freight brake components identified above. The resulting loss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increased concentration of market share indicate that the acquisition likely will result in significant harm from expected price increases and decreases in quality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When the proposed acquisition was announced, Wabtec and a second manufacturer were the only AAR-approved suppliers of control valves, a duopolistic market they had shared for over a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As the second-largest railway brake manufacturer in the world, Faiveley was uniquely positioned to enter the control valve market. Faiveley had developed a control valve prototype that it intended to shepherd through the AAR's control valve testing and approval process. If successful, it would have become a third control valve supplier. But for the merger, Faiveley likely would have entered the control valve market, thereby invigorating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Wabtec and its only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control valve market. The entry of a third supplier of control valves likely would increase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allow customers to negotiate better prices and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Faiveley's entry into the control valve market would pose an immediate threat to the incumbent suppliers,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aggressively or risk losing a sale to Faiveley. Faiveley's customers anticipate it would offer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order to gain quick acceptance of its control valve. As a result, Faiveley likely would have had a substantial impact on pricing, service and other commercial terms offered by the incumbent suppliers, even with a small initial share of actual sales. Therefore, the proposed acquisition is likely to result in anticompetitive unilateral effects in the market for control valves.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Given the substantial time required to develop and qualify a component of a freight car brake system, timely and sufficient entry by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into any of the relevant markets is unlikely to mitigate the harmful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48. The likelihood of another potential entrant in the control valve market is even more remote given the historical dearth of meaningful attempts to enter this market, as well as the substantial time and cost associated with entry into the control valve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Violation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The acquisition of Faiveley by Wabtec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relevant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50. Unless enjoined, the acquisition likely would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Actual and potential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Wabtec and Faiveley in the relevant markets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generally in the relevant markets would be eliminated;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and commercial terms for the relevant products would be less favorable, and quality and service relating to these products likely would decline.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Wabtec's proposed acquisition of Faiveley to be unlawful and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preliminarily and permanently enjoin and restrain defendants and all persons acting on their behalf from consummating Wabtec's proposed acquisition or from entering into or carrying out any contract, agreement, plan, or understanding, the effect of which would be to combine Faiveley with the operations of Wabtec;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relief as the Court deems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Attorney General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Sonia K. Pfaffenroth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Maribeth Petrizzi (DC Bar #435204)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Litigation II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A. Fleming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Litigation II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Doha Mekki*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K. Foster,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Erin C. 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J. Monahan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Morris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II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450 Fifth Street NW., Suite 8700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Telephone: (202) 598-8023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Facsimile: (202) 514-9033</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doha.mekki@usdoj.gov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ATTORNEY TO BE NOTICED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Herfindahl-Hirschman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Herfindahl-Hirschman Index ("HHI") is a commonly accepted measure of market concentration. The HHI is calculated by squaring the market share of each firm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 the relevant market and then summing the resulting numbers. For example, for a market consisting of four firms with shares of 30, 30, 20, and 20 percent, the HHI is 2,600 (30&lt;2&gt; + 30&lt;2&gt; + 20&lt;2&gt; + 20&lt;2&gt; = 2,600). The HHI takes into account the relative size distribution of the firms in a market. It approaches zero when a market is occupied by a large number of firms of relatively equal size, and reaches its maximum of 10,000 points when a market is controlled by a single firm. The HHI increases both as the number of firms in the market decreases and as the disparity in size between those firms increases.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Westinghouse Air Brake Technologies Corp., Faiveley Transport</w:t>
      </w:r>
      <w:r>
        <w:rPr>
          <w:rFonts w:ascii="arial" w:eastAsia="arial" w:hAnsi="arial" w:cs="arial"/>
          <w:b w:val="0"/>
          <w:i w:val="0"/>
          <w:strike w:val="0"/>
          <w:noProof w:val="0"/>
          <w:color w:val="000000"/>
          <w:position w:val="0"/>
          <w:sz w:val="20"/>
          <w:u w:val="none"/>
          <w:vertAlign w:val="baseline"/>
        </w:rPr>
        <w:t xml:space="preserve"> S.A., and </w:t>
      </w:r>
      <w:r>
        <w:rPr>
          <w:rFonts w:ascii="arial" w:eastAsia="arial" w:hAnsi="arial" w:cs="arial"/>
          <w:b w:val="0"/>
          <w:i/>
          <w:strike w:val="0"/>
          <w:noProof w:val="0"/>
          <w:color w:val="000000"/>
          <w:position w:val="0"/>
          <w:sz w:val="20"/>
          <w:u w:val="none"/>
          <w:vertAlign w:val="baseline"/>
        </w:rPr>
        <w:t>Faiveley Transport North America,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Tanya S. Chutkan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10/26/2016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July 27, 2015, Defendant Westinghouse Air Brake Technologies Corp. ("Wabtec") and Defendants Faiveley Transport S.A. and Faiveley Transport North America ("Faiveley") entered into an Exclusivity Agreement pursuant to which Wabtec made an irrevocable offer to acquire Faiveley for cash and stock totaling approximately $ 1.8 billion, including assumed debt.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[*78192] </w:t>
      </w:r>
      <w:r>
        <w:rPr>
          <w:rFonts w:ascii="arial" w:eastAsia="arial" w:hAnsi="arial" w:cs="arial"/>
          <w:b w:val="0"/>
          <w:i w:val="0"/>
          <w:strike w:val="0"/>
          <w:noProof w:val="0"/>
          <w:color w:val="000000"/>
          <w:position w:val="0"/>
          <w:sz w:val="20"/>
          <w:u w:val="none"/>
          <w:vertAlign w:val="baseline"/>
        </w:rPr>
        <w:t xml:space="preserve"> Complaint on October 26, 2016, seeking to enjoin the proposed acquisition. The Complaint alleges that the acquisition likely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for the development, manufacture, and sale of various railroad freight car brake components including hand brakes, slack adjusters, truck-mounted brake assemblies, empty load devices, brake cylinders, and brake control valves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result in significant harm from expected price increases and decreases in quality of service by the incumbent suppliers in the markets for those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filed a Hold Separate Stipulation and Order and a proposed Final Judgment, which are designed to eliminate the anticompetitive effects of the acquisition. Under the proposed Final Judgment, which is explained more fully below, Defendants are required to divest Faiveley's entire U.S. freight car brakes business, including all assets relating to Faiveley's freight car brake control valve development project (known as the FTEN) to a named buyer, Amsted Rail Company, Inc. ("Amsted"). These assets collectively are referred to as the "Divestiture Assets." Under the terms of the Hold Separate Stipulation and Order, Defendants will take certain steps to ensure that the Divesture Assets are operated as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 that the Divestiture Assets will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Wabtec is a Delaware corporation headquartered in Wilmerding, Pennsylvania. It is one of the world's largest providers of rail equipment and services with global sales of $ 3.3 billion in 2015. In the United States, Wabtec makes and sells rail equipment, including braking equipment, for a variety of different end-uses, including the railroad freight industry. Wabtec's annual global sales of freight rail equipment totaled approximately $ 2 billion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Faiveley Transport S.A. is a societe anonyme based in Gennevilliers, France. Faiveley makes and sells rail equipment, including braking equipment, for a variety of end uses to customers in 24 countries, including the United States. In particular, it manufactures products used in freight rail applications. During the fiscal year beginning April 1, 2015 and ending March 31, 2016, Faiveley had global sales of approximately [Euro]1.1 billion, with approximately $ 174 million of revenue in the United States. Faiveley has manufacturing facilities in Europe, Asia, and North America, including six U.S.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Faiveley Transport North America is a wholly-owned subsidiary of Faiveley Transport S.A. It is a New York Corporation headquartered in Greenville, South Carolina. It is the sole business unit of Faiveley that is responsible for the development, manufacture, and sale of freight car brake components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Faiveley entered into a joint venture with Amsted, a rail equipment supplier based in Chicago, Illinois, to form Amsted Rail Faiveley, LLC ("ARF"). Faiveley owns 67.5 percent of ARF and Amsted owns the remaining 32.5 percent. As part of the joint venture, all of the freight car brake components that are manufactured by Faiveley currently are marketed and sold to customers by Amsted. Critically, the joint venture allows Faiveley to bundle brake components with Amsted's other products such as wheels and axles, thereby increasing its 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the sale of freight car brake components against Wabtec.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27, 2015, Wabtec and Faiveley entered into an Exclusivity Agreement whereby Wabtec would acquire Faiveley for cash and stock totaling approximately $ 1.8 billion, including assumed debt. The proposed acquisition would create the world's largest rail equipment supplier with expected revenue of approximately $ 4.5 billion per year and a presence in every key rail market in the world. As part of that acquisition, Wabtec proposed to acquire all of Faiveley's freight car brakes business in the United States, including its interest in the ARF joint venture and Faiveley's FTEN freight car brake control valve now being developed. This acquisition is the subject of the Complaint and proposed Final Judgment filed by the United States on October 26,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 on Freight Car Brake Equipment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Rail freight transport is the use of railroads and freight trains to transport cargo. The railroad freight industry plays a significant role in the U.S. economy, hauling key commodities such as energy products, automobiles, construction materials, chemicals, coal, petroleum, equipment, food, metals, and minerals. The U.S. freight rail network accounts for approximately 40 percent of the distance all freight shipments of commodity goods travel in the United States. The U.S. freight rail network is one of the most developed rail networks in the world and it supports approximately $ 60 billion in railroad freight shipments each year. This freight network consists of 140,000 miles of trackage owned and operated by seven Class I Railroads, 21 regional railroads, and 510 local railroads.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deliver commodities throughout the United States, freight cars often must travel over multiple railroads' trackage. Traveling over multiple lines requires freight car equipment to be mechanically interoperable and meet common performance standards for certain types of rail equipment. In order for the brake systems on individual freight cars to work together properly, freight car brake systems must be comprised of industry-approved components and meet critical performance standards. For certain freight rail equipment, including freight car brake systems, the Association of American Railroads ("AAR") is responsible for setting technical and performance standards. The AAR is a policy- and standard-setting organization comprised of full, affiliate, and associate members. Full members include the Class I railroads. Affiliate and associate members include rail equipment suppliers and freight car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AAR's functions include technical and mechanical standard setting for freight rail equipment. The AAR manages fifteen technical committees that write technical and performance standards for all components used on freight trains and approve products for use. Thus, a component manufacturer must have AAR approval for brake components before they can be used. Brake components face some of the lengthiest and most rigorous testing and approval processes because brakes are safety-critical components that must be fail-safe. The Brake Systems Committee of the AAR oversees the review and performance tests of braking equipment </w:t>
      </w:r>
      <w:r>
        <w:rPr>
          <w:rFonts w:ascii="arial" w:eastAsia="arial" w:hAnsi="arial" w:cs="arial"/>
          <w:b/>
          <w:i w:val="0"/>
          <w:strike w:val="0"/>
          <w:noProof w:val="0"/>
          <w:color w:val="000000"/>
          <w:position w:val="0"/>
          <w:sz w:val="20"/>
          <w:u w:val="none"/>
          <w:vertAlign w:val="baseline"/>
        </w:rPr>
        <w:t> [*78193] </w:t>
      </w:r>
      <w:r>
        <w:rPr>
          <w:rFonts w:ascii="arial" w:eastAsia="arial" w:hAnsi="arial" w:cs="arial"/>
          <w:b w:val="0"/>
          <w:i w:val="0"/>
          <w:strike w:val="0"/>
          <w:noProof w:val="0"/>
          <w:color w:val="000000"/>
          <w:position w:val="0"/>
          <w:sz w:val="20"/>
          <w:u w:val="none"/>
          <w:vertAlign w:val="baseline"/>
        </w:rPr>
        <w:t xml:space="preserve"> and it awards incremental approvals over time before a component can earn unconditional approval. Freight car owners and operators view AAR approval as a critical certification. Industry participants view AAR approval as a high barrier to selling freight car brake systems and components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Railroads and freight car leasing companies collectively spend over $ 20 billion annually to obtain new freight cars and to maintain approximately 1.5 million freight cars utilized throughout the United States. On average, there are expected to be approximately 75,000 new freight car builds per year in the United States, and demand for new cars is tied to macroeconomic conditions, including demand for the commodities these freight cars carry. In recent years, demand for freight cars has ranged from approximately 63,000 to 81,000 new car builds. Railroads and freight car leasing companies typically issue requests for proposals to freight car builders who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complete freight cars built to specification. Freight car builders source sub-systems and components from suppliers like, Wabtec and Faiveley. Where a product must be AAR approved, car builders must source it from an AAR-approved supplier of that product. For certain components of a freight car brake system, Wabtec and Faiveley are two of the only three AAR-approved suppliers of the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freight car procurements typically include performance specifications identified by customers. Freight car builders use these specifications to source and price particular components for the procurement. Inclusion in new car procurements also becomes a source for long-term revenues for component suppliers. Incumbent suppliers for many freight car brake system components enjoy an advantage in the aftermarket. Although components are technically interoperable, changing suppliers often introduces switching costs and increased risk of failure for end-use customers. Thus,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for original equipment sales is critical.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Relevant Markets Affected by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across a range of freight car brake system components that require AAR approval. The Complaint alleges that each of these brake system components is a relevant product market in which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can be assessed. The different components are recognized in the railroad freight industry as separate product lines, they have unique characteristics and uses, they have customers that rely specifically on these products, they are distinctly priced, and they have specialized vendors.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likely be lessened with respect to those components as a result of the proposed acquisition because there would be one fewer substantial equipment manufacturer in each of these highly concentrated markets. For purchasers of components of freight car brake components, Wabtec and Faiveley are two of the top three suppliers, with combined market shares of approximately 41 to 96 percent for the products in which they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Faiveley is expected to be an even stronger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after full commercialization of the 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U.S. Markets for Hand Brakes, Slack Adjusters, Truck-Mounted Brake Assemblies, Empty Load Devices, and Brake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likely harm in five distinct product markets for freight car brake components that Faiveley currently sells under and through the ARF joint venture: Hand brakes, slack adjusters, truck-mounted brake assemblies ("TMBs"), empty load devices, and brake cylinders. A hand brake is a manual wheel located at the end of a freight car that, when turned, can engage a freight car's brakes system without using pneumatic or hydraulic pressure. It is a secondary means to prevent a freight car from moving, for example, during maintenance or when being connected to a new locomotive. A slack adjuster is a pneumatically-driven "arm" that applies pressure to the brake shoe (a friction material) in order to change the brake shoe's position relative to the train's wheel. As the brake shoe wears down, this adjustment in position maintains the brake systems' ability to apply the correct amount of braking force by ensuring the brake shoe is applied appropriately to the wheel to achieve optimal braking capability. TMBs are an approach to mounting brakes on freight car designs for which body-mounted brakes are not suitable. TMBs are free-standing equipment that do not require additional rigging and so are significantly lighter than body-mounted brakes. They are commonly used for special lightweight or low profile freight car designs. Empty load devices are incorporated into every freight car and detect when a freight car is empty. The empty load device relays this information to the brake system control board, which is then able to reduce the amount of braking force applied to the brakes on a freight car that is empty so that it decelerates in concert with the remainder of the freight cars in tow. A brake cylinder is a component of a freight car brake system that converts compressed air into mechanical force to apply the brake shoe to the wheel in order to stop or slow the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 Market for Freight Brake Control Valves and Co-Valves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also alleges likely harm in a distinct product market for freight car brake control valves and the associated co-valves that are typically sold with them. The control valve, often described as the brain of a freight car's brake system, regulates the flow of air to engage or disengage the brakes. A control valve is the most highly-engineered, technologically-sophisticated component in a freight car brake system. Without it, a supplier cannot offer a complete freight car brake system. The development of a control valve also requires significant development time and financial resources. In addition, it faces one of the railroad freight industry's lengthiest and most rigorous testing and approval processes. This results in extremely high entry barriers for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closely with the control valve are its complementary valves: The dirt collector, angle cock, and vent valve (collectively, "co-valves"). A dirt collector is a ball style cut-out-cock with a dirt chamber that is installed adjacent to the control valve. It allows for impurities in the air compressor to be filtered out to keep the air lines feeding the braking system clear of obstructions that would reduce air pressure. An angle cock is placed at the end of the brake pipe and provides a means for closing the brake pipe at the end of the freight car. A vent valve is a device on a freight car that reacts to a rapid drop in brake pipe pressure and is used to exhaust air from the brake pipe during emergency brake applications. These co-valves are an essential part of the development, manufacture, and sale of control valves, and for new freight car builds, sales of co-valves correlate with the sale of the control valve.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market for the development, manufacture, and sale of control valves is characterized by a century-old duopoly between Wabtec and another manufacturer. Over the past five years, Wabtec had approximately 40 percent of the U.S. control valve market and its rival had the other 60 percent of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29, 2016, after a lengthy and expensive development process, Faiveley obtained conditional approval from the AAR to sell its control valve. In doing so, it become the first firm in over 25 years and only the second in the </w:t>
      </w:r>
      <w:r>
        <w:rPr>
          <w:rFonts w:ascii="arial" w:eastAsia="arial" w:hAnsi="arial" w:cs="arial"/>
          <w:b/>
          <w:i w:val="0"/>
          <w:strike w:val="0"/>
          <w:noProof w:val="0"/>
          <w:color w:val="000000"/>
          <w:position w:val="0"/>
          <w:sz w:val="20"/>
          <w:u w:val="none"/>
          <w:vertAlign w:val="baseline"/>
        </w:rPr>
        <w:t> [*78194] </w:t>
      </w:r>
      <w:r>
        <w:rPr>
          <w:rFonts w:ascii="arial" w:eastAsia="arial" w:hAnsi="arial" w:cs="arial"/>
          <w:b w:val="0"/>
          <w:i w:val="0"/>
          <w:strike w:val="0"/>
          <w:noProof w:val="0"/>
          <w:color w:val="000000"/>
          <w:position w:val="0"/>
          <w:sz w:val="20"/>
          <w:u w:val="none"/>
          <w:vertAlign w:val="baseline"/>
        </w:rPr>
        <w:t xml:space="preserve"> last 50 years to develop a control valve and make substantial progress through the industry's formidable testing and approval process. Faiveley has built the first 200 units and satisfactorily completed all AAR laboratory tests. It projects sales of a few thousand units over the next few years as it works with railroads to continue to test and demonstrate the FTEN in various functional environments. Full commercialization and unconditional AAR approval is expected within seven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alleged in the Complaint, the United States is the relevant geographic market for the development, manufacture, and sale of freight brake components. Wabtec and Faiveley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each other for customers located throughout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 geographic market is defined based on the location of customers,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market are firms that sell to customers in the specified region, even though some suppliers that sell into the relevant market may be located outside the geographic market. Before suppliers can sell components of freight car brake systems in the United States, they must receive AAR approval. The AAR's regulatory authority requires products be certified for interoperability within the U.S. freight rail network. Because these products are certified for use and sale anywhere in the United States, the regulatory framework determines which firms can supply the U.S. customer base, which supports a United States geographic market. Furthermore, suppliers of freight car brake systems and components typically deliver their products and services to customers' locations and are able to price discriminate based on customers'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small but significant increase in price of each of the foregoing components of a freight car brake system sold into the United States would not cause a sufficient number of U.S. customers to turn to providers of freight brake components sold into other countries because those products lack AAR approval and interoperability with U.S. freight rail networks.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Freight Car Hand Brakes, Slack Adjusters, Truck-Mounted Brake Assemblies, Empty Load Devices, and Brake Cylinders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Wabtec and Faiveley presently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vigorously in the development, manufacture, and sale of hand brakes, slack adjusters, TMBs, empty load devices, and brake cylinders, and because these markets are highly concentrated and subject to high entry barriers, unilateral anticompetitive effects would be likely to result from the acquisition. In each of the foregoing relevant markets, Wabtec and Faiveley presently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against each other and another large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a bargaining format where products are not highly differentiated by function or performance and price is the primary customer consideration, given that performance is presumed after approval by the industry's standard-setting body, the AAR. Given the nature and the extent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 merger between two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sellers would remove a buyer's ability to negotiate these sellers against each other. The loss of this bargaining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significantly enhance the ability and incentive of the merged entity to obtain a result more favorable to it and less favorable to the buyer than the merging firms would have obtained separately, absent the merger. As its substantial market shares attest, customers derive significant benefits from having Faiveley in the market today. The resulting loss of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increased concentration of market share indicate that the acquisition likely will result in significant harm from expected price increases and decreases in quality of service if the proposed acquisition is consummated.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Freight Car Control Valves and Co-Valves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Wabtec and a second manufacturer are now the only unconditionally approved suppliers of freight car brake control valves. As the second-largest railway brake manufacturer in the world, Faiveley was uniquely positioned to enter this market because of both its general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the substantial progress it has already made in developing the product. Absent the merger it would have become the only other freight car brake control valve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acquisition would eliminate future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control valves by eliminating Faiveley's entry into this market. Faiveley's entry into the control valve market would have posed an immediate threat to the incumbent suppliers' by forcing them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aggressively or risk losing a sale to Faiveley. This market is also characterized by bargaining and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involves the same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dynamics described above. Faiveley's customers would have enjoyed enhanced 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immediately as Faiveley strove to gain quick acceptance of its control valve. Over the long term, the existence of Faiveley as a third supplier would have continued to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the required divestiture of assets, Wabtec's acquisition of Faiveley would have eliminated important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manufacture, and sale of freight car brake components and likely would have given Wabtec the incentive and ability to raise prices and decrease the quality of service provided to the railroad freight car industry. Absent the required divestiture of assets, the acquisition also would have eliminated a third potential supplier of control valves, thereby freezing in place a longstanding duopoly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substantial time required to develop and qualify a component of a freight car brake system, timely and sufficient entry by other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into any of the relevant markets, is unlikely to mitigate the harmful effects of the proposed acquisition. The likelihood of another potential entrant in the control valve market is particularly remote given the historical dearth of meaningful attempts to enter this market, as well as the substantial time and cost associated with entry into the control valve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divestitures required by the proposed Final Judgment will eliminate the anticompetitive effects of the acquisition in the relevant markets by establishing a new, independent, and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development, manufacture, and sale of freight car brake components by quickly transferring full ownership of the ARF joint venture to Amsted. It is also expected to eliminate the anticompetitive effects of the acquisition from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manufacture, and sale of brake control valves by transferring to Amsted all assets relating to the FTEN control valve project, including the FTEN valve itself, as well as dirt collectors, angle cocks, and vent valves.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II(G) of the proposed Final Judgment defines the Divestiture Assets to include all assets owned or under the control of Faiveley at the current ARF facility in Greenville, South Carolina, and include Faiveley's full and complete interest, rights, and property in ARF and the FTEN control valve. The Divestiture Assets include all tangible assets relating to ARF and the FTEN control valve, including, but not limited </w:t>
      </w:r>
      <w:r>
        <w:rPr>
          <w:rFonts w:ascii="arial" w:eastAsia="arial" w:hAnsi="arial" w:cs="arial"/>
          <w:b/>
          <w:i w:val="0"/>
          <w:strike w:val="0"/>
          <w:noProof w:val="0"/>
          <w:color w:val="000000"/>
          <w:position w:val="0"/>
          <w:sz w:val="20"/>
          <w:u w:val="none"/>
          <w:vertAlign w:val="baseline"/>
        </w:rPr>
        <w:t> [*78195] </w:t>
      </w:r>
      <w:r>
        <w:rPr>
          <w:rFonts w:ascii="arial" w:eastAsia="arial" w:hAnsi="arial" w:cs="arial"/>
          <w:b w:val="0"/>
          <w:i w:val="0"/>
          <w:strike w:val="0"/>
          <w:noProof w:val="0"/>
          <w:color w:val="000000"/>
          <w:position w:val="0"/>
          <w:sz w:val="20"/>
          <w:u w:val="none"/>
          <w:vertAlign w:val="baseline"/>
        </w:rPr>
        <w:t xml:space="preserve"> to, research and development activities; all manufacturing equipment, tooling and fixed assets, including, at the option of the Acquirer, the braking simulation testing equipment known as the "whale" located at Greenville, South Carolina, personal property, inventory, office furniture, materials, supplies, and other tangible property; all licenses, permits and authorizations issued by any governmental organization; all contracts, teaming arrangements, agreements, leases, commitments, certifications, and understandings, including supply agreements; all customer lists, contracts, accounts, and credit records; all repair and performance records, and all other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Assets also include all intangible assets relating to ARF and the FTEN control valve, including, but not limited to, all patents, licenses and sublicenses, intellectual property, copyrights, trademarks, trade names, service marks, service names, technical information, computer software and related documentation, know-how, trade secrets, drawings, blueprints, designs, design protocols, specifications for materials, specifications for parts and devices, safety procedures for the handling of materials and substances, quality assurance and control procedures, design tools and simulation capability, all manuals and technical information Faiveley provides to its own employees, customers, suppliers, agents or licensees, and all research data, including, but not limited to, designs of experiments, and the results of successful and unsuccessful designs and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IV(A) of the proposed Final Judgment requires Defendants, within twenty (20) calendar days after the signing of the Hold Separate Stipulation and Order in this matter to divest the Divestiture Assets in a manner consistent with the Final Judgment to Amsted or an Acquirer acceptable to the United States, in its sole discretion. The Divestiture Assets must be divested in such a way as to satisfy the United States in its sole discretion that they assets can and will be operated by the purchaser as a viable, ongoing business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 Defendants must take all reasonable steps necessary to accomplish the divestiture quickly and shall cooperate with the named acquirer (Amsted) or any other prospective purchaser. The United States, in its sole discretion, may agree to one or more extensions of this time period not to exceed sixty (60)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divestiture within the period prescribed in the proposed Final Judgment, Paragraph V(A) of the proposed Final Judgment provides that the Court will appoint a trustee selected by the United States to effect the divestiture. If a trustee is appointed, the proposed Final Judgment provides that Wabtec will pay all costs and expenses of the trustee. The trustee's commission will be structured so as to provide an incentive for the trustee based on the price obtained and the speed with which the divestiture is accomplished. After his or her appointment becomes effective, the trustee will file monthly reports with the Court and the United States setting forth his or her efforts to accomplish the divestiture. At the end of six months, if the divestiture has not been accomplished, the trustee and the United States will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IV(I) of the proposed Final Judgment provides that final approval of the divestiture, including the identity of the Acquirer, is left to the sole discretion of the United States to ensure the continued independence and viability of the Divestiture Assets in the relevant markets. In this matter, Amsted has been identified as the expected purchaser of the Divestiture Assets and is currently in final negotiations with Defendants for a purchase agreement. After a thorough examination of Amsted, its plans for the Divestiture Assets and the proposed sale agreements, as well as consideration of feedback from customers, the United States approved Amsted as the buyer. Amsted is a strong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other freight car equipment such as bogies, wheels, and axles. It is uniquely positioned as the current face of Faiveley brake components to the marketplace (through ARF) and has been the expected conduit through which FTEN was to be marketed by Faiveley absent the merger. Amsted's intimate familiarity with the products, the personnel, the AAR approval process, and the relevant customers should ensure that in its hands the Divestiture Assets will provide meaningful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Paragraph IV(I) of the proposed Final Judgment, in the event Amsted is unable to acquire the Divestiture Assets, another Acquirer may purchase the Divestiture Assets, subject to approval by the Department in its sole discretion. The divestiture of assets must be accomplished as a single divestiture of all the Divestiture Assets to a single Acquirer. The Divestiture Assets may not be sold piecemeal. This is to protect the integrity of the Divestiture Assets as an ongoing, viable business and to enable the existing business to continue as a vigorous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XI of the proposed Final Judgment requires Wabtec to provide notification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certain proposed acquisitions not otherwise subject to filing under the Hart-Scott Rodino Act,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and in the same format as, and per the instructions relating to the notification required under that statute. The notification requirement applies in the case of any direct or indirect acquisitions of any assets of or interest in any entity engaged in certain activities relating to freight car brake systems or components in the United States. Section XI further provides for waiting periods and opportunities for the United States to obtain additional information similar to the provisions of the HSR Act before such acquisitions can be consummated.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8"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val="0"/>
          <w:strike w:val="0"/>
          <w:noProof w:val="0"/>
          <w:color w:val="000000"/>
          <w:position w:val="0"/>
          <w:sz w:val="20"/>
          <w:u w:val="none"/>
          <w:vertAlign w:val="baseline"/>
        </w:rPr>
        <w:t> [*78196]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Maribeth Petrizzi, Chief, Litigation II Section, 450 Fifth Street NW., Suite 8700,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Wabtec's acquisition of Faiveley.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development, manufacture, and sale of certain components of a freight car brake system, including hand brakes, slack adjusters, truck-mounted brake assemblies, empty load devices, brake cylinders, and control valves, in the relevant markets identified by the United States. Thus, the proposed Final Judgment would achieve all or substantially all of the relief the United States would have obtained through litigation, but avoids the time, expense, and uncertainty of a full trial on the merits.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Id. at § 16(e)(1)(A) &amp; (B). In considering these statutory factors, the court's inquiry is necessarily a limited one as the government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0"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1"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that the court's "inquiry is limited" because the government has "broad discretion" to determine the adequacy of the relief secured through a settlement); </w:t>
      </w:r>
      <w:hyperlink r:id="rId22"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a court conducting inquiry under the APPA may consider,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3"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0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n2 In determining whether a proposed settlement is in the public interest, a district court "must accord deference to the government's predictions about the efficacy of its remedies, and may not require that the remedies perfectly match the alleged violations."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6" w:history="1">
        <w:r>
          <w:rPr>
            <w:rFonts w:ascii="arial" w:eastAsia="arial" w:hAnsi="arial" w:cs="arial"/>
            <w:b w:val="0"/>
            <w:i/>
            <w:strike w:val="0"/>
            <w:noProof w:val="0"/>
            <w:color w:val="0077CC"/>
            <w:position w:val="0"/>
            <w:sz w:val="20"/>
            <w:u w:val="single"/>
            <w:vertAlign w:val="baseline"/>
          </w:rPr>
          <w:t>U.S. Airways, 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7"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government's prediction as to the effect of proposed remedies, its perception of </w:t>
      </w:r>
      <w:r>
        <w:rPr>
          <w:rFonts w:ascii="arial" w:eastAsia="arial" w:hAnsi="arial" w:cs="arial"/>
          <w:b/>
          <w:i w:val="0"/>
          <w:strike w:val="0"/>
          <w:noProof w:val="0"/>
          <w:color w:val="000000"/>
          <w:position w:val="0"/>
          <w:sz w:val="20"/>
          <w:u w:val="none"/>
          <w:vertAlign w:val="baseline"/>
        </w:rPr>
        <w:t> [*78197] </w:t>
      </w:r>
      <w:r>
        <w:rPr>
          <w:rFonts w:ascii="arial" w:eastAsia="arial" w:hAnsi="arial" w:cs="arial"/>
          <w:b w:val="0"/>
          <w:i w:val="0"/>
          <w:strike w:val="0"/>
          <w:noProof w:val="0"/>
          <w:color w:val="000000"/>
          <w:position w:val="0"/>
          <w:sz w:val="20"/>
          <w:u w:val="none"/>
          <w:vertAlign w:val="baseline"/>
        </w:rPr>
        <w:t xml:space="preserve">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Cf. </w:t>
      </w:r>
      <w:hyperlink r:id="rId23"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8"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8"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9"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(concluding that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0" w:history="1">
        <w:r>
          <w:rPr>
            <w:rFonts w:ascii="arial" w:eastAsia="arial" w:hAnsi="arial" w:cs="arial"/>
            <w:b w:val="0"/>
            <w:i/>
            <w:strike w:val="0"/>
            <w:noProof w:val="0"/>
            <w:color w:val="0077CC"/>
            <w:position w:val="0"/>
            <w:sz w:val="20"/>
            <w:u w:val="single"/>
            <w:vertAlign w:val="baseline"/>
          </w:rPr>
          <w:t>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This language codified what Congress intended when it enacted the Tunney Act in 1974, as the author of this legislation,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n3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1"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See also </w:t>
      </w:r>
      <w:hyperlink r:id="rId30"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1"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26,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DOHA MEKKI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Litigation II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8700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 598-8023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 514-9033</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vertAlign w:val="baseline"/>
          </w:rPr>
          <w:t>Doha.mekki@usdoj.gov</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Westinghouse Air Brake Technologies Corp., Faiveley Transport S.A.,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Faiveley Transport North America,</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1:16-cv-02147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Tanya S. Chutkan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10/26/2016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Whereas,</w:t>
      </w:r>
      <w:r>
        <w:rPr>
          <w:rFonts w:ascii="arial" w:eastAsia="arial" w:hAnsi="arial" w:cs="arial"/>
          <w:b w:val="0"/>
          <w:i w:val="0"/>
          <w:strike w:val="0"/>
          <w:noProof w:val="0"/>
          <w:color w:val="000000"/>
          <w:position w:val="0"/>
          <w:sz w:val="20"/>
          <w:u w:val="none"/>
          <w:vertAlign w:val="baseline"/>
        </w:rPr>
        <w:t xml:space="preserve"> Plaintiff, United States of America, filed its Complaint on October 26, 2016, the United States and defendants, Westinghouse Air Brake Technologies Corp., Faiveley Transport S.A., and Faiveley Transport North America,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the essence of this Final Judgment is the prompt and certain divestiture of certain rights and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the United States requires defendants to make a certain divestiture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 whereas,</w:t>
      </w:r>
      <w:r>
        <w:rPr>
          <w:rFonts w:ascii="arial" w:eastAsia="arial" w:hAnsi="arial" w:cs="arial"/>
          <w:b w:val="0"/>
          <w:i w:val="0"/>
          <w:strike w:val="0"/>
          <w:noProof w:val="0"/>
          <w:color w:val="000000"/>
          <w:position w:val="0"/>
          <w:sz w:val="20"/>
          <w:u w:val="none"/>
          <w:vertAlign w:val="baseline"/>
        </w:rPr>
        <w:t xml:space="preserve"> defendants have represented to the United States that the divestiture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Now therefore,</w:t>
      </w:r>
      <w:r>
        <w:rPr>
          <w:rFonts w:ascii="arial" w:eastAsia="arial" w:hAnsi="arial" w:cs="arial"/>
          <w:b w:val="0"/>
          <w:i w:val="0"/>
          <w:strike w:val="0"/>
          <w:noProof w:val="0"/>
          <w:color w:val="000000"/>
          <w:position w:val="0"/>
          <w:sz w:val="20"/>
          <w:u w:val="none"/>
          <w:vertAlign w:val="baseline"/>
        </w:rPr>
        <w:t xml:space="preserve"> before any testimony is taken, without trial or adjudication of any issue of fact or law, and upon consent of the parties, it is </w:t>
      </w:r>
      <w:r>
        <w:rPr>
          <w:rFonts w:ascii="arial" w:eastAsia="arial" w:hAnsi="arial" w:cs="arial"/>
          <w:b w:val="0"/>
          <w:i/>
          <w:strike w:val="0"/>
          <w:noProof w:val="0"/>
          <w:color w:val="000000"/>
          <w:position w:val="0"/>
          <w:sz w:val="20"/>
          <w:u w:val="none"/>
          <w:vertAlign w:val="baseline"/>
        </w:rPr>
        <w:t>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[*78198]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means Amsted Rail Company, Inc., or another entity to which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"Wabtec" means defendant Westinghouse Air Brake Technologies Corp., a Delaware corporation with its headquarters in Wilmerding, Pennsylvania,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"Faiveley" means defendant Faiveley Transport S.A., a French corporation with its headquarters in Gennevilliers, France, its successors and assigns, and its subsidiaries, divisions, groups, affiliates, partnerships and joint ventures, and their directors, officers, managers, agents, and employees. "Faiveley" includes defendant Faiveley Transport North America, a New York corporation headquartered in Greenville, South Carolina, a wholly-owned subsidiary of Faiveley Transport 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"Amsted" means Amsted Rail Company, Inc., an Illinois corporation with its headquarters in Chicago, Illinois, its successors and assigns, and its subsidiaries, divisions, groups, affiliates, partnerships and joint ventures, and their directors, officers, managers, agents, and employees. Amsted is a wholly-owned subsidiary of Amsted Industries Incorporated of Chicago,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"Amsted Rail Faiveley LLC" means the ongoing business and all associated assets of a joint venture that currently exists between Faiveley and Amsted, was established in 2010 for the purpose of manufacturing and selling freight car brake components, and has headquarters located in Greenville,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"FTEN control valve" means the ongoing project and all associated assets of the freight car brake control valve for freight car brake systems developed or under development by Faiveley.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"Divestiture Assets"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Faiveley's full and complete interest, rights, and property in Amsted Rail Faiveley LLC and the FTEN control valve;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tangible assets relating to Amsted Rail Faiveley LLC and the FTEN control valve, including, but not limited to, research and development activities; all manufacturing equipment, tooling and fixed assets, including, at the option of the Acquirer, the braking simulation testing equipment known as the "whale" located at the Greenville, South Carolina, personal property, inventory, office furniture, materials, supplies, and other tangible property; all licenses, permits and authorizations issued by any governmental organization; all contracts, teaming arrangements, agreements, leases, commitments, certifications, and understandings, including supply agreements; all customer lists, contracts, accounts, and credit records; all repair and performance records and all other records;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intangible assets relating to Amsted Rail Faiveley LLC and the FTEN control valve, including, but not limited to, all patents, licenses and sublicenses, intellectual property, copyrights, trademarks, trade names, service marks, and service names; technical information, computer software and related documentation, know-how, trade secrets, drawings, blueprints, designs, design protocols, and design tools and simulation capability; specifications for materials; specifications for parts and devices; safety procedures for the handling of materials and substances; quality assurance and control procedures; all manuals and technical information Faiveley provides to its own employees, customers, suppliers, agents or licensees; and all research data, including, but not limited to, designs of experiments, and the results of successful and unsuccessful designs and experiments.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Wabtec and Faiveley,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twenty (20) calendar days after the signing of the Hold Separate Stipulation and Order in this matter to divest the Divestiture Assets in a manner consistent with this Final Judgment to Amsted or an Acquirer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the event defendants are attempting to divest the Divestiture Assets to an Acquirer other than Amsted, defendants promptly shall make known, by usual and customary means, the availability of the Divestiture Assets. Defendants shall inform any person making an inquiry regarding a possible purchase of the Divestiture Assets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accomplishing the divestiture ordered by this Final Judgment,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privileges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provide the Acquirer and the United States information relating to Faiveley personnel with responsibilities for Amsted Rail Faiveley LLC or the FTEN control valve to enable the Acquirer to make offers of employment. Defendants will not interfere with any negotiations by the Acquirer to employ any Faiveley employee whose primary responsibility is the production, development, and sale of products relating to Amsted Rail Faiveley LLC and the FTEN control valve.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permit the Acquirer of the Divestiture Assets to have reasonable access to personnel and to make inspections of the physical facilities relating to the Divestiture Assets;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warrant to the Acquirer(s) that each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Defendants shall not take any action that will impede in any way the permitting, operation, or divestiture of the Divestiture Assets. </w:t>
      </w:r>
      <w:r>
        <w:rPr>
          <w:rFonts w:ascii="arial" w:eastAsia="arial" w:hAnsi="arial" w:cs="arial"/>
          <w:b/>
          <w:i w:val="0"/>
          <w:strike w:val="0"/>
          <w:noProof w:val="0"/>
          <w:color w:val="000000"/>
          <w:position w:val="0"/>
          <w:sz w:val="20"/>
          <w:u w:val="none"/>
          <w:vertAlign w:val="baseline"/>
        </w:rPr>
        <w:t> [*78199]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Defendants shall warrant to the Acquirer that there are no material defects in the environmental, zoning or other permits pertaining to the operation of each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Unless the United States otherwise consents in writing, the divestiture pursuant to Section IV, or by Divestiture Trustee appointed pursuant to Section V, of this Final Judgment, shall include the entire Divestiture Assets, and shall be accomplished in such a way as to satisfy the United States, in its sole discretion, that the Divestiture Assets can and will be used by the Acquirer as part of a viable, ongoing business in the design, development, manufacture, marketing, servicing, distribution, and sale of products relating to Amsted Rail Faiveley LLC and the FTEN control valve. The divestiture, whether pursuant to Section IV or V of this Final Judgment, shall be made to an Acquirer that, in the United States's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design, development, manufacture, marketing, servicing, distribution, and sale of products relating to Amsted Rail Faiveley LLC and the FTEN control valve; and that none of the terms of any agreement between the Acquirer and defendants give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Paragraph IV(A),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 acceptable to the United States at such price and on such terms as are then obtainable upon reasonable effort by the Divestiture Trustee, subject to the provisions of Sections IV, V, and VI of this Final Judgment, and shall have such other powers as this Court deems appropriate. Subject to Paragraph V(D) of this Final Judgment, the Divestiture Trustee may hire at the cost and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Wabtec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Wabtec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Wabtec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If the Divestiture Trustee has not accomplished the divestiture ordered under this Final Judgment within six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 contains information that the Divestiture Trustee deems confidential, such report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w:t>
      </w:r>
      <w:r>
        <w:rPr>
          <w:rFonts w:ascii="arial" w:eastAsia="arial" w:hAnsi="arial" w:cs="arial"/>
          <w:b/>
          <w:i w:val="0"/>
          <w:strike w:val="0"/>
          <w:noProof w:val="0"/>
          <w:color w:val="000000"/>
          <w:position w:val="0"/>
          <w:sz w:val="20"/>
          <w:u w:val="none"/>
          <w:vertAlign w:val="baseline"/>
        </w:rPr>
        <w:t> [*78200] </w:t>
      </w:r>
      <w:r>
        <w:rPr>
          <w:rFonts w:ascii="arial" w:eastAsia="arial" w:hAnsi="arial" w:cs="arial"/>
          <w:b w:val="0"/>
          <w:i w:val="0"/>
          <w:strike w:val="0"/>
          <w:noProof w:val="0"/>
          <w:color w:val="000000"/>
          <w:position w:val="0"/>
          <w:sz w:val="20"/>
          <w:u w:val="none"/>
          <w:vertAlign w:val="baseline"/>
        </w:rPr>
        <w:t xml:space="preserve">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 any other third party, or the Divestiture Trustee, if applicable, additional information concerning the proposed divestiture, the proposed Acquirer,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Paragraph V(C) of this Final Judgment. Absent written notice that the United States does not object to the proposed Acquirer or upon objection by the United States, a divestiture proposed under Section IV or V shall not be consummated. Upon objection by defendants under Paragraph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defendants shall deliver to the United States an affidavit as to the fact and manner of its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 </w:t>
      </w:r>
      <w:r>
        <w:rPr>
          <w:rFonts w:ascii="arial" w:eastAsia="arial" w:hAnsi="arial" w:cs="arial"/>
          <w:b/>
          <w:i w:val="0"/>
          <w:strike w:val="0"/>
          <w:noProof w:val="0"/>
          <w:color w:val="000000"/>
          <w:position w:val="0"/>
          <w:sz w:val="20"/>
          <w:u w:val="none"/>
          <w:vertAlign w:val="baseline"/>
        </w:rPr>
        <w:t> [*78201]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Unless such transaction is otherwise subject to the reporting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during the term of this Final Judgment, Wabtec, without providing advance notification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shall not directly or indirectly acquire any assets of or any interest, including, but not limited to, any financial, security, loan, equity, or management interest, in any entity engaged in the design, development, production (including the provision of any input product comprising five percent or more of the value of any final product), marketing, servicing, distribution, or sale of freight car brake systems or components thereof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Such notification shall be provided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the same format as, and per the instructions relating to the Notification and Report Form set forth in the Appendix to Part 803 of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except that the information requested in Items 5 through 9 of the instructions must be provided only about freight car brake systems or components thereof described in Section V of the Complaint filed in this matter (including any input product comprising five percent or more of the value of any final product). Notification shall be provided at least thirty (30) calendar days prior to acquiring any such interest, and shall include, beyond what may be required by the applicable instructions, the names of the principal representatives of the parties to the agreement who negotiated the agreement, and any management or strategic plans discussing the proposed transaction. If within the thirty-day period after notification, representatives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make a written request for additional information, Wabtec shall not consummate the proposed transaction or agreement until thirty (30) calendar days after submitting all such additional information. Early termination of the waiting periods in this paragraph may be requested and, where appropriate, granted in the same manner as is applicable under the requirements and provisions of the HSR Act and rules promulgated thereunder. This Section shall be broadly construed and any ambiguity or uncertainty regarding the filing of notice under this Section shall be resolved in favor of filing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Wabtec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2016-26781 Filed 11-4-16;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78187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doha.mekki@usdoj.gov" TargetMode="External" /><Relationship Id="rId17" Type="http://schemas.openxmlformats.org/officeDocument/2006/relationships/hyperlink" Target="https://advance.lexis.com/api/document?collection=statutes-legislation&amp;id=urn:contentItem:4YF7-GNJ1-NRF4-451X-00000-00&amp;context="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CK-65B0-TVT3-D3DR-00000-00&amp;context=" TargetMode="External" /><Relationship Id="rId21" Type="http://schemas.openxmlformats.org/officeDocument/2006/relationships/hyperlink" Target="https://advance.lexis.com/api/document?collection=cases&amp;id=urn:contentItem:5C2F-7GX1-F04C-Y0FY-00000-00&amp;context=" TargetMode="External" /><Relationship Id="rId22" Type="http://schemas.openxmlformats.org/officeDocument/2006/relationships/hyperlink" Target="https://advance.lexis.com/api/document?collection=cases&amp;id=urn:contentItem:4X85-40M0-TXFP-H385-00000-00&amp;context=" TargetMode="External" /><Relationship Id="rId23" Type="http://schemas.openxmlformats.org/officeDocument/2006/relationships/hyperlink" Target="https://advance.lexis.com/api/document?collection=cases&amp;id=urn:contentItem:3S4W-Y8S0-001B-K1MJ-00000-00&amp;context=" TargetMode="External" /><Relationship Id="rId24" Type="http://schemas.openxmlformats.org/officeDocument/2006/relationships/hyperlink" Target="https://advance.lexis.com/api/document?collection=cases&amp;id=urn:contentItem:3S4X-16H0-0039-W1PJ-00000-00&amp;context=" TargetMode="External" /><Relationship Id="rId25" Type="http://schemas.openxmlformats.org/officeDocument/2006/relationships/hyperlink" Target="https://advance.lexis.com/api/document?collection=cases&amp;id=urn:contentItem:44N5-9DK0-0038-Y4CW-00000-00&amp;context=" TargetMode="External" /><Relationship Id="rId26" Type="http://schemas.openxmlformats.org/officeDocument/2006/relationships/hyperlink" Target="https://advance.lexis.com/api/document?collection=cases&amp;id=urn:contentItem:5BVF-GNC1-F04F-600H-00000-00&amp;context=" TargetMode="External" /><Relationship Id="rId27" Type="http://schemas.openxmlformats.org/officeDocument/2006/relationships/hyperlink" Target="https://advance.lexis.com/api/document?collection=cases&amp;id=urn:contentItem:494T-VD60-0038-Y0P1-00000-00&amp;context=" TargetMode="External" /><Relationship Id="rId28" Type="http://schemas.openxmlformats.org/officeDocument/2006/relationships/hyperlink" Target="https://advance.lexis.com/api/document?collection=cases&amp;id=urn:contentItem:3S4V-KH30-0054-6289-00000-00&amp;context=" TargetMode="External" /><Relationship Id="rId29" Type="http://schemas.openxmlformats.org/officeDocument/2006/relationships/hyperlink" Target="https://advance.lexis.com/api/document?collection=cases&amp;id=urn:contentItem:3S4X-53H0-003B-S0M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0T2-X8J0-0038-Y2SJ-00000-00&amp;context=" TargetMode="External" /><Relationship Id="rId31" Type="http://schemas.openxmlformats.org/officeDocument/2006/relationships/hyperlink" Target="https://advance.lexis.com/api/document?collection=cases&amp;id=urn:contentItem:3S4N-V3J0-0054-72HT-00000-00&amp;context=" TargetMode="Externa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42-SV60-006W-80S6-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78187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71337405</vt:lpwstr>
  </property>
  <property fmtid="{D5CDD505-2E9C-101B-9397-08002B2CF9AE}" pid="3" name="LADocCount">
    <vt:lpwstr>1</vt:lpwstr>
  </property>
  <property fmtid="{D5CDD505-2E9C-101B-9397-08002B2CF9AE}" pid="4" name="UserPermID">
    <vt:lpwstr>urn:user:PA185916758</vt:lpwstr>
  </property>
</Properties>
</file>