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78201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215, Monday, November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78201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Fayez Sarofim;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Fayez Sarofim,</w:t>
      </w:r>
      <w:r>
        <w:rPr>
          <w:rFonts w:ascii="arial" w:eastAsia="arial" w:hAnsi="arial" w:cs="arial"/>
          <w:b w:val="0"/>
          <w:i w:val="0"/>
          <w:strike w:val="0"/>
          <w:noProof w:val="0"/>
          <w:color w:val="000000"/>
          <w:position w:val="0"/>
          <w:sz w:val="20"/>
          <w:u w:val="none"/>
          <w:vertAlign w:val="baseline"/>
        </w:rPr>
        <w:t xml:space="preserve"> Civil Action No. 1:16-cv-02156. On October 27, 2016, the United States filed a Complaint alleging that Fayez Sarofim violated the premerger notification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with respect to his acquisitions of voting securities of Kinder Morgan, Inc. and Kemper Corporation. The proposed Final Judgment, filed at the same time as the Complaint, requires Fayez Sarofim to pay a civil penalty of $ 720,000.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Daniel P. Ducore, Special Attorney, United States, c/o Federal Trade Commission, 600 Pennsylvania Avenue NW., CC-8416, Washington, DC 20580 (telephone: 202-326-2526; email: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c/o Department of Justice,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Fayez Sarofim, Two Houston Center, Suite 2907, Houston, TX 77010</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Rudolph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Filed: 10/27/2016 </w:t>
      </w:r>
      <w:r>
        <w:rPr>
          <w:rFonts w:ascii="arial" w:eastAsia="arial" w:hAnsi="arial" w:cs="arial"/>
          <w:b/>
          <w:i w:val="0"/>
          <w:strike w:val="0"/>
          <w:noProof w:val="0"/>
          <w:color w:val="000000"/>
          <w:position w:val="0"/>
          <w:sz w:val="20"/>
          <w:u w:val="none"/>
          <w:vertAlign w:val="baseline"/>
        </w:rPr>
        <w:t> [*78202]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 for Civil Penalties for Failure To Comply With the Premerger Reporting and Waiting Requirements of the Hart-Scott Rodino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Plaintiff, by its attorneys, acting under the direction of the Attorney General of the United States and at the request of the Federal Trade Commission,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obtain monetary relief in the form of civil penalties against Defendant Fayez Sarofim ("Sarofim"). Plaintiff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Nature of the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Sarofim violated the notice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("HSR Act" or "Act"), with respect to the acquisition of voting securities of Kinder Morgan, Inc. ("KMI") and Kemper Corporation ("Kemper").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Court has jurisdiction over the subject matter of this action pursuant to Section 7A(g) of the Clayton Act, </w:t>
      </w:r>
      <w:hyperlink r:id="rId9" w:history="1">
        <w:r>
          <w:rPr>
            <w:rFonts w:ascii="arial" w:eastAsia="arial" w:hAnsi="arial" w:cs="arial"/>
            <w:b w:val="0"/>
            <w:i/>
            <w:strike w:val="0"/>
            <w:noProof w:val="0"/>
            <w:color w:val="0077CC"/>
            <w:position w:val="0"/>
            <w:sz w:val="20"/>
            <w:u w:val="single"/>
            <w:vertAlign w:val="baseline"/>
          </w:rPr>
          <w:t>15 U.S.C. 18a(g)</w:t>
        </w:r>
      </w:hyperlink>
      <w:r>
        <w:rPr>
          <w:rFonts w:ascii="arial" w:eastAsia="arial" w:hAnsi="arial" w:cs="arial"/>
          <w:b w:val="0"/>
          <w:i w:val="0"/>
          <w:strike w:val="0"/>
          <w:noProof w:val="0"/>
          <w:color w:val="000000"/>
          <w:position w:val="0"/>
          <w:sz w:val="20"/>
          <w:u w:val="none"/>
          <w:vertAlign w:val="baseline"/>
        </w:rPr>
        <w:t xml:space="preserve">, and pursuant to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1355</w:t>
        </w:r>
      </w:hyperlink>
      <w:r>
        <w:rPr>
          <w:rFonts w:ascii="arial" w:eastAsia="arial" w:hAnsi="arial" w:cs="arial"/>
          <w:b w:val="0"/>
          <w:i w:val="0"/>
          <w:strike w:val="0"/>
          <w:noProof w:val="0"/>
          <w:color w:val="000000"/>
          <w:position w:val="0"/>
          <w:sz w:val="20"/>
          <w:u w:val="none"/>
          <w:vertAlign w:val="baseline"/>
        </w:rPr>
        <w:t xml:space="preserve"> and over the Defendant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Venue is properly based in this District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Defendant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Defendant Sarofim is a natural person with his principal office and place of business at Two Houston Center, Suite 2907, Houston, TX 77010. Sarofim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Sarofim had sales or assets in excess of $ 151.7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KMI is a corporation organized under the laws of Delaware with its principal place of business at 1001 Louisiana Street, Houston, TX 77002. KMI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KMI had sales or assets in excess of $ 15.3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Kemper is a corporation organized under the laws of Delaware with its principal place of business at One Kemper Drive, Long Grove, IL 60049. Kemper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Kemper had sales or assets in excess of $ 15.3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Hart-Scott-Rodino Act and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HSR Act requires certain acquiring persons and certain persons whose voting securities or assets are acquired to file notifications with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to observe a waiting period before consummating certain acquisitions of voting securities or assets.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and (b). These notification and waiting period requirements apply to acquisitions that meet the HSR Act's thresholds. Prior to February 1, 2001, the HSR Act's reporting and waiting period requirements applied to most transactions where the acquiring person would hold more than $ 15 million of the acquired person's voting securities and/or assets, except for certain exempted transactions. As of February 1, 2001, the size of transaction threshold was increased to $ 50 million. In addition, there is a separate filing requirement for transactions in which the acquirer will hold voting securities in excess of $ 100 million, and for transactions in which the acquirer will hold voting securities in excess of $ 500 million. Since 2004, the size of person and size of transaction thresholds have been adjusted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HSR Act's notification and waiting period requirements are intended to give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prior notice of, and information about, proposed transactions. The waiting period is also intended to provide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with an opportunity to investigate a proposed transaction and to determine whether to seek an injunction to prevent the consummation of a transaction that may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Section (c)(9) of the HSR Act, </w:t>
      </w:r>
      <w:hyperlink r:id="rId9" w:history="1">
        <w:r>
          <w:rPr>
            <w:rFonts w:ascii="arial" w:eastAsia="arial" w:hAnsi="arial" w:cs="arial"/>
            <w:b w:val="0"/>
            <w:i/>
            <w:strike w:val="0"/>
            <w:noProof w:val="0"/>
            <w:color w:val="0077CC"/>
            <w:position w:val="0"/>
            <w:sz w:val="20"/>
            <w:u w:val="single"/>
            <w:vertAlign w:val="baseline"/>
          </w:rPr>
          <w:t>15 U.S.C. 18a(c)(9)</w:t>
        </w:r>
      </w:hyperlink>
      <w:r>
        <w:rPr>
          <w:rFonts w:ascii="arial" w:eastAsia="arial" w:hAnsi="arial" w:cs="arial"/>
          <w:b w:val="0"/>
          <w:i w:val="0"/>
          <w:strike w:val="0"/>
          <w:noProof w:val="0"/>
          <w:color w:val="000000"/>
          <w:position w:val="0"/>
          <w:sz w:val="20"/>
          <w:u w:val="none"/>
          <w:vertAlign w:val="baseline"/>
        </w:rPr>
        <w:t>, exempts from the requirements of the HSR Act acquisitions of voting securities solely for the purpose of investment if, as a result of the acquisition, the securities acquired or held do not exceed ten percent of the outstanding voting securities of the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Pursuant to Section (d)(2) of the HSR Act, </w:t>
      </w:r>
      <w:hyperlink r:id="rId9" w:history="1">
        <w:r>
          <w:rPr>
            <w:rFonts w:ascii="arial" w:eastAsia="arial" w:hAnsi="arial" w:cs="arial"/>
            <w:b w:val="0"/>
            <w:i/>
            <w:strike w:val="0"/>
            <w:noProof w:val="0"/>
            <w:color w:val="0077CC"/>
            <w:position w:val="0"/>
            <w:sz w:val="20"/>
            <w:u w:val="single"/>
            <w:vertAlign w:val="baseline"/>
          </w:rPr>
          <w:t>15 U.S.C. 18a(d)(2)</w:t>
        </w:r>
      </w:hyperlink>
      <w:r>
        <w:rPr>
          <w:rFonts w:ascii="arial" w:eastAsia="arial" w:hAnsi="arial" w:cs="arial"/>
          <w:b w:val="0"/>
          <w:i w:val="0"/>
          <w:strike w:val="0"/>
          <w:noProof w:val="0"/>
          <w:color w:val="000000"/>
          <w:position w:val="0"/>
          <w:sz w:val="20"/>
          <w:u w:val="none"/>
          <w:vertAlign w:val="baseline"/>
        </w:rPr>
        <w:t>, rules were promulgated to carry out the purposes of the HSR Act. 16 CFR 801-03 ("HSR Rules"). The HSR Rules, among other things, define terms contained in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Pursuant to section 801.13(a)(1) of the HSR Rules, </w:t>
      </w:r>
      <w:hyperlink r:id="rId16" w:history="1">
        <w:r>
          <w:rPr>
            <w:rFonts w:ascii="arial" w:eastAsia="arial" w:hAnsi="arial" w:cs="arial"/>
            <w:b w:val="0"/>
            <w:i/>
            <w:strike w:val="0"/>
            <w:noProof w:val="0"/>
            <w:color w:val="0077CC"/>
            <w:position w:val="0"/>
            <w:sz w:val="20"/>
            <w:u w:val="single"/>
            <w:vertAlign w:val="baseline"/>
          </w:rPr>
          <w:t>16 CFR 801.13(a)(1)</w:t>
        </w:r>
      </w:hyperlink>
      <w:r>
        <w:rPr>
          <w:rFonts w:ascii="arial" w:eastAsia="arial" w:hAnsi="arial" w:cs="arial"/>
          <w:b w:val="0"/>
          <w:i w:val="0"/>
          <w:strike w:val="0"/>
          <w:noProof w:val="0"/>
          <w:color w:val="000000"/>
          <w:position w:val="0"/>
          <w:sz w:val="20"/>
          <w:u w:val="none"/>
          <w:vertAlign w:val="baseline"/>
        </w:rPr>
        <w:t>, "all voting securities of [an] issuer which will be held by the acquiring person after the consummation of an acquisition"--including any held before the acquisition--are deemed held "as a result of" the acquisition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Pursuant to sections 801.13(a)(2) and 801.10(c)(1) of the HSR Rules, </w:t>
      </w:r>
      <w:hyperlink r:id="rId16" w:history="1">
        <w:r>
          <w:rPr>
            <w:rFonts w:ascii="arial" w:eastAsia="arial" w:hAnsi="arial" w:cs="arial"/>
            <w:b w:val="0"/>
            <w:i/>
            <w:strike w:val="0"/>
            <w:noProof w:val="0"/>
            <w:color w:val="0077CC"/>
            <w:position w:val="0"/>
            <w:sz w:val="20"/>
            <w:u w:val="single"/>
            <w:vertAlign w:val="baseline"/>
          </w:rPr>
          <w:t>16 CFR 801.13(a)(2)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 801.10(c)(1)</w:t>
        </w:r>
      </w:hyperlink>
      <w:r>
        <w:rPr>
          <w:rFonts w:ascii="arial" w:eastAsia="arial" w:hAnsi="arial" w:cs="arial"/>
          <w:b w:val="0"/>
          <w:i w:val="0"/>
          <w:strike w:val="0"/>
          <w:noProof w:val="0"/>
          <w:color w:val="000000"/>
          <w:position w:val="0"/>
          <w:sz w:val="20"/>
          <w:u w:val="none"/>
          <w:vertAlign w:val="baseline"/>
        </w:rPr>
        <w:t>, the value of voting securities already held is the market price, defined to be the lowest closing price within 45 days prior to the subsequent acquisition.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Section 801.1(i)(1) of the HSR Rules, </w:t>
      </w:r>
      <w:hyperlink r:id="rId18" w:history="1">
        <w:r>
          <w:rPr>
            <w:rFonts w:ascii="arial" w:eastAsia="arial" w:hAnsi="arial" w:cs="arial"/>
            <w:b w:val="0"/>
            <w:i/>
            <w:strike w:val="0"/>
            <w:noProof w:val="0"/>
            <w:color w:val="0077CC"/>
            <w:position w:val="0"/>
            <w:sz w:val="20"/>
            <w:u w:val="single"/>
            <w:vertAlign w:val="baseline"/>
          </w:rPr>
          <w:t>16 CFR 801.1(i)(1)</w:t>
        </w:r>
      </w:hyperlink>
      <w:r>
        <w:rPr>
          <w:rFonts w:ascii="arial" w:eastAsia="arial" w:hAnsi="arial" w:cs="arial"/>
          <w:b w:val="0"/>
          <w:i w:val="0"/>
          <w:strike w:val="0"/>
          <w:noProof w:val="0"/>
          <w:color w:val="000000"/>
          <w:position w:val="0"/>
          <w:sz w:val="20"/>
          <w:u w:val="none"/>
          <w:vertAlign w:val="baseline"/>
        </w:rPr>
        <w:t>, defines the term "solely for the purpose of investment"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securities are held or acquired "solely for the purpose of investment" if the person holding or acquiring such voting securities has no intention of participating in the formulation, determination, or direction of the basic business decisions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provides that any person, or any officer, director, or partner thereof, who fails to comply with any provision of the HSR Act is liable to the United States for a civil penalty for each day during which such person is in violation. From November 20, 1996, through February 9, 2009, the maximum amount of civil penalty was $ 11,000 per day, pursuant to the Debt Collection Improvement Act of 1996,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61 FR 54548</w:t>
        </w:r>
      </w:hyperlink>
      <w:r>
        <w:rPr>
          <w:rFonts w:ascii="arial" w:eastAsia="arial" w:hAnsi="arial" w:cs="arial"/>
          <w:b w:val="0"/>
          <w:i w:val="0"/>
          <w:strike w:val="0"/>
          <w:noProof w:val="0"/>
          <w:color w:val="000000"/>
          <w:position w:val="0"/>
          <w:sz w:val="20"/>
          <w:u w:val="none"/>
          <w:vertAlign w:val="baseline"/>
        </w:rPr>
        <w:t xml:space="preserve"> (Oct. 21, 1996). As of February 10, 2009, the maximum amount of civil penalty was increased to $ 16,000 per day, pursuant to the Debt Collection Improvement Act of 1996,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 Pursuant to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701 (further amending the Federal Civil Penalties Inflation Adjustment Act of 1990),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the maximum amount of civil penalty was increased to $ 40,000 per day. </w:t>
      </w:r>
      <w:r>
        <w:rPr>
          <w:rFonts w:ascii="arial" w:eastAsia="arial" w:hAnsi="arial" w:cs="arial"/>
          <w:b/>
          <w:i w:val="0"/>
          <w:strike w:val="0"/>
          <w:noProof w:val="0"/>
          <w:color w:val="000000"/>
          <w:position w:val="0"/>
          <w:sz w:val="20"/>
          <w:u w:val="none"/>
          <w:vertAlign w:val="baseline"/>
        </w:rPr>
        <w:t> [*78203]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Defendant's Violations of the HSR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Failure To File HSR Act Notifications in Connection With Acquisitions of KMI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Sarofim was an early investor in KMI and, by August 1999, held KMI shares valued at approximately $ 50 million. Sarofim's acquisitions of KMI securities up until that time were exempt under the HSR Act because they were covered by the Act's exemption of acquisitions made solely for the purpose of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In October 1999, Sarofim became a member of the KMI board, a position that necessarily caused him to participate in the formulation, determination, or direction of the basic business decisions of KMI. As a result, Sarofim could no longer rely on the exemption for acquisitions made solely for the purpose of investment with regard to KMI. Sarofim continued to be a member of KMI's board through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On January 23, 2001, Sarofim acquired 237,500 shares of KMI on the open market. At the time of the acquisition, Sarofim already held voting securities of KMl. The value of the voting securities held by Sarofim after the acquisition was in excess of the then applicable $ 15 million size of transaction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Although he was required to do so, Sarofim did not file under the HSR Act prior to acquiring KMI voting securities on January 23, 2001, improperly relying on the exemption for acquisitions made solely for the purpose of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Sarofim continued to acquire KMI voting securities, through open market purchases and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On July 16, 2006, Sarofim acquired an additional 1,600 shares of KMI as compensation for serving on KMI's board. As a result of this acquisition, Sarofim held KMI voting securities valued in excess of $ 113.4 million, the adjusted $ 100 million threshold in effect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Although he was required to do so, Sarofim did not file under the HSR Act prior to acquiring KMI voting securities on July 16,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On May 30, 2007, Sarofim's KMI voting securities were converted into shares of Knight Holdco, LLC, later named Kinder Morgan Holdco, LLC. This transaction was exempt from the HSR premerger notification and waiting period requirements. After this transaction, Sarofim no longer held any voting securities of KMI.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On November 11, 2011, Sarofim's shares of Kinder Morgan Holdco, LLC were converted into voting securities of KMI. This transaction was exempt from the HSR premerger notification and waiting period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On October 25, 2012, Sarofim acquired 300,000 shares of KMI on the open market. As a result of this acquisition, Sarofim held KMI voting securities valued in excess of $ 682.1 million, the adjusted $ 500 million threshold in effect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Although he was required to do so, Sarofim did not file under the HSR Act prior to acquiring KMI voting securities on October 25,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Sarofim continued to acquire KMI voting securities, on the open market and otherwise, through at least June 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On November 21, 2014, Sarofim made three corrective filings under the HSR Act, for the three notification thresholds he crossed through the 2001, 2006, and 2012 acquisitions. The waiting period on the corrective filings expired on December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Sarofim was in continuous violation of the HSR Act from January 23, 2001, when he acquired the KMI voting securities valued in excess of the HSR Act's then applicable $ 15 million size-of-transaction threshold, through May 30, 2007, when he no longer held voting securities of KMI.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Sarofim was again in continuous violation of the HSR Act from October 25, 2012, when he acquired the KMI voting securities valued in excess of the then $ 682.1 million threshold then in effect, through December 22, 2014, when the waiting period expired.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Failure To File HSR Act Notification in Connection With Acquisition of Kemper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Sarofim was an investor in Teledyne, Inc., an industrial conglomerate that owned Unitrin Inc., the predecessor company to Kemper. In 1990, Unitrin was spun off from Teledyne, and investors in Teledyne, including Sarofim, received pro-rata shares of Unitrin as a result. Sarofim joined the Unitrin board shortly after the spinoff.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On May 10, 2007, Sarofim acquired 10,000 shares of Unitrin Inc., the predecessor to Kemper, on the open market. At the time of the acquisition, Sarofim already held voting securities of Unitrin. The value of the voting securities held by Sarofim after the acquisition was in excess of the then applicable size-of-the-transaction threshold of $ 59.8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At the time of the May 10, 2007 acquisition, Sarofim was a member of Unitrin's board of directors, and Sarofim continued to be a member of Kemper's board through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Because he was on the Unitrin board, Sarofim could not rely on the exemption for acquisitions solely for the purpose of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Although he was required to do so, Sarofim did not file under the HSR Act prior to acquiring Unitrin voting securities on May 10,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Sarofim continued to acquire Unitrin/Kemper voting securities, through open market purchases and otherwise, through at least September 10,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On or about august 19, 2011, Unitrin changed its name to Kemper.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On November 21, 2014, Sarofim made a corrective filing under the HSR Act for the acquisition of Unitrin/Kemper voting securities. The waiting period on the corrective filings expired on December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Sarofim was in continuous violation of the HSR Act from May 10, 2007, when he acquired the Unitrin voting securities valued in excess of the HSR Act's then applicable $ 59.8 million size-of-transaction threshold, through December 22, 2014, when the waiting period expired.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Wherefore, Plaintiff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the Court adjudge and decree that Defendant Sarofim's acquisitions of KMI voting securities on January 23, 2001, July 16, 2006, and October 25, 2012, were violations of the HSR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and that Defendant Sarofim was in violation of the HSR Act each day from January 23, 2001, through May 30, 2007, and from October 25, 2012, through December 22,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That the Court adjudge and decree that Defendant Sarofim's acquisition of Kemper voting securities on May 10, 2007, was a violation of the HSR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and that Defendant Sarofim was in violation of the HSR Act each day from May 10, 2007, through December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That the Court order Defendant Sarofim to pay to the United States an appropriate civil penalty as provided by the HSR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 and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701 (further amending the Federal Civil Penalties Inflation Adjustment Act of 1990),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w:t>
      </w:r>
      <w:r>
        <w:rPr>
          <w:rFonts w:ascii="arial" w:eastAsia="arial" w:hAnsi="arial" w:cs="arial"/>
          <w:b/>
          <w:i w:val="0"/>
          <w:strike w:val="0"/>
          <w:noProof w:val="0"/>
          <w:color w:val="000000"/>
          <w:position w:val="0"/>
          <w:sz w:val="20"/>
          <w:u w:val="none"/>
          <w:vertAlign w:val="baseline"/>
        </w:rPr>
        <w:t> [*78204]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order such other and further relief as the Court may deem just and proper;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That the Court award the Plaintiff its costs of this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Acting Assistant Attorney General Special Attorney,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933721,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Roberta S. Baruch,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269266,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 Federal Trade Commission, Washington, DC 20580, (202) 326-2694.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Fayez Sarofim</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Rudolph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10/27/2016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 set forth the information necessary to enable the Court and the public to evaluate the proposed Final Judgment that would terminate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27, 2017, the United States filed a Complaint against Defendant Fayez Sarofim ("Sarofim"), related to Sarofim's acquisitions of voting securities of Kinder Morgan, Inc. ("KMI") and Kemper Corporation ("Kemper") between January 2001 and December 2014. The Complaint alleges that Sarofim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The HSR Act provides that "no person shall acquire, directly or indirectly, any voting securities of any person" exceeding certain thresholds until that person has filed pre-acquisition notification and report forms with the Department of Justice and the Federal Trade Commission (collectively,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or "agencies") and the post-filing waiting period has expired.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 key purpose of the notification and waiting period is to protect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potentially anticompetitive transactions by providing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transactions before they are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Sarofim acquired voting securities of KMI and Kemper in excess of then-applicable statutory thresholds without making the required pre-acquisition HSR filings with the agencies and without observing the waiting period, and that Sarofim and each of KMI and Kemper met the applicable statutory size of person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in the present action, the United States also filed a Stipulation and proposed Final Judgment that eliminates the need for a trial in this case. The proposed Final Judgment is designed to deter Sarofim's HSR Act violations. Under the proposed Final Judgment, Sarofim must pay a civil penalty to the United States in the amount of $ 720,000.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after compliance with the APPA, unless the United States first withdraws its consent. Entry of the proposed Final Judgment would terminate this case, except that the Court would retain jurisdiction to construe, modify, or enforce the provisions of the proposed Final Judgment and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Description of the Events Giving Rise to the Alleged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Sarofim's 2001, 2006, and 2012 Acquisitions of KMI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Sarofim is an investor. Sarofim is the second-largest shareholder in KMI. At all times relevant to the Complaint, Sarofim had sales or assets in excess of $ 151.7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Headquartered in Houston, Texas, KMI is the largest energy infrastructure company in North America. At all times relevant to the Complaint, KMI had sales or assets in excess of $ 15.3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Sarofim was an early investor in KMI and, by August 1999, held KMI shares valued at approximately $ 50 million. Sarofim's acquisitions of KMI securities up until that time were exempt under the HSR Act because they were covered by the Act's investment-only exemption, which exempts "acquisitions, solely for the purpose of investment, of voting securities, if, as a result of such acquisition, the securities acquired or held do not exceed 10 per centum of the outstanding voting securities of the issuer." </w:t>
      </w:r>
      <w:hyperlink r:id="rId9" w:history="1">
        <w:r>
          <w:rPr>
            <w:rFonts w:ascii="arial" w:eastAsia="arial" w:hAnsi="arial" w:cs="arial"/>
            <w:b w:val="0"/>
            <w:i/>
            <w:strike w:val="0"/>
            <w:noProof w:val="0"/>
            <w:color w:val="0077CC"/>
            <w:position w:val="0"/>
            <w:sz w:val="20"/>
            <w:u w:val="single"/>
            <w:vertAlign w:val="baseline"/>
          </w:rPr>
          <w:t>15 U.S.C. 18a(c)(9)</w:t>
        </w:r>
      </w:hyperlink>
      <w:r>
        <w:rPr>
          <w:rFonts w:ascii="arial" w:eastAsia="arial" w:hAnsi="arial" w:cs="arial"/>
          <w:b w:val="0"/>
          <w:i w:val="0"/>
          <w:strike w:val="0"/>
          <w:noProof w:val="0"/>
          <w:color w:val="000000"/>
          <w:position w:val="0"/>
          <w:sz w:val="20"/>
          <w:u w:val="none"/>
          <w:vertAlign w:val="baseline"/>
        </w:rPr>
        <w:t xml:space="preserve">. The HSR Rules provide that securities are held "solely for the purpose of investment" if the person holding or acquiring the securities has "no intention of participating in the formulation, determination, or direction of the basic business decisions of the issuer." </w:t>
      </w:r>
      <w:hyperlink r:id="rId18" w:history="1">
        <w:r>
          <w:rPr>
            <w:rFonts w:ascii="arial" w:eastAsia="arial" w:hAnsi="arial" w:cs="arial"/>
            <w:b w:val="0"/>
            <w:i/>
            <w:strike w:val="0"/>
            <w:noProof w:val="0"/>
            <w:color w:val="0077CC"/>
            <w:position w:val="0"/>
            <w:sz w:val="20"/>
            <w:u w:val="single"/>
            <w:vertAlign w:val="baseline"/>
          </w:rPr>
          <w:t>16 CFR 801.1(i)(1)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1999, Sarofim became a member of the KMI board, a position that necessarily caused him to participate in the formulation, determination, or direction of the basic business decisions of KMI. On January 23, 2001, Sarofim, while still a KMI board member, acquired 237,000 shares of KMI on the open market. As a result of this acquisition, Sarofim held KMI voting securities valued at over the $ 15 million HSR threshold that was then in place. Sarofim improperly relied on the investment-only exemption and did not make an HSR filing in connection with the 2001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Sarofim again failed to make HSR filings when he crossed the two subsequent filing thresholds related to his holdings in KMI. On July 16, 2006, Sarofim acquired 1,600 shares of KMI as compensation for serving on the KMI board. As a result of this acquisition, Sarofim held KMI voting securities valued over the $ 113.4 million filing threshold. On May 30, 2007, Sarofim's KMI voting securities were converted into shares of Knight Holdco, LLC, later named Kinder Morgan Holdco, LLC. This transaction was exempt from the HSR premerger notification and waiting period requirements. After this transaction, Sarofim no longer held any voting securities of KMI. On November 11, 2011, Sarofim's shares of Kinder Morgan Holdco, LLC were converted into voting securities of KMI. This transaction was exempt from the HSR premerger notification and waiting period requirements. Later, on October 25, 2012, Sarofim purchased 300,000 shares of KMI on the open market. As a result of that acquisition, Sarofim held KMI voting securities valued in excess of the $ 682.1 million filing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Sarofim made corrective HSR Act filings on November 21, 2014, after learning that he had improperly relied on the investment-only exemption and was obligated to file. The waiting period expired on December 22, 2014. </w:t>
      </w:r>
      <w:r>
        <w:rPr>
          <w:rFonts w:ascii="arial" w:eastAsia="arial" w:hAnsi="arial" w:cs="arial"/>
          <w:b/>
          <w:i w:val="0"/>
          <w:strike w:val="0"/>
          <w:noProof w:val="0"/>
          <w:color w:val="000000"/>
          <w:position w:val="0"/>
          <w:sz w:val="20"/>
          <w:u w:val="none"/>
          <w:vertAlign w:val="baseline"/>
        </w:rPr>
        <w:t> [*78205]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Sarofim's Acquisitions of Kemper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Kemper Corporation is an insurance holding company, with subsidiaries that provide automobile, homeowners, life, health, and other insurance products to individuals and businesses. At all times relevant to the Complaint, Kemper had sales or assets in excess of $ 15.3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Sarofim was an investor in Teledyne, Inc., an industrial conglomerate that owned Unitrin Inc., the predecessor company to Kemper. In 1990, Unitrin was spun off from Teledyne, and investors in Teledyne, including Sarofim, received pro-rata shares of Unitrin as a result. Sarofim joined the Unitrin board shortly after the spinoff.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10, 2007, Sarofim, while still a Unitrin board member, acquired 10,000 shares of Unitrin on the open market. As a result of the acquisition, Sarofim held Unitrin voting securities valued over $ 59.8 million, the threshold that was then in place. Sarofim again improperly relied on the investment-only exemption and did not make an HSR Act filing. Sarofim could not rely on the investment-only exemption because of his status as a Unitrin board member. Through at least September 10, 2008, Sarofim made numerous purchases of Unitrin voting securities on the open market without making HSR Act filings. On or about August 19, 2011, Unitrin changed its name to Kemper.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Sarofim made a corrective HSR Act filing on November 21, 2014, after learning that he had improperly relied on the investment-only exemption and was obligated to file. The waiting period expired on December 22,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imposes a $ 720,000 civil penalty designed to deter the Defendant and others from violating the HSR Act. The United States adjusted the penalty downward from the maximum permitted under the HSR Act because the violations were inadvertent, the Defendant promptly self-reported the violations after discovery, and the Defendant is willing to resolve the matter by consent decree and avoid prolonged investigation and litigation. The relief will have a beneficial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agencies will be properly notified of future acquisitions, in accordance with the law. At the same time, the penalty will not have any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HSR Act violations; therefore,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by this Court after compliance with the provisions of the APPA, provided that the United States has not withdrawn its consent. The APPA conditions entry of the decree upon this Court's determination that the proposed Final Judgment is in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entry. The comments and the response of the United States will be filed with this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 Daniel P. Ducore, Special Attorney, United States, c/o Federal Trade Commission, 600 Pennsylvania Avenue NW., CC-8416, Washington, DC 20580, </w:t>
      </w:r>
      <w:r>
        <w:rPr>
          <w:rFonts w:ascii="arial" w:eastAsia="arial" w:hAnsi="arial" w:cs="arial"/>
          <w:b w:val="0"/>
          <w:i/>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this Court retains jurisdiction over this action, and the parties may apply to this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proposed Final Judgment, the United States considered pursuing a full trial on the merits against the Defendant. The United States is satisfied, however, that the proposed relief is an appropriate remedy in this matter. Given the facts of this case, including the Defendant's self-reporting of the violation and willingness to promptly settle this matter, the United States is satisfied that the proposed civil penalty is sufficient to address the violation alleged in the Complaint and to deter violations by similarly situated entities in the future, without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16(e)(1)(A) &amp; (B). In considering these statutory factors, the court's inquiry is necessarily a limited one, as the government is entitled to "broad discretion to settle with the defendant within the reaches of the public interest." </w:t>
      </w:r>
      <w:hyperlink r:id="rId24"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5"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6"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that the court's "inquiry is limited" because the government has "broad discretion" to determine the adequacy of the relief secured through a settlement); </w:t>
      </w:r>
      <w:hyperlink r:id="rId27"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w:t>
      </w:r>
      <w:r>
        <w:rPr>
          <w:rFonts w:ascii="arial" w:eastAsia="arial" w:hAnsi="arial" w:cs="arial"/>
          <w:b/>
          <w:i w:val="0"/>
          <w:strike w:val="0"/>
          <w:noProof w:val="0"/>
          <w:color w:val="000000"/>
          <w:position w:val="0"/>
          <w:sz w:val="20"/>
          <w:u w:val="none"/>
          <w:vertAlign w:val="baseline"/>
        </w:rPr>
        <w:t> [*78206] </w:t>
      </w:r>
      <w:r>
        <w:rPr>
          <w:rFonts w:ascii="arial" w:eastAsia="arial" w:hAnsi="arial" w:cs="arial"/>
          <w:b w:val="0"/>
          <w:i w:val="0"/>
          <w:strike w:val="0"/>
          <w:noProof w:val="0"/>
          <w:color w:val="000000"/>
          <w:position w:val="0"/>
          <w:sz w:val="20"/>
          <w:u w:val="none"/>
          <w:vertAlign w:val="baseline"/>
        </w:rPr>
        <w:t xml:space="preserve">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a court conducting an inquiry under the APPA may consider,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8"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9"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Alcoa, Inc.,</w:t>
      </w:r>
      <w:r>
        <w:rPr>
          <w:rFonts w:ascii="arial" w:eastAsia="arial" w:hAnsi="arial" w:cs="arial"/>
          <w:b w:val="0"/>
          <w:i w:val="0"/>
          <w:strike w:val="0"/>
          <w:noProof w:val="0"/>
          <w:color w:val="000000"/>
          <w:position w:val="0"/>
          <w:sz w:val="20"/>
          <w:u w:val="none"/>
          <w:vertAlign w:val="baseline"/>
        </w:rPr>
        <w:t xml:space="preserve"> 152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 2d 37, 40 (D.D.C. 2001);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5"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0"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government's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8"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1"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1"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2"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5"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4"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(concluding that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4"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5"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This language codified what Congress intended when it enacted the Tunney Act in 1974, as the author of this legislation,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5"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w:t>
      </w:r>
      <w:r>
        <w:rPr>
          <w:rFonts w:ascii="arial" w:eastAsia="arial" w:hAnsi="arial" w:cs="arial"/>
          <w:b/>
          <w:i w:val="0"/>
          <w:strike w:val="0"/>
          <w:noProof w:val="0"/>
          <w:color w:val="000000"/>
          <w:position w:val="0"/>
          <w:sz w:val="20"/>
          <w:u w:val="none"/>
          <w:vertAlign w:val="baseline"/>
        </w:rPr>
        <w:t> [*78207] </w:t>
      </w:r>
      <w:r>
        <w:rPr>
          <w:rFonts w:ascii="arial" w:eastAsia="arial" w:hAnsi="arial" w:cs="arial"/>
          <w:b w:val="0"/>
          <w:i w:val="0"/>
          <w:strike w:val="0"/>
          <w:noProof w:val="0"/>
          <w:color w:val="000000"/>
          <w:position w:val="0"/>
          <w:sz w:val="20"/>
          <w:u w:val="none"/>
          <w:vertAlign w:val="baseline"/>
        </w:rPr>
        <w:t xml:space="preserve">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6"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also </w:t>
      </w:r>
      <w:hyperlink r:id="rId33"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4"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October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Kenneth A. Libby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Special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c/o Federal Trade Commission, 600 Pennsylvania Avenue NW., Washington, DC 20580, Phone: (202) 326-2694, Email: </w:t>
      </w:r>
      <w:hyperlink r:id="rId35" w:history="1">
        <w:r>
          <w:rPr>
            <w:rFonts w:ascii="arial" w:eastAsia="arial" w:hAnsi="arial" w:cs="arial"/>
            <w:b w:val="0"/>
            <w:i/>
            <w:strike w:val="0"/>
            <w:noProof w:val="0"/>
            <w:color w:val="0077CC"/>
            <w:position w:val="0"/>
            <w:sz w:val="20"/>
            <w:u w:val="single"/>
            <w:vertAlign w:val="baseline"/>
          </w:rPr>
          <w:t>klibby@ftc.gov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Fayez Sarofim</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Rudolph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10/27/2016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the United States of America, having commenced this action by filing its Complaint herein for violation of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and Plaintiff and Defendant Fayez Sarofim, by their respective attorneys, having consented to the entry of this Final Judgment without trial or adjudication of any issue of fact or law herein, and without this Final Judgment constituting any evidence against or an admission by the Defendant with respect to any such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the taking of any testimony and without trial or adjudication of any issue of fact or law herein, and upon the consent of the parties hereto, it is hereby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jurisdiction of the subject matter of this action and of the Plaintiff and the Defendant. The Complaint states a claim upon which relief can be granted against the Defendant under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Judgment is hereby entered in this matter in favor of Plaintiff United States of America and against Defendant, and, pursuant to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61 FR 54549</w:t>
        </w:r>
      </w:hyperlink>
      <w:r>
        <w:rPr>
          <w:rFonts w:ascii="arial" w:eastAsia="arial" w:hAnsi="arial" w:cs="arial"/>
          <w:b w:val="0"/>
          <w:i w:val="0"/>
          <w:strike w:val="0"/>
          <w:noProof w:val="0"/>
          <w:color w:val="000000"/>
          <w:position w:val="0"/>
          <w:sz w:val="20"/>
          <w:u w:val="none"/>
          <w:vertAlign w:val="baseline"/>
        </w:rPr>
        <w:t xml:space="preserve"> (Oct. 21, 1996), and </w:t>
      </w:r>
      <w:hyperlink r:id="rId22"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 and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xml:space="preserve"> § 701 (further amending the Federal Civil Penalties Inflation Adjustment Act of 1990),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Defendant Fayez Sarofim is hereby ordered to pay a civil penalty in the amount of seven hundred twenty thousand dollars ($ 720,000). Payment of the civil penalty ordered hereby shall be made by wire transfer of funds or cashier's check. If the payment is made by wire transfer, Defendant shall contact Janie Ingalls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at (202) 514-2481 for instructions before making the transfer. If the payment is made by cashier's check, the check shall be made payable to the United States Department of Justice and delivered to: Janie Ingalls,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450 5th Street NW., Suite 1024,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shall pay the full amount of the civil penalty within thirty (30) days of entry of this Final Judgment. In the event of a default or delay in payment, interest at the rate of eighteen (18) percent per annum shall accrue thereon from the date of the default or delay to the date of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party shall bear its own costs of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2016-26782 Filed 11-4-16;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78201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mailto:dducore@ftc.gov"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K61-NRF4-42PV-00000-00&amp;context=" TargetMode="External" /><Relationship Id="rId15" Type="http://schemas.openxmlformats.org/officeDocument/2006/relationships/hyperlink" Target="https://advance.lexis.com/api/document?collection=statutes-legislation&amp;id=urn:contentItem:4YF7-GNX1-NRF4-43GX-00000-00&amp;context=" TargetMode="External" /><Relationship Id="rId16" Type="http://schemas.openxmlformats.org/officeDocument/2006/relationships/hyperlink" Target="https://advance.lexis.com/api/document?collection=administrative-codes&amp;id=urn:contentItem:5HYR-92P0-008G-Y1FB-00000-00&amp;context=" TargetMode="External" /><Relationship Id="rId17" Type="http://schemas.openxmlformats.org/officeDocument/2006/relationships/hyperlink" Target="https://advance.lexis.com/api/document?collection=administrative-codes&amp;id=urn:contentItem:5HYR-92S0-008G-Y27Y-00000-00&amp;context=" TargetMode="External" /><Relationship Id="rId18" Type="http://schemas.openxmlformats.org/officeDocument/2006/relationships/hyperlink" Target="https://advance.lexis.com/api/document?collection=administrative-codes&amp;id=urn:contentItem:5SV3-PDK0-008G-Y4FD-00000-00&amp;context=" TargetMode="External" /><Relationship Id="rId19" Type="http://schemas.openxmlformats.org/officeDocument/2006/relationships/hyperlink" Target="https://advance.lexis.com/api/document?collection=statutes-legislation&amp;id=urn:contentItem:4YF7-GP01-NRF4-44H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HV-NCN0-008G-Y05S-00000-00&amp;context=" TargetMode="External" /><Relationship Id="rId21" Type="http://schemas.openxmlformats.org/officeDocument/2006/relationships/hyperlink" Target="https://advance.lexis.com/api/document?collection=administrative-codes&amp;id=urn:contentItem:3SHB-Y7B0-006W-91X7-00000-00&amp;context=" TargetMode="External" /><Relationship Id="rId22" Type="http://schemas.openxmlformats.org/officeDocument/2006/relationships/hyperlink" Target="https://advance.lexis.com/api/document?collection=administrative-codes&amp;id=urn:contentItem:4VBD-9H80-006W-810N-00000-00&amp;context=" TargetMode="External" /><Relationship Id="rId23" Type="http://schemas.openxmlformats.org/officeDocument/2006/relationships/hyperlink" Target="https://advance.lexis.com/api/document?collection=administrative-codes&amp;id=urn:contentItem:5K4B-C540-006W-81KV-00000-00&amp;context=" TargetMode="External" /><Relationship Id="rId24" Type="http://schemas.openxmlformats.org/officeDocument/2006/relationships/hyperlink" Target="https://advance.lexis.com/api/document?collection=cases&amp;id=urn:contentItem:3RTP-83N0-001T-D0C7-00000-00&amp;context=" TargetMode="External" /><Relationship Id="rId25" Type="http://schemas.openxmlformats.org/officeDocument/2006/relationships/hyperlink" Target="https://advance.lexis.com/api/document?collection=cases&amp;id=urn:contentItem:4NCK-65B0-TVT3-D3DR-00000-00&amp;context=" TargetMode="External" /><Relationship Id="rId26" Type="http://schemas.openxmlformats.org/officeDocument/2006/relationships/hyperlink" Target="https://advance.lexis.com/api/document?collection=cases&amp;id=urn:contentItem:5C2F-7GX1-F04C-Y0FY-00000-00&amp;context=" TargetMode="External" /><Relationship Id="rId27" Type="http://schemas.openxmlformats.org/officeDocument/2006/relationships/hyperlink" Target="https://advance.lexis.com/api/document?collection=cases&amp;id=urn:contentItem:4X85-40M0-TXFP-H385-00000-00&amp;context=" TargetMode="External" /><Relationship Id="rId28" Type="http://schemas.openxmlformats.org/officeDocument/2006/relationships/hyperlink" Target="https://advance.lexis.com/api/document?collection=cases&amp;id=urn:contentItem:3S4W-Y8S0-001B-K1MJ-00000-00&amp;context=" TargetMode="External" /><Relationship Id="rId29" Type="http://schemas.openxmlformats.org/officeDocument/2006/relationships/hyperlink" Target="https://advance.lexis.com/api/document?collection=cases&amp;id=urn:contentItem:3S4X-16H0-0039-W1P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94T-VD60-0038-Y0P1-00000-00&amp;context=" TargetMode="External" /><Relationship Id="rId31" Type="http://schemas.openxmlformats.org/officeDocument/2006/relationships/hyperlink" Target="https://advance.lexis.com/api/document?collection=cases&amp;id=urn:contentItem:3S4V-KH30-0054-6289-00000-00&amp;context=" TargetMode="External" /><Relationship Id="rId32" Type="http://schemas.openxmlformats.org/officeDocument/2006/relationships/hyperlink" Target="https://advance.lexis.com/api/document?collection=cases&amp;id=urn:contentItem:3S4X-53H0-003B-S0M5-00000-00&amp;context=" TargetMode="External" /><Relationship Id="rId33" Type="http://schemas.openxmlformats.org/officeDocument/2006/relationships/hyperlink" Target="https://advance.lexis.com/api/document?collection=cases&amp;id=urn:contentItem:40T2-X8J0-0038-Y2SJ-00000-00&amp;context=" TargetMode="External" /><Relationship Id="rId34" Type="http://schemas.openxmlformats.org/officeDocument/2006/relationships/hyperlink" Target="https://advance.lexis.com/api/document?collection=cases&amp;id=urn:contentItem:3S4N-V3J0-0054-72HT-00000-00&amp;context=" TargetMode="External" /><Relationship Id="rId35" Type="http://schemas.openxmlformats.org/officeDocument/2006/relationships/hyperlink" Target="mailto:klibby@ftc.gov" TargetMode="External" /><Relationship Id="rId36" Type="http://schemas.openxmlformats.org/officeDocument/2006/relationships/hyperlink" Target="https://advance.lexis.com/api/document?collection=administrative-codes&amp;id=urn:contentItem:3SHB-Y7B0-006W-91X8-00000-00&amp;context=" TargetMode="Externa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42-SV60-006W-80S7-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J1-NRF4-45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8852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71338844</vt:lpwstr>
  </property>
  <property fmtid="{D5CDD505-2E9C-101B-9397-08002B2CF9AE}" pid="3" name="LADocCount">
    <vt:lpwstr>1</vt:lpwstr>
  </property>
  <property fmtid="{D5CDD505-2E9C-101B-9397-08002B2CF9AE}" pid="4" name="UserPermID">
    <vt:lpwstr>urn:user:PA185916758</vt:lpwstr>
  </property>
</Properties>
</file>