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78890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217, Wednesday, November 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78890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November 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Institute a New Fee for the Distribution of Data</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34-79228; File No. SR-NASDAQ-2016-144]</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October 20, 2016,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Rule 7047 of the Exchange's transaction fees to institute a new fee for the distribution of data derived from Nasdaq Basic on third-party Web sites or other electronic platforms, as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are being filed for immediate effectiveness and will become operative on October 20,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introduce a new pricing model to keep pace with an evolving practice. Distributors have increasingly used Nasdaq Basic to make "Derived Data" available on a Web site or other electronic platform that is branded by a third party, or co-branded by a Distributor and a third party, and available to external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"Derived Data" is pricing data or other information that is created in whole or in part from Nasdaq information, but which cannot be reverse engineered to recreate Nasdaq information or be used to create other data that is recognizable as a reasonable substitute for Nasdaq information. The type of Derived Data subject to the proposed fee is taken from Nasdaq Basic, a proprietary data product that provides best bid and offer and last sale information for all U.S. exchange-listed stocks using data from the Nasdaq Market Center and the FINRA/Nasdaq Trade Reporting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Derived Data subject to the proposed fee is made available to subscribers on a "Hosted Display Solution": A product, solution or capability provided by a Distributor in which the Distributor makes the Derived Data available on a platform that reflects either a brand of a third party, or is co-branded with a third party and a Distributor, and available for use by external subscribers of the third party or the Distributor. The Distributor maintains control of the application's data, entitlements and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Hosted Display Solution may take a number of forms. For example, the Distributor may host a "Widget," such as an iframe or applet, in which the Hosted Display Solution is a part or a subset of a Web site or platform. The Hosted Display Solution may also take the form of a "White Label," in which the Distributor hosts or maintains the Web site or platform on behalf of a third-party entity. Although the specific forms may vary, Hosted Display Solutions allow Distributors to make Derived Data available on a platform that is branded with a third-party brand, or co-branded with a third party and a Distributor, for the use of external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Derived Data on a Hosted Display Solution may be used for a number of different purposes, to be determined by the Distributor. Possible uses include the display of information or data, or the creation of derivative instruments, such as swaps, n3 swaptions, n4 binary options, n5 or contracts for difference. n6 The specific use of the data will be determined by the Distributor, as the proposed fee will not depend on the purpose for placing the Derived Data on a Hosted Display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 swap is a derivative contract in which two parties agree to exchange financial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 swaption, or swap option, is an option to enter into a swap at a specified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 binary option is a type of contract in which the return depends on the outcome of a true/false proposition. If the proposition is true, the option purchaser would be entitled to predetermined compensation; otherwise, the purchaser would receive no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contract for difference is an agreement to exchange the difference between the current value of an asset and its future value. If the price increases, the seller pays the buyer the amount of the increase. If the price decreases, the buyer pays the seller the amount of the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a flat fee of $ 400 per month per Hosted Display Solution for each Distributor that makes Derived Data available on a Hosted Display Solution. The monthly fee will apply whenever such a Hosted Display Solution is employed at any time during the month. This fee will be in addition to the distributor fee owed for the distribution of Nasdaq Basic under Rule 7047(c)(1), as well as any fee that may be owed under Rule 7047(c)(2). Any Distributor that distributes Nasdaq data that is not Derived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Nasdaq Basic for Nasdaq, Nasdaq Basic for NYSE, or Nasdaq Basic for NYSE Market--on a Hosted Display Solution would be liable for any applicable per-subscriber or per-query fees set forth in </w:t>
      </w:r>
      <w:r>
        <w:rPr>
          <w:rFonts w:ascii="arial" w:eastAsia="arial" w:hAnsi="arial" w:cs="arial"/>
          <w:b/>
          <w:i w:val="0"/>
          <w:strike w:val="0"/>
          <w:noProof w:val="0"/>
          <w:color w:val="000000"/>
          <w:position w:val="0"/>
          <w:sz w:val="20"/>
          <w:u w:val="none"/>
          <w:vertAlign w:val="baseline"/>
        </w:rPr>
        <w:t> [*78891] </w:t>
      </w:r>
      <w:r>
        <w:rPr>
          <w:rFonts w:ascii="arial" w:eastAsia="arial" w:hAnsi="arial" w:cs="arial"/>
          <w:b w:val="0"/>
          <w:i w:val="0"/>
          <w:strike w:val="0"/>
          <w:noProof w:val="0"/>
          <w:color w:val="000000"/>
          <w:position w:val="0"/>
          <w:sz w:val="20"/>
          <w:u w:val="none"/>
          <w:vertAlign w:val="baseline"/>
        </w:rPr>
        <w:t xml:space="preserve"> Rules 7047(b)(1)-(3), as well as the distribution fee under 7047(c)(1).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 is entirely optional, in that it applies only to Distributors that opt to use Derived Data from Nasdaq Basic to create a Hosted Display Solution, as described herein. It does not impact or raise the cost of any other Nasdaq product, nor does it increase the cost of Nasdaq Basic, except in instances where Derived Data is made available on a Hosted Display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"Derived Data" will be a defined term under the proposal, the Exchange also proposes replacing the phrase "data derived" in Rule 7047(c)(2) with the term "Derived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n7 in general, and furthers the objectives of Sections 6(b)(4) and 6(b)(5) of the Act, n8 in particular, in that it provides for the equitable allocation of reasonable dues, fees and other charges among members and issuers and other persons using its facility,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1"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1"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courts have repeatedly expressed their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regulatory intervention in determining prices, products, and services in the securities markets.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while adopting a series of steps to improve the current market model, the Commission highlighted the importance of market forces in determining prices and SRO revenues and, also, recognized that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market system "has been remarkably successful in promoting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broader forms that are most important to investors and listed companies."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Securities Exchange Act Release No. 51808 (June 9, 2005), </w:t>
      </w:r>
      <w:hyperlink r:id="rId12" w:history="1">
        <w:r>
          <w:rPr>
            <w:rFonts w:ascii="arial" w:eastAsia="arial" w:hAnsi="arial" w:cs="arial"/>
            <w:b w:val="0"/>
            <w:i/>
            <w:strike w:val="0"/>
            <w:noProof w:val="0"/>
            <w:color w:val="0077CC"/>
            <w:position w:val="0"/>
            <w:sz w:val="20"/>
            <w:u w:val="single"/>
            <w:vertAlign w:val="baseline"/>
          </w:rPr>
          <w:t>70 FR 37496, 37499</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n10 ("NetCoalition") the D.C. Circuit upheld the Commission's use of a market-based approach in evaluating the fairness of market data fees against a challenge claiming that Congress mandated a cost-based approach. n11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3"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NetCoalition</w:t>
      </w:r>
      <w:r>
        <w:rPr>
          <w:rFonts w:ascii="arial" w:eastAsia="arial" w:hAnsi="arial" w:cs="arial"/>
          <w:b w:val="0"/>
          <w:i w:val="0"/>
          <w:strike w:val="0"/>
          <w:noProof w:val="0"/>
          <w:color w:val="000000"/>
          <w:position w:val="0"/>
          <w:sz w:val="20"/>
          <w:u w:val="none"/>
          <w:vertAlign w:val="baseline"/>
        </w:rPr>
        <w:t xml:space="preserve"> at 534-535;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 Indus. Fin. Mkts. Ass'n (SIFMA), Initial Decision Release No. 1015, 2016 SEC LEXIS 2278</w:t>
        </w:r>
      </w:hyperlink>
      <w:r>
        <w:rPr>
          <w:rFonts w:ascii="arial" w:eastAsia="arial" w:hAnsi="arial" w:cs="arial"/>
          <w:b w:val="0"/>
          <w:i w:val="0"/>
          <w:strike w:val="0"/>
          <w:noProof w:val="0"/>
          <w:color w:val="000000"/>
          <w:position w:val="0"/>
          <w:sz w:val="20"/>
          <w:u w:val="none"/>
          <w:vertAlign w:val="baseline"/>
        </w:rPr>
        <w:t xml:space="preserve"> (ALJ June 1, 2016) (applying a market-based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at 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539 (quoting Securities Exchange Act Release No. 59039 (December 2, 2008), </w:t>
      </w:r>
      <w:hyperlink r:id="rId15"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introduction of a fee for the use of Derived Data on Hosted Display Solutions is reasonable because: (i) All proprietary data fees are constrained by the Exchange's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(ii) proprietary data fees are subject to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substitute products; and (iii) the proposed fee will be constrained by downstream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and third-party firms. The Exchange does not currently have a specific fee for making Derived Data available on Hosted Display Solutions for external subscribers; the proposed fee will be $ 400 per month for any use of a Hosted Display Solution to display Derived Data at any time during that month. A Distributor who makes Derived Data available on a Hosted Display Solution would not be subject to the per-Subscriber or per-query user fees set forth in Rules 7047(b)(1)-(3) because Derived Data, by definition, cannot be reverse engineered to recreate the data that is fee-liable under those rules. This is in contrast to any firm that distributes Nasdaq data that is not Derived Data on a Hosted Display Solution, which would be subject to such user fees. The Exchange believes that this fee is an equitable allocation and is not unfairly discriminatory because the Exchange will apply the same fee to all similarly situated distributors.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 terms of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notes that it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market participants can readily favor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if they deem fee levels at a particular venue to be excessive, or rebate opportunities available at other venues to be more favorable. In such an environment, the Exchange must continually adjust its fees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other exchanges and with alternative trading systems that have been exempted from compliance with the statutory standards applicable to exchanges. Because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free to modify their own fees in response, and because market participants may readily adjust their order routing practices, the Exchange believes that the degree to which fee changes in this market may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extremely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in this case applies to data derived from Nasdaq Basic, which is subject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the NYSE, BATS, and other exchanges that offer similar products. In sum, if the changes proposed herein are unattractive to market participants, it is likely that the Exchange will lose market share as a result. Accordingly, the Exchange does not believe that the proposed changes will impair the ability of members 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order execution venues to maintain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standing in the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forces constrain the proposed fee in three specific respects. First, all fees related to Nasdaq Basic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in attracting order flow. Firms make decisions regarding Nasdaq Basic and other proprietary data based on the total cost of interacting with the Exchange, and order flow would be harmed by the supracompetitive pricing of any proprietary data product. Second, the price of Nasdaq Basic is constrained by the existence of multiple substitutes that are offered, or may be offered, by entities that offer proprietary or non-proprietary data. Third, the proposed fee will be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and third parties for subscribers.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Fees related to Nasdaq Basic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seeking to attract order flow. Order flow is the "life blood" of the exchanges. Broker-dealers currently have numerous alternative venues for their order flow, including thirteen self-regulatory organization ("SRO") markets, as well as internalizing broker-dealers ("BDs") and various forms of alternative trading </w:t>
      </w:r>
      <w:r>
        <w:rPr>
          <w:rFonts w:ascii="arial" w:eastAsia="arial" w:hAnsi="arial" w:cs="arial"/>
          <w:b/>
          <w:i w:val="0"/>
          <w:strike w:val="0"/>
          <w:noProof w:val="0"/>
          <w:color w:val="000000"/>
          <w:position w:val="0"/>
          <w:sz w:val="20"/>
          <w:u w:val="none"/>
          <w:vertAlign w:val="baseline"/>
        </w:rPr>
        <w:t> [*78892] </w:t>
      </w:r>
      <w:r>
        <w:rPr>
          <w:rFonts w:ascii="arial" w:eastAsia="arial" w:hAnsi="arial" w:cs="arial"/>
          <w:b w:val="0"/>
          <w:i w:val="0"/>
          <w:strike w:val="0"/>
          <w:noProof w:val="0"/>
          <w:color w:val="000000"/>
          <w:position w:val="0"/>
          <w:sz w:val="20"/>
          <w:u w:val="none"/>
          <w:vertAlign w:val="baseline"/>
        </w:rPr>
        <w:t xml:space="preserve">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Trade Reporting Facilities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which may readily reduce costs by directing orders toward the lowest-cost trading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for order flow is demonstrated by the numerous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 For a variety of reasons,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new entrants, especially for order execution, has increased dramatically over the last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SRO, TRF, ATS, and BD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for order flow is permitted to produce proprietary data products. Many currently do or have announced plans to do so, including NYSE, NYSE Amex, NYSE Arca, and BATS. This is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deregulated the market for proprietary data. While BDs had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Order routers and market data vendors can facilitate production of proprietary data products for single or multiple BDs. The potential sources of proprietary products are virtually limitless.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markets for order flow and proprietary data are inextricably linked: A trading platform cannot generate market information unless it receives trade orders. As a result,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constrains the prices that platforms can charge for proprietary data products. Firms make decisions on how much and what types of data to consume based on the total cost of interacting with Nasdaq and other exchanges. Data fees are but one factor in a total platform analysis. If the cost of the product exceeds its expected value, the broker-dealer will choose not to buy it. A supracompetitive increase in the fees charged for either transactions or proprietary data has the potential to impair revenues from both products. In this manner,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will constrain prices for proprietary data products, including charges relating to 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Substitute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of data derived from Nasdaq Basic is constrained by the existence of multiple substitutes offered by numerous entities, including both proprietary data offered by other SROs or other entities, and non-proprietary data disseminated by Nasdaq in its capacity as a Securities Information Processor ("SIP") for the national market system plan governing securities listed on Nasdaq as a national securities exchange ("Nasdaq UTP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provided through Nasdaq Basic is a subset of the best bid and offer and last sale data provided by the SIP. The "core" data disseminated by the SIP consists of best-price quotations and last sale information from all markets in U.S.-listed equities; Nasdaq Basic provides best bid and offer and last sale information for all U.S. exchange-listed stocks based on trade reports from the Nasdaq Market Center and the FINRA/Nasdaq Trade Reporting Facility. Many customers that purchase SIP data do not also purchase Nasdaq Basic because they are substitutes; moreover, in cases where customers buy both products, they may shift the extent to which they purchase one or the other based on price changes. The SIP constrains the price of Nasdaq Basic because no purchaser would pay an excessive price for Nasdaq Basic when substitute data is also available from the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Proprietary data sold by other exchanges also constrain the price of Nasdaq Basic. NYSE and BATS, like Nasdaq, sell proprietary non-core data that include best bid and offer and last sale data. Customers do not typically purchase proprietary best bid and offer and last sale data from multiple exchanges. Other proprietary data products constrain the price of Nasdaq Basic because no customer would pay an excessive price for Nasdaq Basic when substitute data is available from other proprietary sources. The effectiveness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constraining prices for Nasdaq Basic is demonstrated by the fact that the fee to distribute data derived from Nasdaq Basic to non-professional subscribers has remained unchanged since July 29, 2011.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64994 (July 29, 2011), </w:t>
      </w:r>
      <w:hyperlink r:id="rId16" w:history="1">
        <w:r>
          <w:rPr>
            <w:rFonts w:ascii="arial" w:eastAsia="arial" w:hAnsi="arial" w:cs="arial"/>
            <w:b w:val="0"/>
            <w:i/>
            <w:strike w:val="0"/>
            <w:noProof w:val="0"/>
            <w:color w:val="0077CC"/>
            <w:position w:val="0"/>
            <w:sz w:val="20"/>
            <w:u w:val="single"/>
            <w:vertAlign w:val="baseline"/>
          </w:rPr>
          <w:t>76 FR 47621</w:t>
        </w:r>
      </w:hyperlink>
      <w:r>
        <w:rPr>
          <w:rFonts w:ascii="arial" w:eastAsia="arial" w:hAnsi="arial" w:cs="arial"/>
          <w:b w:val="0"/>
          <w:i w:val="0"/>
          <w:strike w:val="0"/>
          <w:noProof w:val="0"/>
          <w:color w:val="000000"/>
          <w:position w:val="0"/>
          <w:sz w:val="20"/>
          <w:u w:val="none"/>
          <w:vertAlign w:val="baseline"/>
        </w:rPr>
        <w:t xml:space="preserve"> (August 5, 2011) (SR-NASDAQ-2011-091).</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fee for making Derived Data available on a Hosted Display Solution is also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and third-party firms placing their brand names on Hosted Display Solutions. Distributors must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customers. Firms placing their brand on Hosted Display Solutions must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subscribers. If the price of Hosted Display Solutions were to exceed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thereby placing Distributors and third party firms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firms that did not purchase Nasdaq products, Distributors and the third party firms would take their business elsewhere. There are no legal, regulatory, or other requirements restricting their ability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market forces constrain the proposed fee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substitute data products, and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and third party for subscribers. For these reasons, the Exchange has provided a substantial basis demonstrating that the fee is equitable, fair, reasonable, and not unreasonably discriminatory, and therefore consistent with and in furtherance of the purposes of the Exchange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are invited to submit written data, views, and arguments concerning the foregoing, including whether the proposed rule </w:t>
      </w:r>
      <w:r>
        <w:rPr>
          <w:rFonts w:ascii="arial" w:eastAsia="arial" w:hAnsi="arial" w:cs="arial"/>
          <w:b/>
          <w:i w:val="0"/>
          <w:strike w:val="0"/>
          <w:noProof w:val="0"/>
          <w:color w:val="000000"/>
          <w:position w:val="0"/>
          <w:sz w:val="20"/>
          <w:u w:val="none"/>
          <w:vertAlign w:val="baseline"/>
        </w:rPr>
        <w:t> [*78893] </w:t>
      </w:r>
      <w:r>
        <w:rPr>
          <w:rFonts w:ascii="arial" w:eastAsia="arial" w:hAnsi="arial" w:cs="arial"/>
          <w:b w:val="0"/>
          <w:i w:val="0"/>
          <w:strike w:val="0"/>
          <w:noProof w:val="0"/>
          <w:color w:val="000000"/>
          <w:position w:val="0"/>
          <w:sz w:val="20"/>
          <w:u w:val="none"/>
          <w:vertAlign w:val="baseline"/>
        </w:rPr>
        <w:t xml:space="preserv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SR-NASDAQ-2016-144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SR-NASDAQ-2016-144. This file number should be included on the subject line if email is used. To help the Commission process and review your comments more efficiently, please use only one method. The Commission will post all comments on the Commission's Internet Web site (</w:t>
      </w:r>
      <w:hyperlink r:id="rId1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SR-NASDAQ-2016-144 and should be submitted on or before November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9"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2016-27022 Filed 11-8-16;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78890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cchwallstreet.com" TargetMode="External" /><Relationship Id="rId11" Type="http://schemas.openxmlformats.org/officeDocument/2006/relationships/hyperlink" Target="https://advance.lexis.com/api/document?collection=statutes-legislation&amp;id=urn:contentItem:4YF7-GPC1-NRF4-4309-00000-00&amp;context=" TargetMode="External" /><Relationship Id="rId12" Type="http://schemas.openxmlformats.org/officeDocument/2006/relationships/hyperlink" Target="https://advance.lexis.com/api/document?collection=administrative-codes&amp;id=urn:contentItem:4GH9-4PB0-014W-D1VJ-00000-00&amp;context=" TargetMode="External" /><Relationship Id="rId13" Type="http://schemas.openxmlformats.org/officeDocument/2006/relationships/hyperlink" Target="https://advance.lexis.com/api/document?collection=cases&amp;id=urn:contentItem:803V-DT30-YB0V-T01B-00000-00&amp;context=" TargetMode="External" /><Relationship Id="rId14" Type="http://schemas.openxmlformats.org/officeDocument/2006/relationships/hyperlink" Target="https://advance.lexis.com/api/document?collection=administrative-materials&amp;id=urn:contentItem:5K44-XNM0-000Y-43WY-00000-00&amp;context=" TargetMode="External" /><Relationship Id="rId15" Type="http://schemas.openxmlformats.org/officeDocument/2006/relationships/hyperlink" Target="https://advance.lexis.com/api/document?collection=administrative-codes&amp;id=urn:contentItem:4V3T-8BP0-006W-834G-00000-00&amp;context=" TargetMode="External" /><Relationship Id="rId16" Type="http://schemas.openxmlformats.org/officeDocument/2006/relationships/hyperlink" Target="https://advance.lexis.com/api/document?collection=administrative-codes&amp;id=urn:contentItem:53GD-DG30-006W-8499-00000-00&amp;context=" TargetMode="External" /><Relationship Id="rId17" Type="http://schemas.openxmlformats.org/officeDocument/2006/relationships/hyperlink" Target="http://www.sec.gov/rules/sro.shtml" TargetMode="External" /><Relationship Id="rId18" Type="http://schemas.openxmlformats.org/officeDocument/2006/relationships/hyperlink" Target="mailto:rule-comments@sec.gov" TargetMode="External" /><Relationship Id="rId19" Type="http://schemas.openxmlformats.org/officeDocument/2006/relationships/hyperlink" Target="https://advance.lexis.com/api/document?collection=administrative-codes&amp;id=urn:contentItem:5SPP-2120-008G-Y2ND-00000-00&amp;context=" TargetMode="Externa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4G-C620-006W-812X-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78890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71564408</vt:lpwstr>
  </property>
  <property fmtid="{D5CDD505-2E9C-101B-9397-08002B2CF9AE}" pid="3" name="LADocCount">
    <vt:lpwstr>1</vt:lpwstr>
  </property>
  <property fmtid="{D5CDD505-2E9C-101B-9397-08002B2CF9AE}" pid="4" name="UserPermID">
    <vt:lpwstr>urn:user:PA185916758</vt:lpwstr>
  </property>
</Properties>
</file>