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81820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223, Friday, November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81820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Amending the Fees for NYSE Arca BBO and NYSE Arca Trades To Lower the Enterprise Fee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34-79310; File No. SR-NYSEArca-2016-142]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n1 of the Securities Exchange Act of 1934 (the "Act") n2 and Rule 19b-4 thereunder, n3 notice is hereby given that, on November 1, 2016, NYSE Arca, Inc. (the "Exchange" or "NYSE Arca") filed with the Securities and Exchange Commission (the "Commission") the proposed rule change as described in Items I, II, and III below, which Items have been prepared by the self-regulatory organization. The Commission is publishing this notice to </w:t>
      </w:r>
      <w:r>
        <w:rPr>
          <w:rFonts w:ascii="arial" w:eastAsia="arial" w:hAnsi="arial" w:cs="arial"/>
          <w:b/>
          <w:i w:val="0"/>
          <w:strike w:val="0"/>
          <w:noProof w:val="0"/>
          <w:color w:val="000000"/>
          <w:position w:val="0"/>
          <w:sz w:val="20"/>
          <w:u w:val="none"/>
          <w:vertAlign w:val="baseline"/>
        </w:rPr>
        <w:t> [*81821] </w:t>
      </w:r>
      <w:r>
        <w:rPr>
          <w:rFonts w:ascii="arial" w:eastAsia="arial" w:hAnsi="arial" w:cs="arial"/>
          <w:b w:val="0"/>
          <w:i w:val="0"/>
          <w:strike w:val="0"/>
          <w:noProof w:val="0"/>
          <w:color w:val="000000"/>
          <w:position w:val="0"/>
          <w:sz w:val="20"/>
          <w:u w:val="none"/>
          <w:vertAlign w:val="baseline"/>
        </w:rPr>
        <w:t xml:space="preserve">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Arca BBO and NYSE Arca Trades to lower the Enterprise Fee.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Arca BBO and NYSE Arca Trades market data products, n4 as set forth on the NYSE Arca Equities Proprietary Market Data Fee Schedule ("Fee Schedule"). Specifically, the Exchange proposes to lower the Enterprise Fee. The Exchange proposes to make the fee change effective November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59308 (January 28, 2009), </w:t>
      </w:r>
      <w:hyperlink r:id="rId12" w:history="1">
        <w:r>
          <w:rPr>
            <w:rFonts w:ascii="arial" w:eastAsia="arial" w:hAnsi="arial" w:cs="arial"/>
            <w:b w:val="0"/>
            <w:i/>
            <w:strike w:val="0"/>
            <w:noProof w:val="0"/>
            <w:color w:val="0077CC"/>
            <w:position w:val="0"/>
            <w:sz w:val="20"/>
            <w:u w:val="single"/>
            <w:vertAlign w:val="baseline"/>
          </w:rPr>
          <w:t>74 FR 5955</w:t>
        </w:r>
      </w:hyperlink>
      <w:r>
        <w:rPr>
          <w:rFonts w:ascii="arial" w:eastAsia="arial" w:hAnsi="arial" w:cs="arial"/>
          <w:b w:val="0"/>
          <w:i w:val="0"/>
          <w:strike w:val="0"/>
          <w:noProof w:val="0"/>
          <w:color w:val="000000"/>
          <w:position w:val="0"/>
          <w:sz w:val="20"/>
          <w:u w:val="none"/>
          <w:vertAlign w:val="baseline"/>
        </w:rPr>
        <w:t xml:space="preserve"> (February 3, 2009) (SR-NYSEArca-2009-05) (notice--NYSE Arca Trades); 59598 (March 18, 2009), </w:t>
      </w:r>
      <w:hyperlink r:id="rId13" w:history="1">
        <w:r>
          <w:rPr>
            <w:rFonts w:ascii="arial" w:eastAsia="arial" w:hAnsi="arial" w:cs="arial"/>
            <w:b w:val="0"/>
            <w:i/>
            <w:strike w:val="0"/>
            <w:noProof w:val="0"/>
            <w:color w:val="0077CC"/>
            <w:position w:val="0"/>
            <w:sz w:val="20"/>
            <w:u w:val="single"/>
            <w:vertAlign w:val="baseline"/>
          </w:rPr>
          <w:t>74 FR 12919</w:t>
        </w:r>
      </w:hyperlink>
      <w:r>
        <w:rPr>
          <w:rFonts w:ascii="arial" w:eastAsia="arial" w:hAnsi="arial" w:cs="arial"/>
          <w:b w:val="0"/>
          <w:i w:val="0"/>
          <w:strike w:val="0"/>
          <w:noProof w:val="0"/>
          <w:color w:val="000000"/>
          <w:position w:val="0"/>
          <w:sz w:val="20"/>
          <w:u w:val="none"/>
          <w:vertAlign w:val="baseline"/>
        </w:rPr>
        <w:t xml:space="preserve"> (March 25, 2009) (SR-NYSEArca-2009-05) (approval order--NYSE Arca Trades); 61937 (April 16, 2010), 78 [sic] FR 21378 (April 23, 2010) (SR-NYSEArca-2010-23) (notice--NYSE Arca BBO); and 62188 (May 27, 2010), </w:t>
      </w:r>
      <w:hyperlink r:id="rId14" w:history="1">
        <w:r>
          <w:rPr>
            <w:rFonts w:ascii="arial" w:eastAsia="arial" w:hAnsi="arial" w:cs="arial"/>
            <w:b w:val="0"/>
            <w:i/>
            <w:strike w:val="0"/>
            <w:noProof w:val="0"/>
            <w:color w:val="0077CC"/>
            <w:position w:val="0"/>
            <w:sz w:val="20"/>
            <w:u w:val="single"/>
            <w:vertAlign w:val="baseline"/>
          </w:rPr>
          <w:t>75 FR 31484</w:t>
        </w:r>
      </w:hyperlink>
      <w:r>
        <w:rPr>
          <w:rFonts w:ascii="arial" w:eastAsia="arial" w:hAnsi="arial" w:cs="arial"/>
          <w:b w:val="0"/>
          <w:i w:val="0"/>
          <w:strike w:val="0"/>
          <w:noProof w:val="0"/>
          <w:color w:val="000000"/>
          <w:position w:val="0"/>
          <w:sz w:val="20"/>
          <w:u w:val="none"/>
          <w:vertAlign w:val="baseline"/>
        </w:rPr>
        <w:t xml:space="preserve"> (June 3, 2010) (SR-NYSEArca-2010-23) (approval order--NYSE Arca BBO).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an enterprise fee of $ 170,000 per month for an unlimited number of professional and non-professional users for each of NYSE Arca BBO and NYSE Arca Trades. n5 A single Enterprise Fee applies for clients receiving both NYSE Arca BBO and NYSE Arca Trades. n6 The Exchange proposes to lower the enterprise fee to $ 34,500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76937 (January 20, 2016), </w:t>
      </w:r>
      <w:hyperlink r:id="rId15" w:history="1">
        <w:r>
          <w:rPr>
            <w:rFonts w:ascii="arial" w:eastAsia="arial" w:hAnsi="arial" w:cs="arial"/>
            <w:b w:val="0"/>
            <w:i/>
            <w:strike w:val="0"/>
            <w:noProof w:val="0"/>
            <w:color w:val="0077CC"/>
            <w:position w:val="0"/>
            <w:sz w:val="20"/>
            <w:u w:val="single"/>
            <w:vertAlign w:val="baseline"/>
          </w:rPr>
          <w:t>81 FR 4353</w:t>
        </w:r>
      </w:hyperlink>
      <w:r>
        <w:rPr>
          <w:rFonts w:ascii="arial" w:eastAsia="arial" w:hAnsi="arial" w:cs="arial"/>
          <w:b w:val="0"/>
          <w:i w:val="0"/>
          <w:strike w:val="0"/>
          <w:noProof w:val="0"/>
          <w:color w:val="000000"/>
          <w:position w:val="0"/>
          <w:sz w:val="20"/>
          <w:u w:val="none"/>
          <w:vertAlign w:val="baseline"/>
        </w:rPr>
        <w:t xml:space="preserve"> (January 26, 2016) (SR-NYSEArca-2016-09).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70213 (August 15, 2013), </w:t>
      </w:r>
      <w:hyperlink r:id="rId16" w:history="1">
        <w:r>
          <w:rPr>
            <w:rFonts w:ascii="arial" w:eastAsia="arial" w:hAnsi="arial" w:cs="arial"/>
            <w:b w:val="0"/>
            <w:i/>
            <w:strike w:val="0"/>
            <w:noProof w:val="0"/>
            <w:color w:val="0077CC"/>
            <w:position w:val="0"/>
            <w:sz w:val="20"/>
            <w:u w:val="single"/>
            <w:vertAlign w:val="baseline"/>
          </w:rPr>
          <w:t>78 FR 51796</w:t>
        </w:r>
      </w:hyperlink>
      <w:r>
        <w:rPr>
          <w:rFonts w:ascii="arial" w:eastAsia="arial" w:hAnsi="arial" w:cs="arial"/>
          <w:b w:val="0"/>
          <w:i w:val="0"/>
          <w:strike w:val="0"/>
          <w:noProof w:val="0"/>
          <w:color w:val="000000"/>
          <w:position w:val="0"/>
          <w:sz w:val="20"/>
          <w:u w:val="none"/>
          <w:vertAlign w:val="baseline"/>
        </w:rPr>
        <w:t xml:space="preserve"> (August 21, 2013) (SR-NYSEArca-2013-81).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under the current fee structure for per user fees, if a firm had 40,000 professional users who each received NYSE Arca Trades at $ 4 per month and NYSE Arca BBO at $ 4 per month, without the Enterprise Fee, the firm would be subject to $ 320,000 per month in professional user fees. Under the current pricing structure, the charge would be capped at $ 170,000 and effective November 1, 2016 it would be capped at $ 34,500.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enterprise fee, the firm would pay a flat fee of $ 34,500 for an unlimited number of professional and non-professional users for both products. As is the case currently, a data recipient that pays the enterprise fee would not have to report the number of such users on a monthly basis. n7 However, every six months, a data recipient must provide the Exchange with a count of the total number of natural person users of each product, including both professional and non-professional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Professional users currently are subject to a per display device 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[sic] Release No. 73998 (January 6, 2015), </w:t>
      </w:r>
      <w:hyperlink r:id="rId17" w:history="1">
        <w:r>
          <w:rPr>
            <w:rFonts w:ascii="arial" w:eastAsia="arial" w:hAnsi="arial" w:cs="arial"/>
            <w:b w:val="0"/>
            <w:i/>
            <w:strike w:val="0"/>
            <w:noProof w:val="0"/>
            <w:color w:val="0077CC"/>
            <w:position w:val="0"/>
            <w:sz w:val="20"/>
            <w:u w:val="single"/>
            <w:vertAlign w:val="baseline"/>
          </w:rPr>
          <w:t>80 FR 1549</w:t>
        </w:r>
      </w:hyperlink>
      <w:r>
        <w:rPr>
          <w:rFonts w:ascii="arial" w:eastAsia="arial" w:hAnsi="arial" w:cs="arial"/>
          <w:b w:val="0"/>
          <w:i w:val="0"/>
          <w:strike w:val="0"/>
          <w:noProof w:val="0"/>
          <w:color w:val="000000"/>
          <w:position w:val="0"/>
          <w:sz w:val="20"/>
          <w:u w:val="none"/>
          <w:vertAlign w:val="baseline"/>
        </w:rPr>
        <w:t xml:space="preserve"> (January 12, 2015) (SR-NYSEArca-2014-148).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8"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8"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 change is also equitable and not unfairly discriminatory because it would apply to all data recipients that choose to subscribe to NYSE Arca BBO and NYSE Arca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enterprise fees for NYSE Arca BBO and NYSE Arca Trades are reasonable because they could result in a fee reduction for data recipients with a large number of professional and non-professional users, as described in the example above. If a data recipient has a smaller number of professional users of NYSE Arca BBO and/or NYSE Arca Trades, then it may continue to use the per user fee structure. By reducing prices for data recipient with a large number of professional and non-professional users, the Exchange believes that more data recipients may choose to offer NYSE Arca BBO and NYSE Arca Trades, thereby expanding the distribution of this market data for the benefit of investors. The Exchange also believes that offering an enterprise fee expands the range of options for offering NYSE Arca BBO and NYSE Arca Trades and allows data recipients greater choice in selecting the most appropriate level of data and fees for the professional and non-professional users they are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 BBO and NYSE Arca Trades are entirely optional. The Exchange is not required to make NYSE Arca BBO and NYSE Arca Trades available or to offer any specific pricing alternatives to any customers, nor is any firm required to purchase NYSE Arca BBO and NYSE Arca Trades. Firms that do purchase NYSE Arca BBO and NYSE Arca Trades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 BBO and NYSE Arca Trades or any other similar products are attractively priced or not.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Arca BBO and NYSE Arca Trades have a variety of alternative market data products from which to choose, n11 or if NYSE Arca BBO and NYSE Arca Trades do not provide sufficient value to firms as offered based on the uses those firms have or planned to make of it, such firms may simply choose to conduct their business operations in ways that do not use NYSE Arca BBO and NYSE Arca Trades or use them at different levels or in different configurations. The Exchange notes that broker-dealers are not required to purchase proprietary market data to comply with their best execution obligations.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Bats Rule 11.22 (Bats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9"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[*81822] </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9"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0"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fees are reasonable when compared to fees for comparable products offered by at least one other exchange. For example, Bats BZX Exchange ("BZX") charges an enterprise fee of $ 15,000 per month for each of BZX Top and BZX Last Sale, which includes best bid and offer and last sale data, respectively. n15 While the Exchange is proposing enterprise fees that would be higher than the fees currently charged by BZX, the Exchange believes the proposed fees, which would be lower than current fees, are appropriate and would be beneficial to firms with a large number of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 Data Fees at </w:t>
      </w:r>
      <w:hyperlink r:id="rId21" w:history="1">
        <w:r>
          <w:rPr>
            <w:rFonts w:ascii="arial" w:eastAsia="arial" w:hAnsi="arial" w:cs="arial"/>
            <w:b w:val="0"/>
            <w:i/>
            <w:strike w:val="0"/>
            <w:noProof w:val="0"/>
            <w:color w:val="0077CC"/>
            <w:position w:val="0"/>
            <w:sz w:val="20"/>
            <w:u w:val="single"/>
            <w:vertAlign w:val="baseline"/>
          </w:rPr>
          <w:t>https://batstrading.com/support/fee_schedule/bzx/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n17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Concept Release on Equity Market Structure, Securities Exchange Act Release No. 61358 (Jan. 14, 2010), </w:t>
      </w:r>
      <w:hyperlink r:id="rId23"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3"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 </w:t>
      </w:r>
      <w:r>
        <w:rPr>
          <w:rFonts w:ascii="arial" w:eastAsia="arial" w:hAnsi="arial" w:cs="arial"/>
          <w:b/>
          <w:i w:val="0"/>
          <w:strike w:val="0"/>
          <w:noProof w:val="0"/>
          <w:color w:val="000000"/>
          <w:position w:val="0"/>
          <w:sz w:val="20"/>
          <w:u w:val="none"/>
          <w:vertAlign w:val="baseline"/>
        </w:rPr>
        <w:t> [*81823]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Arca BBO or NYSE Arca Trades unless their customers request it, and customers will not elect to pay the proposed fees unless NYSE Arca BBO and NYSE Arca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n19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5"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6"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7"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13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w:t>
      </w:r>
      <w:r>
        <w:rPr>
          <w:rFonts w:ascii="arial" w:eastAsia="arial" w:hAnsi="arial" w:cs="arial"/>
          <w:b/>
          <w:i w:val="0"/>
          <w:strike w:val="0"/>
          <w:noProof w:val="0"/>
          <w:color w:val="000000"/>
          <w:position w:val="0"/>
          <w:sz w:val="20"/>
          <w:u w:val="none"/>
          <w:vertAlign w:val="baseline"/>
        </w:rPr>
        <w:t> [*81824] </w:t>
      </w:r>
      <w:r>
        <w:rPr>
          <w:rFonts w:ascii="arial" w:eastAsia="arial" w:hAnsi="arial" w:cs="arial"/>
          <w:b w:val="0"/>
          <w:i w:val="0"/>
          <w:strike w:val="0"/>
          <w:noProof w:val="0"/>
          <w:color w:val="000000"/>
          <w:position w:val="0"/>
          <w:sz w:val="20"/>
          <w:u w:val="none"/>
          <w:vertAlign w:val="baseline"/>
        </w:rPr>
        <w:t xml:space="preserve">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n21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New York Stock Exchange LLC, NYSE MKT LLC, NASDAQ,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Indeed, in the case of NYSE Arca BBO and NYSE Arca Trades, the data provided through these products appears both in (i) real-time core data products offered by the Securities Information Processors (SIPs) for a fee, and (ii) free SIP data products with a 15-minute time delay, and finds a close substitute in similar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n22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 proliferation of dark pools and other ATSs operate profitably with fragmentary share of consolidated market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the NYSE Arca BBO and NYSE Arca Trades,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n23 of the Act and subparagraph (f)(2) of Rule 19b-4 n24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n25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SR-NYSEArca-2016-142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SR-NYSEArca-2016-142.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w:t>
      </w:r>
      <w:r>
        <w:rPr>
          <w:rFonts w:ascii="arial" w:eastAsia="arial" w:hAnsi="arial" w:cs="arial"/>
          <w:b/>
          <w:i w:val="0"/>
          <w:strike w:val="0"/>
          <w:noProof w:val="0"/>
          <w:color w:val="000000"/>
          <w:position w:val="0"/>
          <w:sz w:val="20"/>
          <w:u w:val="none"/>
          <w:vertAlign w:val="baseline"/>
        </w:rPr>
        <w:t> [*81825] </w:t>
      </w:r>
      <w:r>
        <w:rPr>
          <w:rFonts w:ascii="arial" w:eastAsia="arial" w:hAnsi="arial" w:cs="arial"/>
          <w:b w:val="0"/>
          <w:i w:val="0"/>
          <w:strike w:val="0"/>
          <w:noProof w:val="0"/>
          <w:color w:val="000000"/>
          <w:position w:val="0"/>
          <w:sz w:val="20"/>
          <w:u w:val="none"/>
          <w:vertAlign w:val="baseline"/>
        </w:rPr>
        <w:t xml:space="preserve">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SR-NYSEArca-2016-142, and should be submitted on or before December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2016-27748 Filed 11-17-16;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81820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VHR-H7J0-006W-83JG-00000-00&amp;context=" TargetMode="External" /><Relationship Id="rId13" Type="http://schemas.openxmlformats.org/officeDocument/2006/relationships/hyperlink" Target="https://advance.lexis.com/api/document?collection=administrative-codes&amp;id=urn:contentItem:4VXC-Y220-006W-83Y0-00000-00&amp;context=" TargetMode="External" /><Relationship Id="rId14" Type="http://schemas.openxmlformats.org/officeDocument/2006/relationships/hyperlink" Target="https://advance.lexis.com/api/document?collection=administrative-codes&amp;id=urn:contentItem:5074-YWG0-006W-80R6-00000-00&amp;context=" TargetMode="External" /><Relationship Id="rId15" Type="http://schemas.openxmlformats.org/officeDocument/2006/relationships/hyperlink" Target="https://advance.lexis.com/api/document?collection=administrative-codes&amp;id=urn:contentItem:5HY3-70S0-006W-84XR-00000-00&amp;context=" TargetMode="External" /><Relationship Id="rId16" Type="http://schemas.openxmlformats.org/officeDocument/2006/relationships/hyperlink" Target="https://advance.lexis.com/api/document?collection=administrative-codes&amp;id=urn:contentItem:595R-50V0-006W-83S6-00000-00&amp;context=" TargetMode="External" /><Relationship Id="rId17" Type="http://schemas.openxmlformats.org/officeDocument/2006/relationships/hyperlink" Target="https://advance.lexis.com/api/document?collection=administrative-codes&amp;id=urn:contentItem:5F27-YGX0-006W-84SJ-00000-00&amp;context=" TargetMode="External" /><Relationship Id="rId18" Type="http://schemas.openxmlformats.org/officeDocument/2006/relationships/hyperlink" Target="https://advance.lexis.com/api/document?collection=statutes-legislation&amp;id=urn:contentItem:4YF7-GPC1-NRF4-4309-00000-00&amp;context=" TargetMode="External" /><Relationship Id="rId19" Type="http://schemas.openxmlformats.org/officeDocument/2006/relationships/hyperlink" Target="https://advance.lexis.com/api/document?collection=cases&amp;id=urn:contentItem:803V-DT30-YB0V-T01B-00000-00&amp;context=" TargetMode="External" /><Relationship Id="rId2" Type="http://schemas.openxmlformats.org/officeDocument/2006/relationships/webSettings" Target="webSettings.xml" /><Relationship Id="rId20" Type="http://schemas.openxmlformats.org/officeDocument/2006/relationships/hyperlink" Target="http://www.sec.gov/rules/concept/s72899/buck1.htm" TargetMode="External" /><Relationship Id="rId21" Type="http://schemas.openxmlformats.org/officeDocument/2006/relationships/hyperlink" Target="https://batstrading.com/support/fee_schedule/bzx/" TargetMode="External" /><Relationship Id="rId22" Type="http://schemas.openxmlformats.org/officeDocument/2006/relationships/hyperlink" Target="http://www.justice.gov/iso/opa/atr/speeches/2011/at-speech-110516.html" TargetMode="External" /><Relationship Id="rId23" Type="http://schemas.openxmlformats.org/officeDocument/2006/relationships/hyperlink" Target="https://advance.lexis.com/api/document?collection=administrative-codes&amp;id=urn:contentItem:4Y6T-4FW0-006W-80SB-00000-00&amp;context=" TargetMode="External" /><Relationship Id="rId24" Type="http://schemas.openxmlformats.org/officeDocument/2006/relationships/hyperlink" Target="https://www.arcavision.com/Arcavision/arcalogin.jsp" TargetMode="External" /><Relationship Id="rId25" Type="http://schemas.openxmlformats.org/officeDocument/2006/relationships/hyperlink" Target="https://advance.lexis.com/api/document?collection=administrative-codes&amp;id=urn:contentItem:5C6V-V6N0-006W-80W6-00000-00&amp;context=" TargetMode="External" /><Relationship Id="rId26" Type="http://schemas.openxmlformats.org/officeDocument/2006/relationships/hyperlink" Target="https://advance.lexis.com/api/document?collection=administrative-codes&amp;id=urn:contentItem:512C-NGP0-006W-82VF-00000-00&amp;context=" TargetMode="External" /><Relationship Id="rId27" Type="http://schemas.openxmlformats.org/officeDocument/2006/relationships/hyperlink" Target="https://advance.lexis.com/api/document?collection=administrative-codes&amp;id=urn:contentItem:512C-NGP0-006W-82VH-00000-00&amp;context="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6D-FCK0-006W-81YN-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12535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