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83297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83297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BBO and NYSE Trades To Lower the Enterprise Fee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34-79313; File No. SR-NYSE-2016-74]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November 1,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BBO and NYSE Trades to lower the Enterprise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BBO and NYSE Trades market data products, n4 as set forth on the NYSE Proprietary Market Data Fee Schedule ("Fee Schedule"). Specifically, the Exchange proposes to lower the Enterprise Fee. The Exchange proposes to make the fee change effective November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61914 (Apr. 14, 2010), 74 [sic] FR 21077 (Apr. 22, 2010) (SR-NYSE-2010-30) (notice--NYSE BBO); 62181 (May 26, 2010), </w:t>
      </w:r>
      <w:hyperlink r:id="rId12" w:history="1">
        <w:r>
          <w:rPr>
            <w:rFonts w:ascii="arial" w:eastAsia="arial" w:hAnsi="arial" w:cs="arial"/>
            <w:b w:val="0"/>
            <w:i/>
            <w:strike w:val="0"/>
            <w:noProof w:val="0"/>
            <w:color w:val="0077CC"/>
            <w:position w:val="0"/>
            <w:sz w:val="20"/>
            <w:u w:val="single"/>
            <w:vertAlign w:val="baseline"/>
          </w:rPr>
          <w:t>75 FR 31488</w:t>
        </w:r>
      </w:hyperlink>
      <w:r>
        <w:rPr>
          <w:rFonts w:ascii="arial" w:eastAsia="arial" w:hAnsi="arial" w:cs="arial"/>
          <w:b w:val="0"/>
          <w:i w:val="0"/>
          <w:strike w:val="0"/>
          <w:noProof w:val="0"/>
          <w:color w:val="000000"/>
          <w:position w:val="0"/>
          <w:sz w:val="20"/>
          <w:u w:val="none"/>
          <w:vertAlign w:val="baseline"/>
        </w:rPr>
        <w:t xml:space="preserve"> (June 3, 2010) (SR-NYSE-2010-30) (approval order--NYSE BBO); 59309 (Jan. 28, 2009), </w:t>
      </w:r>
      <w:hyperlink r:id="rId13" w:history="1">
        <w:r>
          <w:rPr>
            <w:rFonts w:ascii="arial" w:eastAsia="arial" w:hAnsi="arial" w:cs="arial"/>
            <w:b w:val="0"/>
            <w:i/>
            <w:strike w:val="0"/>
            <w:noProof w:val="0"/>
            <w:color w:val="0077CC"/>
            <w:position w:val="0"/>
            <w:sz w:val="20"/>
            <w:u w:val="single"/>
            <w:vertAlign w:val="baseline"/>
          </w:rPr>
          <w:t>74 FR 6073</w:t>
        </w:r>
      </w:hyperlink>
      <w:r>
        <w:rPr>
          <w:rFonts w:ascii="arial" w:eastAsia="arial" w:hAnsi="arial" w:cs="arial"/>
          <w:b w:val="0"/>
          <w:i w:val="0"/>
          <w:strike w:val="0"/>
          <w:noProof w:val="0"/>
          <w:color w:val="000000"/>
          <w:position w:val="0"/>
          <w:sz w:val="20"/>
          <w:u w:val="none"/>
          <w:vertAlign w:val="baseline"/>
        </w:rPr>
        <w:t xml:space="preserve"> (Feb. 4, 2009) (SR-NYSE-2009-04) (notice--NYSE Trades); and 59309 (Mar. 19, 2009), </w:t>
      </w:r>
      <w:hyperlink r:id="rId14" w:history="1">
        <w:r>
          <w:rPr>
            <w:rFonts w:ascii="arial" w:eastAsia="arial" w:hAnsi="arial" w:cs="arial"/>
            <w:b w:val="0"/>
            <w:i/>
            <w:strike w:val="0"/>
            <w:noProof w:val="0"/>
            <w:color w:val="0077CC"/>
            <w:position w:val="0"/>
            <w:sz w:val="20"/>
            <w:u w:val="single"/>
            <w:vertAlign w:val="baseline"/>
          </w:rPr>
          <w:t>74 FR 13293</w:t>
        </w:r>
      </w:hyperlink>
      <w:r>
        <w:rPr>
          <w:rFonts w:ascii="arial" w:eastAsia="arial" w:hAnsi="arial" w:cs="arial"/>
          <w:b w:val="0"/>
          <w:i w:val="0"/>
          <w:strike w:val="0"/>
          <w:noProof w:val="0"/>
          <w:color w:val="000000"/>
          <w:position w:val="0"/>
          <w:sz w:val="20"/>
          <w:u w:val="none"/>
          <w:vertAlign w:val="baseline"/>
        </w:rPr>
        <w:t xml:space="preserve"> (Mar. 26, 2009) (approval order--NYSE Trades) (SR-NYSE-2009-04) and 62038 (May 5, 2010), </w:t>
      </w:r>
      <w:hyperlink r:id="rId15"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$ 185,000 per month for an unlimited number of professional and non-professional users for each of NYSE BBO and NYSE Trades. n5 A single Enterprise Fee applies for clients receiving both NYSE BBO and NYSE Trades. n6 The Exchange proposes to lower the enterprise fee to $ 37,500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76912 (January 14, 2016), </w:t>
      </w:r>
      <w:hyperlink r:id="rId16" w:history="1">
        <w:r>
          <w:rPr>
            <w:rFonts w:ascii="arial" w:eastAsia="arial" w:hAnsi="arial" w:cs="arial"/>
            <w:b w:val="0"/>
            <w:i/>
            <w:strike w:val="0"/>
            <w:noProof w:val="0"/>
            <w:color w:val="0077CC"/>
            <w:position w:val="0"/>
            <w:sz w:val="20"/>
            <w:u w:val="single"/>
            <w:vertAlign w:val="baseline"/>
          </w:rPr>
          <w:t>81 FR 3490</w:t>
        </w:r>
      </w:hyperlink>
      <w:r>
        <w:rPr>
          <w:rFonts w:ascii="arial" w:eastAsia="arial" w:hAnsi="arial" w:cs="arial"/>
          <w:b w:val="0"/>
          <w:i w:val="0"/>
          <w:strike w:val="0"/>
          <w:noProof w:val="0"/>
          <w:color w:val="000000"/>
          <w:position w:val="0"/>
          <w:sz w:val="20"/>
          <w:u w:val="none"/>
          <w:vertAlign w:val="baseline"/>
        </w:rPr>
        <w:t xml:space="preserve"> (January 21, 2016) (SR-NYSE-2016-03).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70211 (August 15, 2013), </w:t>
      </w:r>
      <w:hyperlink r:id="rId17"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40,000 professional users who each received NYSE Trades at $ 4 per month and NYSE BBO at $ 4 per month, without the Enterprise Fee, the firm would be subject to $ 320,000 per month in professional user fees. Under the current pricing structure, the charge would be capped at $ 185,000 and effective November 1, 2016 it would be capped at $ 37,500.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$ 37,500 for an unlimited number of professional and non-professional users for both products. As is the case currently, a data recipient that pays the enterprise fee would not have to report the number of such users on a monthly basis. n7 However, every six months,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[sic] Act Release No. 73985 (January 5, 2015), </w:t>
      </w:r>
      <w:hyperlink r:id="rId18" w:history="1">
        <w:r>
          <w:rPr>
            <w:rFonts w:ascii="arial" w:eastAsia="arial" w:hAnsi="arial" w:cs="arial"/>
            <w:b w:val="0"/>
            <w:i/>
            <w:strike w:val="0"/>
            <w:noProof w:val="0"/>
            <w:color w:val="0077CC"/>
            <w:position w:val="0"/>
            <w:sz w:val="20"/>
            <w:u w:val="single"/>
            <w:vertAlign w:val="baseline"/>
          </w:rPr>
          <w:t>80 FR 1456</w:t>
        </w:r>
      </w:hyperlink>
      <w:r>
        <w:rPr>
          <w:rFonts w:ascii="arial" w:eastAsia="arial" w:hAnsi="arial" w:cs="arial"/>
          <w:b w:val="0"/>
          <w:i w:val="0"/>
          <w:strike w:val="0"/>
          <w:noProof w:val="0"/>
          <w:color w:val="000000"/>
          <w:position w:val="0"/>
          <w:sz w:val="20"/>
          <w:u w:val="none"/>
          <w:vertAlign w:val="baseline"/>
        </w:rPr>
        <w:t xml:space="preserve"> (January 9, 2015) (SR-NYSE-2014-75).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9"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change is also equitable and not unfairly discriminatory because it would apply to all data recipients that choose to subscribe to NYSE BBO and NYSE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enterprise fees for NYSE BBO and NYSE Trades are reasonable because they could result in a fee reduction for data recipients with a large number of professional and nonprofessional users, as described in the example above. If a data recipient </w:t>
      </w:r>
      <w:r>
        <w:rPr>
          <w:rFonts w:ascii="arial" w:eastAsia="arial" w:hAnsi="arial" w:cs="arial"/>
          <w:b/>
          <w:i w:val="0"/>
          <w:strike w:val="0"/>
          <w:noProof w:val="0"/>
          <w:color w:val="000000"/>
          <w:position w:val="0"/>
          <w:sz w:val="20"/>
          <w:u w:val="none"/>
          <w:vertAlign w:val="baseline"/>
        </w:rPr>
        <w:t> [*83298] </w:t>
      </w:r>
      <w:r>
        <w:rPr>
          <w:rFonts w:ascii="arial" w:eastAsia="arial" w:hAnsi="arial" w:cs="arial"/>
          <w:b w:val="0"/>
          <w:i w:val="0"/>
          <w:strike w:val="0"/>
          <w:noProof w:val="0"/>
          <w:color w:val="000000"/>
          <w:position w:val="0"/>
          <w:sz w:val="20"/>
          <w:u w:val="none"/>
          <w:vertAlign w:val="baseline"/>
        </w:rPr>
        <w:t xml:space="preserve"> has a smaller number of professional users of NYSE BBO and/or NYSE Trades, then it may continue to use the per user fee structure. By reducing prices for data recipient with a large number of professional and non-professional users, the Exchange believes that more data recipients may choose to offer NYSE BBO and NYSE Trades, thereby expanding the distribution of this market data for the benefit of investors. The Exchange also believes that offering an enterprise fee expands the range of options for offering NYSE BBO and NYSE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BBO and NYSE Trades are entirely optional. The Exchange is not required to make NYSE BBO and NYSE Trades available or to offer any specific pricing alternatives to any customers, nor is any firm required to purchase NYSE BBO and NYSE Trades. Firms that do purchase NYSE BBO and NYSE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BBO and NYSE Trades or any other similar products are attractively priced or not.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BBO and NYSE Trades have a variety of alternative market data products from which to choose, n11 or if NYSE BBO and NYSE Trades do not provide sufficient value to firms as offered based on the uses those firms have or planned to make of it, such firms may simply choose to conduct their business operations in ways that do not use NYSE BBO and NYSE Trades or use them at different levels or in different configurations. The Exchange notes that broker-dealers are not required to purchase proprietary market data to comply with their best execution obligations.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[sic]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0"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1"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fees are reasonable when compared to fees for comparable products offered by at least one other exchange. For example, Bats BZX Exchange ("BYX") charges an enterprise fee of $ 15,000 per month for each of BZX Top and BZX Last Sale, which includes best bid and offer and last sale data, respectively. n15 While the Exchange is proposing enterprise fees that would be higher than the fees currently charged by BZX, the Exchange believes the proposed fees, which would be lower than current fees, are appropriate and would be beneficial to firms with a large number of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Data Fees at </w:t>
      </w:r>
      <w:hyperlink r:id="rId22" w:history="1">
        <w:r>
          <w:rPr>
            <w:rFonts w:ascii="arial" w:eastAsia="arial" w:hAnsi="arial" w:cs="arial"/>
            <w:b w:val="0"/>
            <w:i/>
            <w:strike w:val="0"/>
            <w:noProof w:val="0"/>
            <w:color w:val="0077CC"/>
            <w:position w:val="0"/>
            <w:sz w:val="20"/>
            <w:u w:val="single"/>
            <w:vertAlign w:val="baseline"/>
          </w:rPr>
          <w:t>https://batstrading.com/support/fee_schedule/bzx/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w:t>
      </w:r>
      <w:r>
        <w:rPr>
          <w:rFonts w:ascii="arial" w:eastAsia="arial" w:hAnsi="arial" w:cs="arial"/>
          <w:b/>
          <w:i w:val="0"/>
          <w:strike w:val="0"/>
          <w:noProof w:val="0"/>
          <w:color w:val="000000"/>
          <w:position w:val="0"/>
          <w:sz w:val="20"/>
          <w:u w:val="none"/>
          <w:vertAlign w:val="baseline"/>
        </w:rPr>
        <w:t> [*83299] </w:t>
      </w:r>
      <w:r>
        <w:rPr>
          <w:rFonts w:ascii="arial" w:eastAsia="arial" w:hAnsi="arial" w:cs="arial"/>
          <w:b w:val="0"/>
          <w:i w:val="0"/>
          <w:strike w:val="0"/>
          <w:noProof w:val="0"/>
          <w:color w:val="000000"/>
          <w:position w:val="0"/>
          <w:sz w:val="20"/>
          <w:u w:val="none"/>
          <w:vertAlign w:val="baseline"/>
        </w:rPr>
        <w:t xml:space="preserve">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Concept Release on Equity Market Structure, Securities Exchange Act Release No. 61358 (Jan. 14, 2010), </w:t>
      </w:r>
      <w:hyperlink r:id="rId24"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4"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BBO or NYSE Trades unless their customers request it, and customers will not elect to pay the proposed fees unless NYSE BBO and NYSE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[sic]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 </w:t>
      </w:r>
      <w:r>
        <w:rPr>
          <w:rFonts w:ascii="arial" w:eastAsia="arial" w:hAnsi="arial" w:cs="arial"/>
          <w:b/>
          <w:i w:val="0"/>
          <w:strike w:val="0"/>
          <w:noProof w:val="0"/>
          <w:color w:val="000000"/>
          <w:position w:val="0"/>
          <w:sz w:val="20"/>
          <w:u w:val="none"/>
          <w:vertAlign w:val="baseline"/>
        </w:rPr>
        <w:t> [*83300]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13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Arca, Inc., NYSE MKT LLC, NASDAQ, Bats [sic],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[sic]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Indeed, in the case of NYSE BBO and NYSE Trades, the data provided through these products appears both in (i) real-time core data products offered by the Securities Information Processors (SIPs) for a fee, and (ii) free SIP data products with a 15-minute time delay, and finds a close substitute in similar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n22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 proliferation of dark pools and other ATSs operate profitably with fragmentary share of consolidated market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BBO and NYSE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is effective upon filing pursuant to Section 19(b)(3)(A) n23 of the Act and </w:t>
      </w:r>
      <w:r>
        <w:rPr>
          <w:rFonts w:ascii="arial" w:eastAsia="arial" w:hAnsi="arial" w:cs="arial"/>
          <w:b/>
          <w:i w:val="0"/>
          <w:strike w:val="0"/>
          <w:noProof w:val="0"/>
          <w:color w:val="000000"/>
          <w:position w:val="0"/>
          <w:sz w:val="20"/>
          <w:u w:val="none"/>
          <w:vertAlign w:val="baseline"/>
        </w:rPr>
        <w:t> [*83301] </w:t>
      </w:r>
      <w:r>
        <w:rPr>
          <w:rFonts w:ascii="arial" w:eastAsia="arial" w:hAnsi="arial" w:cs="arial"/>
          <w:b w:val="0"/>
          <w:i w:val="0"/>
          <w:strike w:val="0"/>
          <w:noProof w:val="0"/>
          <w:color w:val="000000"/>
          <w:position w:val="0"/>
          <w:sz w:val="20"/>
          <w:u w:val="none"/>
          <w:vertAlign w:val="baseline"/>
        </w:rPr>
        <w:t xml:space="preserve"> subparagraph (f)(2) of Rule 19b-4 n24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SR-NYSE-2016-74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SR-NYSE-2016-74.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SR-NYSE-2016-74 and should be submitted on or before December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2016-27893 Filed 11-18-16;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83297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074-YWG0-006W-80R7-00000-00&amp;context=" TargetMode="External" /><Relationship Id="rId13" Type="http://schemas.openxmlformats.org/officeDocument/2006/relationships/hyperlink" Target="https://advance.lexis.com/api/document?collection=administrative-codes&amp;id=urn:contentItem:4VHY-JW10-006W-83P9-00000-00&amp;context=" TargetMode="External" /><Relationship Id="rId14" Type="http://schemas.openxmlformats.org/officeDocument/2006/relationships/hyperlink" Target="https://advance.lexis.com/api/document?collection=administrative-codes&amp;id=urn:contentItem:4VXK-W250-006W-8443-00000-00&amp;context=" TargetMode="External" /><Relationship Id="rId15" Type="http://schemas.openxmlformats.org/officeDocument/2006/relationships/hyperlink" Target="https://advance.lexis.com/api/document?collection=administrative-codes&amp;id=urn:contentItem:502G-30S0-006W-83D6-00000-00&amp;context=" TargetMode="External" /><Relationship Id="rId16" Type="http://schemas.openxmlformats.org/officeDocument/2006/relationships/hyperlink" Target="https://advance.lexis.com/api/document?collection=administrative-codes&amp;id=urn:contentItem:5HX1-G1G0-006W-84FT-00000-00&amp;context=" TargetMode="External" /><Relationship Id="rId17" Type="http://schemas.openxmlformats.org/officeDocument/2006/relationships/hyperlink" Target="https://advance.lexis.com/api/document?collection=administrative-codes&amp;id=urn:contentItem:595R-50V0-006W-83S3-00000-00&amp;context=" TargetMode="External" /><Relationship Id="rId18" Type="http://schemas.openxmlformats.org/officeDocument/2006/relationships/hyperlink" Target="https://advance.lexis.com/api/document?collection=administrative-codes&amp;id=urn:contentItem:5F1M-0BM0-006W-84PF-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sec.gov/rules/concept/s72899/buck1.htm" TargetMode="External" /><Relationship Id="rId22" Type="http://schemas.openxmlformats.org/officeDocument/2006/relationships/hyperlink" Target="https://batstrading.com/support/fee_schedule/bzx/" TargetMode="External" /><Relationship Id="rId23" Type="http://schemas.openxmlformats.org/officeDocument/2006/relationships/hyperlink" Target="http://www.justice.gov/iso/opa/atr/speeches/2011/at-speech-110516.html" TargetMode="External" /><Relationship Id="rId24" Type="http://schemas.openxmlformats.org/officeDocument/2006/relationships/hyperlink" Target="https://advance.lexis.com/api/document?collection=administrative-codes&amp;id=urn:contentItem:4Y6T-4FW0-006W-80SB-00000-00&amp;context="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4H-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