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83308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83308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Change Amending the Fees for NYSE MKT BBO and NYSE MKT Trades To Lower the Enterprise Fee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34-79314; File No. SR-NYSEMKT-2016-101]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November 1, 2016,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BBO and NYSE MKT Trades to lower the Enterprise Fee. The proposed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 </w:t>
      </w:r>
      <w:r>
        <w:rPr>
          <w:rFonts w:ascii="arial" w:eastAsia="arial" w:hAnsi="arial" w:cs="arial"/>
          <w:b/>
          <w:i w:val="0"/>
          <w:strike w:val="0"/>
          <w:noProof w:val="0"/>
          <w:color w:val="000000"/>
          <w:position w:val="0"/>
          <w:sz w:val="20"/>
          <w:u w:val="none"/>
          <w:vertAlign w:val="baseline"/>
        </w:rPr>
        <w:t> [*83309]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BBO and NYSE MKT Trades market data products, n4 as set forth on the NYSE MKT Equities Proprietary Market Data Fee Schedule ("Fee Schedule"). Specifically, the Exchange proposes to lower the Enterprise Fee. The Exchange proposes to make the fee change effective November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61936 (April 16, 2010), 74 [sic] FR 21088 (April 22, 2010) (SR-NYSEAmex-2010-35) (notice--NYSE MKT BBO and NYSE MKT Trades) and 62187 (May 27, 2010), </w:t>
      </w:r>
      <w:hyperlink r:id="rId12" w:history="1">
        <w:r>
          <w:rPr>
            <w:rFonts w:ascii="arial" w:eastAsia="arial" w:hAnsi="arial" w:cs="arial"/>
            <w:b w:val="0"/>
            <w:i/>
            <w:strike w:val="0"/>
            <w:noProof w:val="0"/>
            <w:color w:val="0077CC"/>
            <w:position w:val="0"/>
            <w:sz w:val="20"/>
            <w:u w:val="single"/>
            <w:vertAlign w:val="baseline"/>
          </w:rPr>
          <w:t>75 FR 31500</w:t>
        </w:r>
      </w:hyperlink>
      <w:r>
        <w:rPr>
          <w:rFonts w:ascii="arial" w:eastAsia="arial" w:hAnsi="arial" w:cs="arial"/>
          <w:b w:val="0"/>
          <w:i w:val="0"/>
          <w:strike w:val="0"/>
          <w:noProof w:val="0"/>
          <w:color w:val="000000"/>
          <w:position w:val="0"/>
          <w:sz w:val="20"/>
          <w:u w:val="none"/>
          <w:vertAlign w:val="baseline"/>
        </w:rPr>
        <w:t xml:space="preserve"> (June 3, 2010) (SR-NYSEAmex-2010-35) (approval order--NYSE MKT BBO and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$ 15,000 per month for an unlimited number of professional and non-professional users for each of NYSE MKT BBO and NYSE MKT Trades. n5 A single Enterprise Fee applies for clients receiving both NYSE MKT BBO and NYSE MKT Trades. n6 The Exchange proposes to lower the enterprise fee to $ 3,000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76906 (January 14, 2016), </w:t>
      </w:r>
      <w:hyperlink r:id="rId13" w:history="1">
        <w:r>
          <w:rPr>
            <w:rFonts w:ascii="arial" w:eastAsia="arial" w:hAnsi="arial" w:cs="arial"/>
            <w:b w:val="0"/>
            <w:i/>
            <w:strike w:val="0"/>
            <w:noProof w:val="0"/>
            <w:color w:val="0077CC"/>
            <w:position w:val="0"/>
            <w:sz w:val="20"/>
            <w:u w:val="single"/>
            <w:vertAlign w:val="baseline"/>
          </w:rPr>
          <w:t>81 FR 3500</w:t>
        </w:r>
      </w:hyperlink>
      <w:r>
        <w:rPr>
          <w:rFonts w:ascii="arial" w:eastAsia="arial" w:hAnsi="arial" w:cs="arial"/>
          <w:b w:val="0"/>
          <w:i w:val="0"/>
          <w:strike w:val="0"/>
          <w:noProof w:val="0"/>
          <w:color w:val="000000"/>
          <w:position w:val="0"/>
          <w:sz w:val="20"/>
          <w:u w:val="none"/>
          <w:vertAlign w:val="baseline"/>
        </w:rPr>
        <w:t xml:space="preserve"> (January 21, 2016) (SR-NYSEMKT-2016-04).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70212 (August 15, 2013), </w:t>
      </w:r>
      <w:hyperlink r:id="rId14" w:history="1">
        <w:r>
          <w:rPr>
            <w:rFonts w:ascii="arial" w:eastAsia="arial" w:hAnsi="arial" w:cs="arial"/>
            <w:b w:val="0"/>
            <w:i/>
            <w:strike w:val="0"/>
            <w:noProof w:val="0"/>
            <w:color w:val="0077CC"/>
            <w:position w:val="0"/>
            <w:sz w:val="20"/>
            <w:u w:val="single"/>
            <w:vertAlign w:val="baseline"/>
          </w:rPr>
          <w:t>78 FR 51775</w:t>
        </w:r>
      </w:hyperlink>
      <w:r>
        <w:rPr>
          <w:rFonts w:ascii="arial" w:eastAsia="arial" w:hAnsi="arial" w:cs="arial"/>
          <w:b w:val="0"/>
          <w:i w:val="0"/>
          <w:strike w:val="0"/>
          <w:noProof w:val="0"/>
          <w:color w:val="000000"/>
          <w:position w:val="0"/>
          <w:sz w:val="20"/>
          <w:u w:val="none"/>
          <w:vertAlign w:val="baseline"/>
        </w:rPr>
        <w:t xml:space="preserve"> (August 21, 2013) (SR-NYSEMKT-2013-69).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10,000 professional users who each received NYSE MKT Trades at $ 1 per month and NYSE MKT BBO at $ 1 per month, without the Enterprise Fee, the firm would be subject to $ 20,000 per month in professional user fees. Under the current pricing structure, the charge would be capped at $ 15,000 and effective November 1, 2016 it would be capped at $ 3,000.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enterprise fee, the firm would pay a flat fee of $ 3,000 for an unlimited number of professional and non-professional users for both products. As is the case currently, a data recipient that pays the enterprise fee would not have to report the number of such users on a monthly basis. n7 However, every six months,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[sic] Act Release No. 73986 (January 5, 2015), </w:t>
      </w:r>
      <w:hyperlink r:id="rId15" w:history="1">
        <w:r>
          <w:rPr>
            <w:rFonts w:ascii="arial" w:eastAsia="arial" w:hAnsi="arial" w:cs="arial"/>
            <w:b w:val="0"/>
            <w:i/>
            <w:strike w:val="0"/>
            <w:noProof w:val="0"/>
            <w:color w:val="0077CC"/>
            <w:position w:val="0"/>
            <w:sz w:val="20"/>
            <w:u w:val="single"/>
            <w:vertAlign w:val="baseline"/>
          </w:rPr>
          <w:t>80 FR 1444</w:t>
        </w:r>
      </w:hyperlink>
      <w:r>
        <w:rPr>
          <w:rFonts w:ascii="arial" w:eastAsia="arial" w:hAnsi="arial" w:cs="arial"/>
          <w:b w:val="0"/>
          <w:i w:val="0"/>
          <w:strike w:val="0"/>
          <w:noProof w:val="0"/>
          <w:color w:val="000000"/>
          <w:position w:val="0"/>
          <w:sz w:val="20"/>
          <w:u w:val="none"/>
          <w:vertAlign w:val="baseline"/>
        </w:rPr>
        <w:t xml:space="preserve"> (January 9, 2015) (SR-NYSEMKT-2014-113).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change is also equitable and not unfairly discriminatory because it would apply to all data recipients that choose to subscribe to NYSE MKT BBO and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enterprise fees for NYSE MKT BBO and NYSE MKT Trades are reasonable because they could result in a fee reduction for data recipients with a large number of professional and nonprofessional users, as described in the example above. If a data recipient has a smaller number of professional users of NYSE MKT BBO and/or NYSE MKT Trades, then it may continue to use the per user fee structure. By reducing prices for data recipient with a large number of professional and non-professional users, the Exchange believes that more data recipients may choose to offer NYSE MKT BBO and NYSE MKT Trades, thereby expanding the distribution of this market data for the benefit of investors. The Exchange also believes that offering an enterprise fee expands the range of options for offering NYSE MKT BBO and NYSE MKT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BBO and NYSE MKT Trades are entirely optional. The Exchange is not required to make NYSE MKT BBO and NYSE MKT Trades available or to offer any specific pricing alternatives to any customers, nor is any firm required to purchase NYSE MKT BBO and NYSE MKT Trades. Firms that do purchase NYSE MKT BBO and NYSE MKT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BBO and NYSE MKT Trades or any other similar products are attractively priced or not.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MKT BBO and NYSE MKT Trades have a variety of alternative market data products from which to choose, n11 or if NYSE MKT BBO and NYSE MKT Trades do not provide sufficient value to firms as offered based on the uses those firms have or planned to make of it, such firms may simply choose to conduct their business operations in ways that do not use NYSE MKT BBO and NYSE MKT Trades or use them at different levels or in different configurations. The Exchange notes that broker-dealers are not required to purchase proprietary market data to comply with their best execution obligations.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[sic]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7"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w:t>
      </w:r>
      <w:r>
        <w:rPr>
          <w:rFonts w:ascii="arial" w:eastAsia="arial" w:hAnsi="arial" w:cs="arial"/>
          <w:b/>
          <w:i w:val="0"/>
          <w:strike w:val="0"/>
          <w:noProof w:val="0"/>
          <w:color w:val="000000"/>
          <w:position w:val="0"/>
          <w:sz w:val="20"/>
          <w:u w:val="none"/>
          <w:vertAlign w:val="baseline"/>
        </w:rPr>
        <w:t> [*83310] </w:t>
      </w:r>
      <w:r>
        <w:rPr>
          <w:rFonts w:ascii="arial" w:eastAsia="arial" w:hAnsi="arial" w:cs="arial"/>
          <w:b w:val="0"/>
          <w:i w:val="0"/>
          <w:strike w:val="0"/>
          <w:noProof w:val="0"/>
          <w:color w:val="000000"/>
          <w:position w:val="0"/>
          <w:sz w:val="20"/>
          <w:u w:val="none"/>
          <w:vertAlign w:val="baseline"/>
        </w:rPr>
        <w:t xml:space="preserve"> practices that constitute the U.S. national market system for trading equity securities.'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7"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8"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fees are reasonable when compared to fees for comparable products offered by at least one other exchange. For example, Bats BYX Exchange ("BYX") charges an enterprise fee of $ 10,000 per month for each of BYX Top and BYX Last Sale, which includes best bid and offer and last sale data, respectively. n15 The Exchange is proposing enterprise fees that are less than the fees currently charged by BYX.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Data Fees at </w:t>
      </w:r>
      <w:hyperlink r:id="rId19" w:history="1">
        <w:r>
          <w:rPr>
            <w:rFonts w:ascii="arial" w:eastAsia="arial" w:hAnsi="arial" w:cs="arial"/>
            <w:b w:val="0"/>
            <w:i/>
            <w:strike w:val="0"/>
            <w:noProof w:val="0"/>
            <w:color w:val="0077CC"/>
            <w:position w:val="0"/>
            <w:sz w:val="20"/>
            <w:u w:val="single"/>
            <w:vertAlign w:val="baseline"/>
          </w:rPr>
          <w:t>https://www.batstrading.com/support/fee_schedule/byx/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n17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Concept Release on Equity Market Structure, Securities Exchange Act Release No. 61358 (Jan. 14, 2010), </w:t>
      </w:r>
      <w:hyperlink r:id="rId21"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1"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case of products that are also redistributed through market data vendors, such as Bloomberg and Thompson Reuters, the vendors </w:t>
      </w:r>
      <w:r>
        <w:rPr>
          <w:rFonts w:ascii="arial" w:eastAsia="arial" w:hAnsi="arial" w:cs="arial"/>
          <w:b/>
          <w:i w:val="0"/>
          <w:strike w:val="0"/>
          <w:noProof w:val="0"/>
          <w:color w:val="000000"/>
          <w:position w:val="0"/>
          <w:sz w:val="20"/>
          <w:u w:val="none"/>
          <w:vertAlign w:val="baseline"/>
        </w:rPr>
        <w:t> [*83311] </w:t>
      </w:r>
      <w:r>
        <w:rPr>
          <w:rFonts w:ascii="arial" w:eastAsia="arial" w:hAnsi="arial" w:cs="arial"/>
          <w:b w:val="0"/>
          <w:i w:val="0"/>
          <w:strike w:val="0"/>
          <w:noProof w:val="0"/>
          <w:color w:val="000000"/>
          <w:position w:val="0"/>
          <w:sz w:val="20"/>
          <w:u w:val="none"/>
          <w:vertAlign w:val="baseline"/>
        </w:rPr>
        <w:t xml:space="preserve">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BBO or NYSE MKT Trades unless their customers request it, and customers will not elect to pay the proposed fees unless NYSE MKT BBO and NYSE MKT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n19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3"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[sic]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4"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5"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13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 number of SROs, ATSs, and internalizing broker-dealers that </w:t>
      </w:r>
      <w:r>
        <w:rPr>
          <w:rFonts w:ascii="arial" w:eastAsia="arial" w:hAnsi="arial" w:cs="arial"/>
          <w:b/>
          <w:i w:val="0"/>
          <w:strike w:val="0"/>
          <w:noProof w:val="0"/>
          <w:color w:val="000000"/>
          <w:position w:val="0"/>
          <w:sz w:val="20"/>
          <w:u w:val="none"/>
          <w:vertAlign w:val="baseline"/>
        </w:rPr>
        <w:t> [*83312] </w:t>
      </w:r>
      <w:r>
        <w:rPr>
          <w:rFonts w:ascii="arial" w:eastAsia="arial" w:hAnsi="arial" w:cs="arial"/>
          <w:b w:val="0"/>
          <w:i w:val="0"/>
          <w:strike w:val="0"/>
          <w:noProof w:val="0"/>
          <w:color w:val="000000"/>
          <w:position w:val="0"/>
          <w:sz w:val="20"/>
          <w:u w:val="none"/>
          <w:vertAlign w:val="baseline"/>
        </w:rPr>
        <w:t xml:space="preserve">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New York Stock Exchange LLC, NYSE Arca, Inc. ("NYSE Arca"), NASDAQ, Bats [sic],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[sic]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Indeed, in the case of NYSE MKT BBO and NYSE MKT Trades, the data provided through these products appears both in (i) real-time core data products offered by the Securities Information Processors (SIPs) for a fee, and (ii) free SIP data products with a 15-minute time delay, and finds a close substitute in similar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n22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 proliferation of dark pools and other ATSs operate profitably with fragmentary share of consolidated market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MKT BBO and NYSE MKT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n23 of the Act and subparagraph (f)(2) of Rule 19b-4 n24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n25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SR-NYSEMKT-2016-101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SR-NYSEMKT-2016-101. This file number should be included on the subject line if email is used. To help the Commission process and review your comments more efficiently, please use only one method. The Commission will post all comments on the Commission's Internet Web site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SR-NYSEMKT-2016-101 and should be submitted on or before December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2016-27894 Filed 11-18-16;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83308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074-YWG0-006W-80RD-00000-00&amp;context=" TargetMode="External" /><Relationship Id="rId13" Type="http://schemas.openxmlformats.org/officeDocument/2006/relationships/hyperlink" Target="https://advance.lexis.com/api/document?collection=administrative-codes&amp;id=urn:contentItem:5HX1-G1G0-006W-84FW-00000-00&amp;context=" TargetMode="External" /><Relationship Id="rId14" Type="http://schemas.openxmlformats.org/officeDocument/2006/relationships/hyperlink" Target="https://advance.lexis.com/api/document?collection=administrative-codes&amp;id=urn:contentItem:595R-50V0-006W-83S1-00000-00&amp;context=" TargetMode="External" /><Relationship Id="rId15" Type="http://schemas.openxmlformats.org/officeDocument/2006/relationships/hyperlink" Target="https://advance.lexis.com/api/document?collection=administrative-codes&amp;id=urn:contentItem:5F1M-0BM0-006W-84P9-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cases&amp;id=urn:contentItem:803V-DT30-YB0V-T01B-00000-00&amp;context=" TargetMode="External" /><Relationship Id="rId18" Type="http://schemas.openxmlformats.org/officeDocument/2006/relationships/hyperlink" Target="http://www.sec.gov/rules/concept/s72899/buck1.htm" TargetMode="External" /><Relationship Id="rId19" Type="http://schemas.openxmlformats.org/officeDocument/2006/relationships/hyperlink" Target="https://www.batstrading.com/support/fee_schedule/byx/"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4Y6T-4FW0-006W-80SB-00000-00&amp;context=" TargetMode="External" /><Relationship Id="rId22" Type="http://schemas.openxmlformats.org/officeDocument/2006/relationships/hyperlink" Target="https://www.arcavision.com/Arcavision/arcalogin.jsp" TargetMode="External" /><Relationship Id="rId23" Type="http://schemas.openxmlformats.org/officeDocument/2006/relationships/hyperlink" Target="https://advance.lexis.com/api/document?collection=administrative-codes&amp;id=urn:contentItem:5C6V-V6N0-006W-80W6-00000-00&amp;context=" TargetMode="External" /><Relationship Id="rId24" Type="http://schemas.openxmlformats.org/officeDocument/2006/relationships/hyperlink" Target="https://advance.lexis.com/api/document?collection=administrative-codes&amp;id=urn:contentItem:512C-NGP0-006W-82VF-00000-00&amp;context=" TargetMode="External" /><Relationship Id="rId25" Type="http://schemas.openxmlformats.org/officeDocument/2006/relationships/hyperlink" Target="https://advance.lexis.com/api/document?collection=administrative-codes&amp;id=urn:contentItem:512C-NGP0-006W-82VH-00000-00&amp;context=" TargetMode="External" /><Relationship Id="rId26" Type="http://schemas.openxmlformats.org/officeDocument/2006/relationships/hyperlink" Target="http://www.sec.gov/rules/sro.shtml" TargetMode="External" /><Relationship Id="rId27" Type="http://schemas.openxmlformats.org/officeDocument/2006/relationships/hyperlink" Target="mailto:rule-comments@sec.gov" TargetMode="External" /><Relationship Id="rId28" Type="http://schemas.openxmlformats.org/officeDocument/2006/relationships/hyperlink" Target="https://advance.lexis.com/api/document?collection=administrative-codes&amp;id=urn:contentItem:5SPP-2120-008G-Y2ND-00000-00&amp;context="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4M-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