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8702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034, Monday, February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8702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Asian American and Native American Pacific Islander-Serving Institutions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Asian American and Native American Pacific Islander-Serving Institutions (AANAPISI)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84.382B.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AANAPISI Program provides grants to eligible institutions of higher education (IHEs) that have an undergraduate enrollment of at least 10 percent Asian American or Native American Pacific Islander students to allow such institutions to plan, develop, undertake, and carry out activities to improve and expand their capacity to serve Asian Americans and Native American Pacific Islanders and low-income individuals. Examples of authorized activities for the AANAPISI Program are in section 311(c) of the Higher Education Act of 1965, as amended (HEA).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The absolute priority is from the Department's notice of final supplemental priorities and definitions for discretionary grant programs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8"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In accordance with </w:t>
      </w:r>
      <w:hyperlink r:id="rId9" w:history="1">
        <w:r>
          <w:rPr>
            <w:rFonts w:ascii="arial" w:eastAsia="arial" w:hAnsi="arial" w:cs="arial"/>
            <w:b w:val="0"/>
            <w:i/>
            <w:strike w:val="0"/>
            <w:noProof w:val="0"/>
            <w:color w:val="0077CC"/>
            <w:position w:val="0"/>
            <w:sz w:val="20"/>
            <w:u w:val="single"/>
            <w:vertAlign w:val="baseline"/>
          </w:rPr>
          <w:t>34 CFR 75.105(b)(2)(ii)</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w:t>
      </w:r>
      <w:hyperlink r:id="rId10"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9"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Supporting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that are designed to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Academic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Learning environments;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one or more of the following groups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Disconnected youth or migrant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Low-skilled adults.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9"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one additional point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three additional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Applicants may address only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must clearly indicate in their application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they are addressing. Applicants that apply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but whose applications do not meet the moderate evidence of effectiveness standard, may still be considered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to determine whether their applications meet the evidence of promise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assessing the relevance of the research cited to the proposed project, the Secretary will consider, among other factors, the portion of the requested funds that will be dedicated to the evidence-based strategies or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(One additional point). Applications supported by evidence of effectiveness that meets the conditions set out in the definition of "evidence of promise."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w:t>
      </w:r>
      <w:r>
        <w:rPr>
          <w:rFonts w:ascii="arial" w:eastAsia="arial" w:hAnsi="arial" w:cs="arial"/>
          <w:b w:val="0"/>
          <w:i w:val="0"/>
          <w:strike w:val="0"/>
          <w:noProof w:val="0"/>
          <w:color w:val="000000"/>
          <w:position w:val="0"/>
          <w:sz w:val="20"/>
          <w:u w:val="none"/>
          <w:vertAlign w:val="baseline"/>
        </w:rPr>
        <w:t xml:space="preserve"> (Three additional points). Applications supported by evidence of effectiveness that meets the conditions set out in the definition of "moderate evidence of effectiveness." </w:t>
      </w:r>
      <w:r>
        <w:rPr>
          <w:rFonts w:ascii="arial" w:eastAsia="arial" w:hAnsi="arial" w:cs="arial"/>
          <w:b/>
          <w:i w:val="0"/>
          <w:strike w:val="0"/>
          <w:noProof w:val="0"/>
          <w:color w:val="000000"/>
          <w:position w:val="0"/>
          <w:sz w:val="20"/>
          <w:u w:val="none"/>
          <w:vertAlign w:val="baseline"/>
        </w:rPr>
        <w:t> [*8703]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9"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support activities that strengthen Native American Pacific Islander language preservation and revitalization.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w:t>
      </w:r>
      <w:hyperlink r:id="rId1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and the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Disconnected youth</w:t>
      </w:r>
      <w:r>
        <w:rPr>
          <w:rFonts w:ascii="arial" w:eastAsia="arial" w:hAnsi="arial" w:cs="arial"/>
          <w:b w:val="0"/>
          <w:i w:val="0"/>
          <w:strike w:val="0"/>
          <w:noProof w:val="0"/>
          <w:color w:val="000000"/>
          <w:position w:val="0"/>
          <w:sz w:val="20"/>
          <w:u w:val="none"/>
          <w:vertAlign w:val="baseline"/>
        </w:rPr>
        <w:t xml:space="preserve"> means low-income individuals, ages 14-24, who are homeless, are in foster care, are involved in the justice system, or are not working or not enrolled in (or at risk of dropping out of) an educational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which must define the term in a manner consistent with its State's Teacher Equity Plan, as required by section 1111(b)(8)(C) of the Elementary and Secondary Education Act of 1965, as amended. The applicant must provide the definition(s) of High-minority Schools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Low-skilled adult</w:t>
      </w:r>
      <w:r>
        <w:rPr>
          <w:rFonts w:ascii="arial" w:eastAsia="arial" w:hAnsi="arial" w:cs="arial"/>
          <w:b w:val="0"/>
          <w:i w:val="0"/>
          <w:strike w:val="0"/>
          <w:noProof w:val="0"/>
          <w:color w:val="000000"/>
          <w:position w:val="0"/>
          <w:sz w:val="20"/>
          <w:u w:val="none"/>
          <w:vertAlign w:val="baseline"/>
        </w:rPr>
        <w:t xml:space="preserve"> means an adult with low literacy and numeracy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of the effectiveness of the process, product, strategy, or practice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There is at least one study of the effectiveness of the process, product, strategy, or practice being proposed that meets the What Works Clearinghouse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and a multi-site sample. Note: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any of the 50 States, the Commonwealth of Puerto Rico, the District of Columbia, Guam, American Samoa, the Virgin Islands, the Northern Mariana Islands, or the Trust Territory of the Pacific Islands.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2"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 U.S.C. 1067q(b)(2)(D)(iii)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w:t>
      </w:r>
      <w:r>
        <w:rPr>
          <w:rFonts w:ascii="arial" w:eastAsia="arial" w:hAnsi="arial" w:cs="arial"/>
          <w:b/>
          <w:i w:val="0"/>
          <w:strike w:val="0"/>
          <w:noProof w:val="0"/>
          <w:color w:val="000000"/>
          <w:position w:val="0"/>
          <w:sz w:val="20"/>
          <w:u w:val="none"/>
          <w:vertAlign w:val="baseline"/>
        </w:rPr>
        <w:t> [*8704] </w:t>
      </w:r>
      <w:r>
        <w:rPr>
          <w:rFonts w:ascii="arial" w:eastAsia="arial" w:hAnsi="arial" w:cs="arial"/>
          <w:b w:val="0"/>
          <w:i w:val="0"/>
          <w:strike w:val="0"/>
          <w:noProof w:val="0"/>
          <w:color w:val="000000"/>
          <w:position w:val="0"/>
          <w:sz w:val="20"/>
          <w:u w:val="none"/>
          <w:vertAlign w:val="baseline"/>
        </w:rPr>
        <w:t xml:space="preserve"> parts 75, 77, 79, 82, 84, 86,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$ 4,635,000.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$ 300,000-$ 350,000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$ 325,000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Awards:</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$ 350,000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An IHE is eligible to receive funds under the AANAPISI Program if it qualifies as an Asian American and Native American Pacific Islander-Serving Institution. At the time of application, IHEs applying for funds under the AANAPISI Program must have an enrollment of undergraduate students that is at least 10 percent Asian American or Native American Pacific Islander, as defined as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Asian American</w:t>
      </w:r>
      <w:r>
        <w:rPr>
          <w:rFonts w:ascii="arial" w:eastAsia="arial" w:hAnsi="arial" w:cs="arial"/>
          <w:b w:val="0"/>
          <w:i w:val="0"/>
          <w:strike w:val="0"/>
          <w:noProof w:val="0"/>
          <w:color w:val="000000"/>
          <w:position w:val="0"/>
          <w:sz w:val="20"/>
          <w:u w:val="none"/>
          <w:vertAlign w:val="baseline"/>
        </w:rPr>
        <w:t xml:space="preserve"> means a person having origins in any of the original peoples of the Far East, Southeast Asia, or the Indian subcontinent (including, for example, Cambodia, China, India, Japan, Korea, Malaysia, Pakistan, the Philippine Islands, Thailand, and Vietnam), as defined in OMB's Standards for Maintaining, Collecting, and Presenting Federal Data on Race and Ethnicity 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30, 1997 </w:t>
      </w:r>
      <w:hyperlink r:id="rId14" w:history="1">
        <w:r>
          <w:rPr>
            <w:rFonts w:ascii="arial" w:eastAsia="arial" w:hAnsi="arial" w:cs="arial"/>
            <w:b w:val="0"/>
            <w:i/>
            <w:strike w:val="0"/>
            <w:noProof w:val="0"/>
            <w:color w:val="0077CC"/>
            <w:position w:val="0"/>
            <w:sz w:val="20"/>
            <w:u w:val="single"/>
            <w:vertAlign w:val="baseline"/>
          </w:rPr>
          <w:t>(62 FR 58789).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Native American Pacific Islander</w:t>
      </w:r>
      <w:r>
        <w:rPr>
          <w:rFonts w:ascii="arial" w:eastAsia="arial" w:hAnsi="arial" w:cs="arial"/>
          <w:b w:val="0"/>
          <w:i w:val="0"/>
          <w:strike w:val="0"/>
          <w:noProof w:val="0"/>
          <w:color w:val="000000"/>
          <w:position w:val="0"/>
          <w:sz w:val="20"/>
          <w:u w:val="none"/>
          <w:vertAlign w:val="baseline"/>
        </w:rPr>
        <w:t xml:space="preserve"> means any descendant of the aboriginal people of any island in the Pacific Ocean that is a territory or possession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submission of their applications, applicants must certify their total undergraduate headcount enrollment and that 10 percent of the IHE's enrollment is Asian American or Native American Pacific Islander. An assurance form, which is included in the application materials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must be signed by an official for the applicant and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as an eligible institution under the AANAPISI Program, an institution must also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Accredited or pre-accredited by a nationally recognized accrediting agency or association that the Secretary has determined to be a reliable authority as to the quality of education or training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Legally authorized by the State in which it is located to be a community college or to provide an educational program for which it awards a bachelor's degree;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Designated as an "eligible institution" by demonstrating that it has: (A) An enrollment of needy students as described in </w:t>
      </w:r>
      <w:hyperlink r:id="rId15" w:history="1">
        <w:r>
          <w:rPr>
            <w:rFonts w:ascii="arial" w:eastAsia="arial" w:hAnsi="arial" w:cs="arial"/>
            <w:b w:val="0"/>
            <w:i/>
            <w:strike w:val="0"/>
            <w:noProof w:val="0"/>
            <w:color w:val="0077CC"/>
            <w:position w:val="0"/>
            <w:sz w:val="20"/>
            <w:u w:val="single"/>
            <w:vertAlign w:val="baseline"/>
          </w:rPr>
          <w:t>34 CFR 607.3</w:t>
        </w:r>
      </w:hyperlink>
      <w:r>
        <w:rPr>
          <w:rFonts w:ascii="arial" w:eastAsia="arial" w:hAnsi="arial" w:cs="arial"/>
          <w:b w:val="0"/>
          <w:i w:val="0"/>
          <w:strike w:val="0"/>
          <w:noProof w:val="0"/>
          <w:color w:val="000000"/>
          <w:position w:val="0"/>
          <w:sz w:val="20"/>
          <w:u w:val="none"/>
          <w:vertAlign w:val="baseline"/>
        </w:rPr>
        <w:t xml:space="preserve">; and (B) low average educational and general expenditures per full-time equivalent (FTE) undergraduate student as described in </w:t>
      </w:r>
      <w:hyperlink r:id="rId16" w:history="1">
        <w:r>
          <w:rPr>
            <w:rFonts w:ascii="arial" w:eastAsia="arial" w:hAnsi="arial" w:cs="arial"/>
            <w:b w:val="0"/>
            <w:i/>
            <w:strike w:val="0"/>
            <w:noProof w:val="0"/>
            <w:color w:val="0077CC"/>
            <w:position w:val="0"/>
            <w:sz w:val="20"/>
            <w:u w:val="single"/>
            <w:vertAlign w:val="baseline"/>
          </w:rPr>
          <w:t>34 CFR 607.4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notice announcing the FY 2016 process for designation of eligible institutions, and inviting applications for waiver of eligibility requirements,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19, 2015 </w:t>
      </w:r>
      <w:r>
        <w:rPr>
          <w:rFonts w:ascii="arial" w:eastAsia="arial" w:hAnsi="arial" w:cs="arial"/>
          <w:b w:val="0"/>
          <w:i/>
          <w:strike w:val="0"/>
          <w:noProof w:val="0"/>
          <w:color w:val="000000"/>
          <w:position w:val="0"/>
          <w:sz w:val="20"/>
          <w:u w:val="none"/>
          <w:vertAlign w:val="baseline"/>
        </w:rPr>
        <w:t>(80 FR 72422).</w:t>
      </w:r>
      <w:r>
        <w:rPr>
          <w:rFonts w:ascii="arial" w:eastAsia="arial" w:hAnsi="arial" w:cs="arial"/>
          <w:b w:val="0"/>
          <w:i w:val="0"/>
          <w:strike w:val="0"/>
          <w:noProof w:val="0"/>
          <w:color w:val="000000"/>
          <w:position w:val="0"/>
          <w:sz w:val="20"/>
          <w:u w:val="none"/>
          <w:vertAlign w:val="baseline"/>
        </w:rPr>
        <w:t xml:space="preserve"> Only institutions that the Department determines are eligible, or are granted a waiver, may apply for a grant in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 unless funds are used for an endowment.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Pearson Owens or Don Crews, Office of Postsecondary Education, U.S. Department of Education, 400 Maryland Avenue SW., Room 7E311, Washington, DC 20202. Fax: (202) 205-0063. You may contact these individuals at the following email addresses or telephone numbers: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vertAlign w:val="baseline"/>
          </w:rPr>
          <w:t>Pearson.Owens@ed.gov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502-7804</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Don.Crews@ed.gov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502-7574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an application via the Internet using the following address: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one of the program contact people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the absolute priority,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the invitational priority that reviewers use to evaluate your application. We have established mandatory page limits. You must limit the section of the application narrative that addresses: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criteria to no more than 50 pages.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absolute priority to no more than three pages.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to no more than three pages, if you address one of those priorities.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invitational priority to no more than two pages, if you address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under no circumstances may the application narrative exceed 58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a separate heading for each priority that you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determining compliance with the page limits, each page on which there are words will be counted as one full page. Applicants must use the following standards: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except titles, headings, footnotes, quotations, references, and captions and all text in charts, tables, figures, and graphs. These items may be single-spaced. Charts, tables, figures, and graphs in the application narrative count toward the page limits.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However, you may use a 10-point font in charts, tables, figures, graphs, footnotes, and endnotes.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does not apply to the Application for Federal Assistance (SF 424); the Supplemental Information for SF 424 Form; the Budget Information </w:t>
      </w:r>
      <w:r>
        <w:rPr>
          <w:rFonts w:ascii="arial" w:eastAsia="arial" w:hAnsi="arial" w:cs="arial"/>
          <w:b/>
          <w:i w:val="0"/>
          <w:strike w:val="0"/>
          <w:noProof w:val="0"/>
          <w:color w:val="000000"/>
          <w:position w:val="0"/>
          <w:sz w:val="20"/>
          <w:u w:val="none"/>
          <w:vertAlign w:val="baseline"/>
        </w:rPr>
        <w:t> [*8705] </w:t>
      </w:r>
      <w:r>
        <w:rPr>
          <w:rFonts w:ascii="arial" w:eastAsia="arial" w:hAnsi="arial" w:cs="arial"/>
          <w:b w:val="0"/>
          <w:i w:val="0"/>
          <w:strike w:val="0"/>
          <w:noProof w:val="0"/>
          <w:color w:val="000000"/>
          <w:position w:val="0"/>
          <w:sz w:val="20"/>
          <w:u w:val="none"/>
          <w:vertAlign w:val="baseline"/>
        </w:rPr>
        <w:t xml:space="preserve"> Summary Form (ED Form 524) and Budget Narrative; and the assurances and certifications. The page limit also does not apply to the table of contents, the one-page abstract, the resumes, the bibliography, the letters of support, program profile, or the studies. If you include any attachments or appendices, these items will be counted as part of the application narrative for purposes of the page-limit requirement. You must include your complete response to the selection criteria and priorities in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one of the program contact people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0"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1"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2"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the AANAPISI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AANAPISI Program, CFDA number 84.382B, must be submitted electronically using the Governmentwide Grants.gov Apply site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AANAPISI Program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84.382, not 84.382B).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w:t>
      </w:r>
      <w:r>
        <w:rPr>
          <w:rFonts w:ascii="arial" w:eastAsia="arial" w:hAnsi="arial" w:cs="arial"/>
          <w:b/>
          <w:i w:val="0"/>
          <w:strike w:val="0"/>
          <w:noProof w:val="0"/>
          <w:color w:val="000000"/>
          <w:position w:val="0"/>
          <w:sz w:val="20"/>
          <w:u w:val="none"/>
          <w:vertAlign w:val="baseline"/>
        </w:rPr>
        <w:t> [*8706] </w:t>
      </w:r>
      <w:r>
        <w:rPr>
          <w:rFonts w:ascii="arial" w:eastAsia="arial" w:hAnsi="arial" w:cs="arial"/>
          <w:b w:val="0"/>
          <w:i w:val="0"/>
          <w:strike w:val="0"/>
          <w:noProof w:val="0"/>
          <w:color w:val="000000"/>
          <w:position w:val="0"/>
          <w:sz w:val="20"/>
          <w:u w:val="none"/>
          <w:vertAlign w:val="baseline"/>
        </w:rPr>
        <w:t xml:space="preserve">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program to ensure that you submit your application in a timely manner to the Grants.gov system. You can also find the Education Submission Procedures pertaining to Grants.gov under News and Events on the Department's G5 system home page at </w:t>
      </w:r>
      <w:hyperlink r:id="rId2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4"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one of the program contact people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 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 </w:t>
      </w:r>
      <w:r>
        <w:rPr>
          <w:rFonts w:ascii="arial" w:eastAsia="arial" w:hAnsi="arial" w:cs="arial"/>
          <w:b/>
          <w:i w:val="0"/>
          <w:strike w:val="0"/>
          <w:noProof w:val="0"/>
          <w:color w:val="000000"/>
          <w:position w:val="0"/>
          <w:sz w:val="20"/>
          <w:u w:val="none"/>
          <w:vertAlign w:val="baseline"/>
        </w:rPr>
        <w:t> [*8707]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Pearson Owens, Office of Postsecondary Education, U.S. Department of Education, 400 Maryland Avenue SW., Room 7E311, Washington, DC 20202. FAX: (202) 205-0063.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84.382B),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84.382B),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5"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We will award up to 100 points to an application under the selection criteria; the total possible points for each selection criterion are noted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(Maximum 25 points) The Secretary considers the need for the proposed project. In determining the need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of the need for the services to be provided or the activities to be carried out by the proposed project.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will focus on serving or otherwise addressing the needs of disadvantaged individuals.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specific gaps or weaknesses in services, infrastructure, or opportunities have been identified and will be addressed by the proposed project, including the nature and magnitude of those gaps or weaknesses.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(Maximum 20 points) The Secretary considers the quality of the design of the proposed project. In determining the quality of the design of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design of the proposed project is appropriate to, and will successfully address, the needs of the target population or other identified needs.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services.</w:t>
      </w:r>
      <w:r>
        <w:rPr>
          <w:rFonts w:ascii="arial" w:eastAsia="arial" w:hAnsi="arial" w:cs="arial"/>
          <w:b w:val="0"/>
          <w:i w:val="0"/>
          <w:strike w:val="0"/>
          <w:noProof w:val="0"/>
          <w:color w:val="000000"/>
          <w:position w:val="0"/>
          <w:sz w:val="20"/>
          <w:u w:val="none"/>
          <w:vertAlign w:val="baseline"/>
        </w:rPr>
        <w:t xml:space="preserve"> (Maximum 10 points) The Secretary considers the quality of the services to be provided by the proposed project. In determining the quality of the services to be provided by the proposed project, the Secretary considers the quality and sufficiency of strategies for ensuring equal access and treatment for eligible project participants who are members of groups that have traditionally been underrepresented based on race, color, national origin, gender, age, or disability. In addition,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services to be provided by the proposed project are appropriate to the needs of the intended recipients or beneficiaries of those services.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services to be provided by the proposed project reflect up-to-date knowledge from research and effective practice.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(Maximum 10 points) The Secretary considers the quality of the personnel who will carry out the proposed project.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qualifications, including relevant training and experience, of the project director or principal investigator.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including relevant training and experience, of key project personnel.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Adequacy of resources.</w:t>
      </w:r>
      <w:r>
        <w:rPr>
          <w:rFonts w:ascii="arial" w:eastAsia="arial" w:hAnsi="arial" w:cs="arial"/>
          <w:b w:val="0"/>
          <w:i w:val="0"/>
          <w:strike w:val="0"/>
          <w:noProof w:val="0"/>
          <w:color w:val="000000"/>
          <w:position w:val="0"/>
          <w:sz w:val="20"/>
          <w:u w:val="none"/>
          <w:vertAlign w:val="baseline"/>
        </w:rPr>
        <w:t xml:space="preserve"> (Maximum 5 points) The Secretary considers the adequacy of resources for the proposed project. In determining the adequacy of resources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budget is adequate to support the proposed project.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costs are reasonable in relation to the objectives, design, and potential significance of the proposed project.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(Maximum 15 points) The Secretary considers the quality of the management plan for the proposed project. In determining the quality of the management plan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adequacy of the management plan to achieve the objectives of the proposed project on time and within budget, including clearly defined responsibilities, timelines, and </w:t>
      </w:r>
      <w:r>
        <w:rPr>
          <w:rFonts w:ascii="arial" w:eastAsia="arial" w:hAnsi="arial" w:cs="arial"/>
          <w:b/>
          <w:i w:val="0"/>
          <w:strike w:val="0"/>
          <w:noProof w:val="0"/>
          <w:color w:val="000000"/>
          <w:position w:val="0"/>
          <w:sz w:val="20"/>
          <w:u w:val="none"/>
          <w:vertAlign w:val="baseline"/>
        </w:rPr>
        <w:t> [*8708] </w:t>
      </w:r>
      <w:r>
        <w:rPr>
          <w:rFonts w:ascii="arial" w:eastAsia="arial" w:hAnsi="arial" w:cs="arial"/>
          <w:b w:val="0"/>
          <w:i w:val="0"/>
          <w:strike w:val="0"/>
          <w:noProof w:val="0"/>
          <w:color w:val="000000"/>
          <w:position w:val="0"/>
          <w:sz w:val="20"/>
          <w:u w:val="none"/>
          <w:vertAlign w:val="baseline"/>
        </w:rPr>
        <w:t xml:space="preserve"> milestones for accomplishing project tasks.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procedures for ensuring feedback and continuous improvement in the operation of the proposed project.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mechanisms for ensuring high-quality products and services from the proposed project.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(Maximum 15 points) The Secretary considers the quality of the evaluation to be conducted of the proposed project. In determining the quality of the evaluation,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are thorough, feasible, and appropriate to the goals, objectives, and outcomes of the proposed project.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include the use of objective performance measures that are clearly related to the intended outcomes of the project and will produce quantitative and qualitative data to the extent possible.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provide performance feedback and permit periodic assessment of progress toward achieving intended outcomes.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The awards will be made in rank order according to the average score received from a panel of three readers.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6"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7"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Tie-breaker for Grants.</w:t>
      </w:r>
      <w:r>
        <w:rPr>
          <w:rFonts w:ascii="arial" w:eastAsia="arial" w:hAnsi="arial" w:cs="arial"/>
          <w:b w:val="0"/>
          <w:i w:val="0"/>
          <w:strike w:val="0"/>
          <w:noProof w:val="0"/>
          <w:color w:val="000000"/>
          <w:position w:val="0"/>
          <w:sz w:val="20"/>
          <w:u w:val="none"/>
          <w:vertAlign w:val="baseline"/>
        </w:rPr>
        <w:t xml:space="preserve"> To resolve ties in the reader scores of applications for grants, the Department will award one additional point to an application from an IHE that has an endowment fund for which the current market value, per FTE enrolled student, is less than the average current market value of the endowment funds, per FTE enrolled student, at comparable institutions that offer similar instruction. In addition, to resolve ties in the reader scores of applications for grants, the Department will award one additional point to an application from an IHE that has expenditures for library materials per FTE enrolled student that are less than the average expenditures for library materials per FTE enrolled student at comparable institutions that offer similar instruction. We also will add one additional point to an application from an IHE that proposes to carry out one or more of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Faculty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Funds and administrative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Development and improvement of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Acquisition of equipment for use in strengthening management and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Joint use of facilities;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Student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these funding considerations, we will use the most recent complete data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FY 2016, we will use 2013-2014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tie remains after applying the tie-breaker mechanism above, priority will be given to applicants that have the lowest endowment values per FTE enrolled student.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2"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3"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4"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5"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6"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7"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the following key performance measures for assessing the effectiveness of the AANAPISI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change, over a five-year period, of the number of full-time, degree-seeking undergraduates enrolling at AANAPISIs. Note that this is a long-term measure, which will be used to periodically gauge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of first-time, full-time degree-seeking undergraduate students at four-year AANAPISIs who were in their first year of postsecondary enrollment in the previous year and are enrolled in the current year at the same AANAPISI;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percentage of first-time, full-time degree-seeking undergraduate students at two-year AANAPISIs who were in their first year of postsecondary enrollment in the previous year and are enrolled in the current year at the same AANAPISI;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percentage of first-time, full-time degree-seeking undergraduate students enrolled at four-year AANAPISIs who graduate within six years of enrollment;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percentage of first-time, full-time degree-seeking undergraduate students enrolled at two-year </w:t>
      </w:r>
      <w:r>
        <w:rPr>
          <w:rFonts w:ascii="arial" w:eastAsia="arial" w:hAnsi="arial" w:cs="arial"/>
          <w:b/>
          <w:i w:val="0"/>
          <w:strike w:val="0"/>
          <w:noProof w:val="0"/>
          <w:color w:val="000000"/>
          <w:position w:val="0"/>
          <w:sz w:val="20"/>
          <w:u w:val="none"/>
          <w:vertAlign w:val="baseline"/>
        </w:rPr>
        <w:t> [*8709] </w:t>
      </w:r>
      <w:r>
        <w:rPr>
          <w:rFonts w:ascii="arial" w:eastAsia="arial" w:hAnsi="arial" w:cs="arial"/>
          <w:b w:val="0"/>
          <w:i w:val="0"/>
          <w:strike w:val="0"/>
          <w:noProof w:val="0"/>
          <w:color w:val="000000"/>
          <w:position w:val="0"/>
          <w:sz w:val="20"/>
          <w:u w:val="none"/>
          <w:vertAlign w:val="baseline"/>
        </w:rPr>
        <w:t xml:space="preserve"> AANAPISIs who graduate within three years of enrollment.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8"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7"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Pearson Owens or Don Crews, Office of Postsecondary Education, U.S. Department of Education, 400 Maryland Avenue SW., Room 7E311, Washington, DC 20202. You may contact these individuals at the following email addresses or telephone numbers: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vertAlign w:val="baseline"/>
          </w:rPr>
          <w:t>Pearson.Owens@ed.gov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502-7804</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Don.Crews@ed.gov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502-7574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17,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Lynn Mahaffie,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Policy, Planning and Innovation Delegated the Duties of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2016-03625 Filed 2-19-16;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8702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5K-6FW0-008H-0340-00000-00&amp;context=" TargetMode="External" /><Relationship Id="rId11" Type="http://schemas.openxmlformats.org/officeDocument/2006/relationships/hyperlink" Target="https://advance.lexis.com/api/document?collection=administrative-codes&amp;id=urn:contentItem:5S7T-7HV0-008H-03HM-00000-00&amp;context=" TargetMode="External" /><Relationship Id="rId12" Type="http://schemas.openxmlformats.org/officeDocument/2006/relationships/hyperlink" Target="http://ies.ed.gov/ncee/wwc/DocumentSum.aspx?sid=19" TargetMode="External" /><Relationship Id="rId13" Type="http://schemas.openxmlformats.org/officeDocument/2006/relationships/hyperlink" Target="https://advance.lexis.com/api/document?collection=statutes-legislation&amp;id=urn:contentItem:4YF7-GSN1-NRF4-44N8-00000-00&amp;context=" TargetMode="External" /><Relationship Id="rId14" Type="http://schemas.openxmlformats.org/officeDocument/2006/relationships/hyperlink" Target="https://advance.lexis.com/api/document?collection=administrative-codes&amp;id=urn:contentItem:3SD3-YW50-006X-W4KC-00000-00&amp;context=" TargetMode="External" /><Relationship Id="rId15" Type="http://schemas.openxmlformats.org/officeDocument/2006/relationships/hyperlink" Target="https://advance.lexis.com/api/document?collection=administrative-codes&amp;id=urn:contentItem:5RWB-NH10-008H-04GR-00000-00&amp;context=" TargetMode="External" /><Relationship Id="rId16" Type="http://schemas.openxmlformats.org/officeDocument/2006/relationships/hyperlink" Target="https://advance.lexis.com/api/document?collection=administrative-codes&amp;id=urn:contentItem:5RWB-NH00-008H-040N-00000-00&amp;context=" TargetMode="External" /><Relationship Id="rId17" Type="http://schemas.openxmlformats.org/officeDocument/2006/relationships/hyperlink" Target="mailto:Pearson.Owens@ed.gov" TargetMode="External" /><Relationship Id="rId18" Type="http://schemas.openxmlformats.org/officeDocument/2006/relationships/hyperlink" Target="mailto:Don.Crews@ed.gov" TargetMode="External" /><Relationship Id="rId19" Type="http://schemas.openxmlformats.org/officeDocument/2006/relationships/hyperlink" Target="http://www.Grants.gov" TargetMode="External" /><Relationship Id="rId2" Type="http://schemas.openxmlformats.org/officeDocument/2006/relationships/webSettings" Target="webSettings.xml" /><Relationship Id="rId20" Type="http://schemas.openxmlformats.org/officeDocument/2006/relationships/hyperlink" Target="http://fedgov.dnb.com/webform" TargetMode="External" /><Relationship Id="rId21" Type="http://schemas.openxmlformats.org/officeDocument/2006/relationships/hyperlink" Target="http://www.SAM.gov" TargetMode="External" /><Relationship Id="rId22" Type="http://schemas.openxmlformats.org/officeDocument/2006/relationships/hyperlink" Target="http://www.grants.gov/web/grants/register.html" TargetMode="External" /><Relationship Id="rId23" Type="http://schemas.openxmlformats.org/officeDocument/2006/relationships/hyperlink" Target="http://www.G5.gov" TargetMode="External" /><Relationship Id="rId24" Type="http://schemas.openxmlformats.org/officeDocument/2006/relationships/hyperlink" Target="http://www.grants.gov/web/grants/applicants/apply-for-grants.html" TargetMode="External" /><Relationship Id="rId25" Type="http://schemas.openxmlformats.org/officeDocument/2006/relationships/hyperlink" Target="https://advance.lexis.com/api/document?collection=administrative-codes&amp;id=urn:contentItem:5S7T-7HS0-008H-02VY-00000-00&amp;context=" TargetMode="External" /><Relationship Id="rId26" Type="http://schemas.openxmlformats.org/officeDocument/2006/relationships/hyperlink" Target="https://advance.lexis.com/api/document?collection=administrative-codes&amp;id=urn:contentItem:5GMB-DPB0-008H-02GP-00000-00&amp;context=" TargetMode="External" /><Relationship Id="rId27" Type="http://schemas.openxmlformats.org/officeDocument/2006/relationships/hyperlink" Target="https://advance.lexis.com/api/document?collection=administrative-codes&amp;id=urn:contentItem:5KS0-F5W0-008H-023P-00000-00&amp;context=" TargetMode="External" /><Relationship Id="rId28" Type="http://schemas.openxmlformats.org/officeDocument/2006/relationships/hyperlink" Target="https://advance.lexis.com/api/document?collection=administrative-codes&amp;id=urn:contentItem:5R5H-J1H0-008H-043K-00000-00&amp;context=" TargetMode="External" /><Relationship Id="rId29" Type="http://schemas.openxmlformats.org/officeDocument/2006/relationships/hyperlink" Target="https://advance.lexis.com/api/document?collection=administrative-codes&amp;id=urn:contentItem:5KS0-F5W0-008H-024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600-008H-02PT-00000-00&amp;context=" TargetMode="External" /><Relationship Id="rId31" Type="http://schemas.openxmlformats.org/officeDocument/2006/relationships/hyperlink" Target="https://advance.lexis.com/api/document?collection=administrative-codes&amp;id=urn:contentItem:5KS0-F5W0-008H-025B-00000-00&amp;context=" TargetMode="External" /><Relationship Id="rId32" Type="http://schemas.openxmlformats.org/officeDocument/2006/relationships/hyperlink" Target="https://advance.lexis.com/api/document?collection=administrative-codes&amp;id=urn:contentItem:5HDM-DHF0-008G-Y2NJ-00000-00&amp;context=" TargetMode="External" /><Relationship Id="rId33" Type="http://schemas.openxmlformats.org/officeDocument/2006/relationships/hyperlink" Target="https://advance.lexis.com/api/document?collection=administrative-codes&amp;id=urn:contentItem:5F34-Y1R0-008G-Y1F9-00000-00&amp;context=" TargetMode="External" /><Relationship Id="rId34" Type="http://schemas.openxmlformats.org/officeDocument/2006/relationships/hyperlink" Target="https://advance.lexis.com/api/document?collection=administrative-codes&amp;id=urn:contentItem:5F2R-48P0-008G-Y31V-00000-00&amp;context=" TargetMode="External" /><Relationship Id="rId35" Type="http://schemas.openxmlformats.org/officeDocument/2006/relationships/hyperlink" Target="https://advance.lexis.com/api/document?collection=administrative-codes&amp;id=urn:contentItem:5GMB-DPC0-008H-02S7-00000-00&amp;context=" TargetMode="External" /><Relationship Id="rId36" Type="http://schemas.openxmlformats.org/officeDocument/2006/relationships/hyperlink" Target="https://advance.lexis.com/api/document?collection=administrative-codes&amp;id=urn:contentItem:5GMB-DPC0-008H-02SK-00000-00&amp;context=" TargetMode="External" /><Relationship Id="rId37" Type="http://schemas.openxmlformats.org/officeDocument/2006/relationships/hyperlink" Target="http://www.ed.gov/fund/grant/apply/appforms/appforms.html" TargetMode="External" /><Relationship Id="rId38" Type="http://schemas.openxmlformats.org/officeDocument/2006/relationships/hyperlink" Target="https://advance.lexis.com/api/document?collection=administrative-codes&amp;id=urn:contentItem:5GMB-DPB0-008H-02K8-00000-00&amp;context=" TargetMode="External" /><Relationship Id="rId39" Type="http://schemas.openxmlformats.org/officeDocument/2006/relationships/hyperlink" Target="http://www.gpo.gov/fdsys" TargetMode="External" /><Relationship Id="rId4" Type="http://schemas.openxmlformats.org/officeDocument/2006/relationships/header" Target="header1.xml" /><Relationship Id="rId40" Type="http://schemas.openxmlformats.org/officeDocument/2006/relationships/hyperlink" Target="http://www.federalregister.gov" TargetMode="Externa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4V-8PM0-006W-827M-00000-00&amp;context=" TargetMode="External" /><Relationship Id="rId8" Type="http://schemas.openxmlformats.org/officeDocument/2006/relationships/hyperlink" Target="https://advance.lexis.com/api/document?collection=administrative-codes&amp;id=urn:contentItem:5DT7-0130-006W-81YP-00000-00&amp;context="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73818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71568893</vt:lpwstr>
  </property>
  <property fmtid="{D5CDD505-2E9C-101B-9397-08002B2CF9AE}" pid="3" name="LADocCount">
    <vt:lpwstr>1</vt:lpwstr>
  </property>
  <property fmtid="{D5CDD505-2E9C-101B-9397-08002B2CF9AE}" pid="4" name="UserPermID">
    <vt:lpwstr>urn:user:PA185916758</vt:lpwstr>
  </property>
</Properties>
</file>