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88716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236, Thursday, December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88716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December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The NASDAQ Stock Market LLC; Notice of Filing and Immediate Effectiveness of Proposed Rule Change To Amend the Exchange's Transaction Fees at Rule 7047</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34-79456; File No. SR-NASDAQ-2016-162]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("Act"), n1 and Rule 19b-4 thereunder, n2 notice is hereby given that, on November 21, 2016, The NASDAQ Stock Market LLC ("Nasdaq" or "Exchange") filed with the Securities and Exchange Commission ("SEC" or "Commission") the proposed rule change as described in Items I, II, and III below, which Items have been prepared by the Exchange.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Exchange's data fees at Rule 7047 to: (i) Reduce the enterprise license fee for Nasdaq Basic from $ 350,000 to $ 100,000 per month for broker-dealers distributing Nasdaq Basic to Non-Professional and Professional Subscribers with whom the broker-dealer has a brokerage relationship; and (ii) eliminate a requirement that broker-dealers purchase other products--specifically, Nasdaq Last Sale and Nasdaq TotalView/OpenView--to qualify for the license. The Exchange also proposes a number of conforming changes: (1) To clarify which Subscribers may receive the data; (2) to limit the use of the data by Professional Subscribers; and (3) to specify that each electronic system used to distribute data under the enterprise license must be separately approved. The proposal is described in further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amendments are effective upon filing.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on the Exchange's Web site at </w:t>
      </w:r>
      <w:hyperlink r:id="rId10" w:history="1">
        <w:r>
          <w:rPr>
            <w:rFonts w:ascii="arial" w:eastAsia="arial" w:hAnsi="arial" w:cs="arial"/>
            <w:b w:val="0"/>
            <w:i/>
            <w:strike w:val="0"/>
            <w:noProof w:val="0"/>
            <w:color w:val="0077CC"/>
            <w:position w:val="0"/>
            <w:sz w:val="20"/>
            <w:u w:val="single"/>
            <w:vertAlign w:val="baseline"/>
          </w:rPr>
          <w:t>http://nasdaq.cchwallstreet.com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 </w:t>
      </w:r>
      <w:r>
        <w:rPr>
          <w:rFonts w:ascii="arial" w:eastAsia="arial" w:hAnsi="arial" w:cs="arial"/>
          <w:b/>
          <w:i w:val="0"/>
          <w:strike w:val="0"/>
          <w:noProof w:val="0"/>
          <w:color w:val="000000"/>
          <w:position w:val="0"/>
          <w:sz w:val="20"/>
          <w:u w:val="none"/>
          <w:vertAlign w:val="baseline"/>
        </w:rPr>
        <w:t> [*88717]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proposed rule change is to: (i) Reduce the enterprise license fee for Nasdaq Basic from $ 350,000 to $ 100,000 per month for broker-dealers distributing Nasdaq Basic to Professional and Non-Professional Subscribers with whom the broker-dealer has a brokerage relationship; and (ii) eliminate the requirement that broker-dealers purchase other products--specifically, Nasdaq Last Sale and Nasdaq TotalView/OpenView--to qualify for the license. To clarify how to apply the proposed fee reduction, the Exchange is also proposing language specifying that Subscribers must be natural persons; limiting use of the data by Professional Subscribers to their brokerage relationships with the broker-dealer; and requiring that each electronic system used to distribute data from the enterprise license be separately approved by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Nasdaq Basic Enterprise License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Basic provides best bid and offer and last sale information from the Nasdaq Market Center and from the FINRA/Nasdaq Trade Reporting Facility ("FINRA/NASDAQ TRF"). Data is taken from three sources, which may be purchased individually or in combination: (i) Nasdaq Basic for Nasdaq, which contains the best bid and offer on the Nasdaq Market Center and last sale trade reports for Nasdaq and the FINRA/Nasdaq TRF for Nasdaq-listed stocks; (ii) Nasdaq Basic for NYSE, which contains the best bid and offer on the Nasdaq Market Center and last sale trade reports for Nasdaq and the FINRA/Nasdaq TRF for NYSE-listed stocks; and (iii) Nasdaq Basic for NYSE MKT, which contains the best bid and offer on the Nasdaq Market Center and last sale trade reports for Nasdaq and the FINRA/Nasdaq TRF for stocks listed on NYSE MKT and other listing venues whose quotes and trade reports are disseminated on Tape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Nasdaq Basic may be purchased through per-subscriber monthly charges, per-query fees, or, for broker-dealers, monthly enterprise licenses. These monthly enterprise licenses are available in two types: An internal license for Professional Subscribers, and a license for Non-Professional and Professional Subscribers with whom the broker-dealer has a brokerage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type of license, for Professional and Non-Professional Subscribers in a brokerage relationship with the broker-dealer, is currently available for $ 350,000 per month. To qualify for this license, the broker-dealer must also: (i) Distribute Nasdaq Last Sale for Nasdaq or Nasdaq Last Sale for NYSE/NYSE MKT via an internet-based electronic system approved by Nasdaq pursuant to Rule 7039(b)(2)(B), at a level that allows it to qualify for the fee cap provided for in Rule 7039(b); (ii) distribute Nasdaq TotalView or Nasdaq OpenView data under an enterprise license pursuant to Rule 7023(c)(1); and (iii) pay the Distributor Fee for Nasdaq Basic under paragraph [sic] (c)(1) or for Nasdaq Last Sale under Rule 7039(c). The electronic system used to distribute Nasdaq Basic must be approved by Nasdaq, and the broker-dealer must report the number of Subscribers at least once per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(i) Reducing the enterprise license fee for Nasdaq Basic from $ 350,000 to $ 100,000 per month for broker-dealers distributing Nasdaq Basic to Non-Professional and Professional Subscribers with whom the broker-dealer has a brokerage relationship; and (ii) eliminating the two requirements that the purchaser distribute Nasdaq Last Sale for Nasdaq or Nasdaq Last Sale for NYSE/NYSE MKT at a level that allows it to qualify for the fee cap provided for in Rule 7039(b), and distribute Nasdaq TotalView or Nasdaq OpenView data under an enterprise license pursuant to Rule 7023(c)(1). The proposed changes will promote the use of Nasdaq Basic by lowering its cost to investors and broadening the scope of its distribution to the investing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also proposes three conforming changes to clarify how to apply the proposed fee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although the term "Professional Subscribers" is defined elsewhere in the rule to include legal entities that are not natural persons, the enterprise license set forth under Rule 7047(b)(5) may not be used to provide information to any business or other entity that is not a natural person. This is a clarification of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Professional Subscribers may use the data obtained through this license only in the context of the brokerage relationship between the Professional Subscriber and the broker-dealer, and may not use such data within the scope of any professional engagement or registration identified in Rule 7047(d)(3)(A). Specifically, a Professional Subscriber may not use that data in his or her capacity as a person who is: (i) Registered or qualified in any capacity with the Commission, the Commodity Futures Trading Commission, any state securities agency, or any securities exchange or association; (ii) engaged as an investment adviser' as that term is defined in Section 201(11) of the Investment Advisers Act of 1940 (whether or not registered or qualified under that Act); or (iii) employed by a bank or other organization exempt from registration under federal or state securities laws to perform functions that would require registration or qualification if such functions were performed for an organization not so exempt. n3 Professional Subscribers who use Nasdaq Basic in the course of their professional duties will be charged for such usage as appropriate, based on the service(s) used. This clarifying language does not change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phrase "any commodities or futures contract market or association" has been deleted from this summary of Rule 7047(d)(3)(A) as unduly repetitive. Only natural persons may be Subscribers under this rule. A "commodities or futures contract market or association" is not a natural person, and therefore is not eligible to receive information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if more than one electronic system is used to distribute information under this license, each such system must be separately approved by the Exchange. In addition, the approved electronic systems may be used to distribute information to any customer eligible to receive such information under this rule. Prior language limiting distribution to employees of the broker-dealer is deleted. Language is also added to clarify that the broker-dealer must pay for any Nasdaq Last Sale data distributed under Rule 7039(c), if the broker-dealer elects to distribute such data. None of these proposed modifications represent a change from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enterprise license fee is entirely optional, in that it applies only to broker-dealers that opt to distribute Nasdaq Basic to Professional and Non-Professional Subscribers as described herein. n4 It does not impact or raise the cost of any other Nasdaq product, and in fact serves to decrease the cost of Nasdaq Basic in instances where a broker-dealer elects to purchase this license.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Nasdaq notes, moreover, that no broker-dealer may provide, in a context in which a trading or order-routing decision can be implemented, a display of any information with respect to quotations for or transactions in an NMS stock without also providing, in an equivalent manner, a consolidated display for such stock. </w:t>
      </w:r>
      <w:hyperlink r:id="rId11" w:history="1">
        <w:r>
          <w:rPr>
            <w:rFonts w:ascii="arial" w:eastAsia="arial" w:hAnsi="arial" w:cs="arial"/>
            <w:b w:val="0"/>
            <w:i/>
            <w:strike w:val="0"/>
            <w:noProof w:val="0"/>
            <w:color w:val="0077CC"/>
            <w:position w:val="0"/>
            <w:sz w:val="20"/>
            <w:u w:val="single"/>
            <w:vertAlign w:val="baseline"/>
          </w:rPr>
          <w:t>17 CFR 242.603(c)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its proposal is consistent with Section 6(b) </w:t>
      </w:r>
      <w:r>
        <w:rPr>
          <w:rFonts w:ascii="arial" w:eastAsia="arial" w:hAnsi="arial" w:cs="arial"/>
          <w:b/>
          <w:i w:val="0"/>
          <w:strike w:val="0"/>
          <w:noProof w:val="0"/>
          <w:color w:val="000000"/>
          <w:position w:val="0"/>
          <w:sz w:val="20"/>
          <w:u w:val="none"/>
          <w:vertAlign w:val="baseline"/>
        </w:rPr>
        <w:t> [*88718] </w:t>
      </w:r>
      <w:r>
        <w:rPr>
          <w:rFonts w:ascii="arial" w:eastAsia="arial" w:hAnsi="arial" w:cs="arial"/>
          <w:b w:val="0"/>
          <w:i w:val="0"/>
          <w:strike w:val="0"/>
          <w:noProof w:val="0"/>
          <w:color w:val="000000"/>
          <w:position w:val="0"/>
          <w:sz w:val="20"/>
          <w:u w:val="none"/>
          <w:vertAlign w:val="baseline"/>
        </w:rPr>
        <w:t xml:space="preserve"> of the Act, n5 in general, and furthers the objectives of Sections 6(b)(4) and 6(b)(5) of the Act, n6 in particular, in that it provides for the equitable allocation of reasonable dues, fees and other charges among members and issuers and other persons using any facility, and is not designed to permit unfair discrimination between customers, issuers, brokers, or dealers.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2"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1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and the courts have repeatedly expressed their preference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over regulatory intervention in determining prices, products, and services in the securities markets.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while adopting a series of steps to improve the current market model, the Commission highlighted the importance of market forces in determining prices and SRO revenues, and also recognized that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market system "has been remarkably successful in promoting 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its broader forms that are most important to investors and listed companies."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Securities Exchange Act Release No. 51808 (June 9, 2005), </w:t>
      </w:r>
      <w:hyperlink r:id="rId13" w:history="1">
        <w:r>
          <w:rPr>
            <w:rFonts w:ascii="arial" w:eastAsia="arial" w:hAnsi="arial" w:cs="arial"/>
            <w:b w:val="0"/>
            <w:i/>
            <w:strike w:val="0"/>
            <w:noProof w:val="0"/>
            <w:color w:val="0077CC"/>
            <w:position w:val="0"/>
            <w:sz w:val="20"/>
            <w:u w:val="single"/>
            <w:vertAlign w:val="baseline"/>
          </w:rPr>
          <w:t>70 FR 37496, 37499</w:t>
        </w:r>
      </w:hyperlink>
      <w:r>
        <w:rPr>
          <w:rFonts w:ascii="arial" w:eastAsia="arial" w:hAnsi="arial" w:cs="arial"/>
          <w:b w:val="0"/>
          <w:i w:val="0"/>
          <w:strike w:val="0"/>
          <w:noProof w:val="0"/>
          <w:color w:val="000000"/>
          <w:position w:val="0"/>
          <w:sz w:val="20"/>
          <w:u w:val="none"/>
          <w:vertAlign w:val="baseline"/>
        </w:rPr>
        <w:t xml:space="preserve"> (June 29, 2005)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in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Securities and Exchange Commission</w:t>
      </w:r>
      <w:r>
        <w:rPr>
          <w:rFonts w:ascii="arial" w:eastAsia="arial" w:hAnsi="arial" w:cs="arial"/>
          <w:b w:val="0"/>
          <w:i w:val="0"/>
          <w:strike w:val="0"/>
          <w:noProof w:val="0"/>
          <w:color w:val="000000"/>
          <w:position w:val="0"/>
          <w:sz w:val="20"/>
          <w:u w:val="none"/>
          <w:vertAlign w:val="baseline"/>
        </w:rPr>
        <w:t xml:space="preserve"> n8 ("NetCoalition") the D.C. Circuit upheld the Commission's use of a market-based approach in evaluating the fairness of market data fees against a challenge claiming that Congress mandated a cost-based approach. n9 As the court emphasized, the Commission "intended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that market forces, rather than regulatory requirements' play a role in determining the market data . . . to be made available to investors and at what cost."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4" w:history="1">
        <w:r>
          <w:rPr>
            <w:rFonts w:ascii="arial" w:eastAsia="arial" w:hAnsi="arial" w:cs="arial"/>
            <w:b w:val="0"/>
            <w:i/>
            <w:strike w:val="0"/>
            <w:noProof w:val="0"/>
            <w:color w:val="0077CC"/>
            <w:position w:val="0"/>
            <w:sz w:val="20"/>
            <w:u w:val="single"/>
            <w:vertAlign w:val="baseline"/>
          </w:rPr>
          <w:t>NetCoalition v. SEC, 615 F.3d 525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 NetCoalition,</w:t>
      </w:r>
      <w:r>
        <w:rPr>
          <w:rFonts w:ascii="arial" w:eastAsia="arial" w:hAnsi="arial" w:cs="arial"/>
          <w:b w:val="0"/>
          <w:i w:val="0"/>
          <w:strike w:val="0"/>
          <w:noProof w:val="0"/>
          <w:color w:val="000000"/>
          <w:position w:val="0"/>
          <w:sz w:val="20"/>
          <w:u w:val="none"/>
          <w:vertAlign w:val="baseline"/>
        </w:rPr>
        <w:t xml:space="preserve"> at 534-535.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4" w:history="1">
        <w:r>
          <w:rPr>
            <w:rFonts w:ascii="arial" w:eastAsia="arial" w:hAnsi="arial" w:cs="arial"/>
            <w:b w:val="0"/>
            <w:i/>
            <w:strike w:val="0"/>
            <w:noProof w:val="0"/>
            <w:color w:val="0077CC"/>
            <w:position w:val="0"/>
            <w:sz w:val="20"/>
            <w:u w:val="single"/>
            <w:vertAlign w:val="baseline"/>
          </w:rPr>
          <w:t>Id. at 537.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"[n]o one disputes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is fierce.' . . . As the SEC explained, [i]n the U.S. national market system, buyers and sellers of securities, and the broker-dealers that act as their order-routing agents, have a wide range of choices of where to route orders for execution'; [and] no exchange can afford to take its market share percentages for granted' because no exchange possesses a monopoly, regulatory or otherwise, in the execution of order flow from broker dealers' . . . ."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hyperlink r:id="rId14" w:history="1">
        <w:r>
          <w:rPr>
            <w:rFonts w:ascii="arial" w:eastAsia="arial" w:hAnsi="arial" w:cs="arial"/>
            <w:b w:val="0"/>
            <w:i/>
            <w:strike w:val="0"/>
            <w:noProof w:val="0"/>
            <w:color w:val="0077CC"/>
            <w:position w:val="0"/>
            <w:sz w:val="20"/>
            <w:u w:val="single"/>
            <w:vertAlign w:val="baseline"/>
          </w:rPr>
          <w:t>Id. at 539</w:t>
        </w:r>
      </w:hyperlink>
      <w:r>
        <w:rPr>
          <w:rFonts w:ascii="arial" w:eastAsia="arial" w:hAnsi="arial" w:cs="arial"/>
          <w:b w:val="0"/>
          <w:i w:val="0"/>
          <w:strike w:val="0"/>
          <w:noProof w:val="0"/>
          <w:color w:val="000000"/>
          <w:position w:val="0"/>
          <w:sz w:val="20"/>
          <w:u w:val="none"/>
          <w:vertAlign w:val="baseline"/>
        </w:rPr>
        <w:t xml:space="preserve"> (quoting Securities Exchange Act Release No. 59039 (December 2, 2008), </w:t>
      </w:r>
      <w:hyperlink r:id="rId15" w:history="1">
        <w:r>
          <w:rPr>
            <w:rFonts w:ascii="arial" w:eastAsia="arial" w:hAnsi="arial" w:cs="arial"/>
            <w:b w:val="0"/>
            <w:i/>
            <w:strike w:val="0"/>
            <w:noProof w:val="0"/>
            <w:color w:val="0077CC"/>
            <w:position w:val="0"/>
            <w:sz w:val="20"/>
            <w:u w:val="single"/>
            <w:vertAlign w:val="baseline"/>
          </w:rPr>
          <w:t>73 FR 74770, 74782-83</w:t>
        </w:r>
      </w:hyperlink>
      <w:r>
        <w:rPr>
          <w:rFonts w:ascii="arial" w:eastAsia="arial" w:hAnsi="arial" w:cs="arial"/>
          <w:b w:val="0"/>
          <w:i w:val="0"/>
          <w:strike w:val="0"/>
          <w:noProof w:val="0"/>
          <w:color w:val="000000"/>
          <w:position w:val="0"/>
          <w:sz w:val="20"/>
          <w:u w:val="none"/>
          <w:vertAlign w:val="baseline"/>
        </w:rPr>
        <w:t xml:space="preserve"> (December 9, 2008) (SR-NYSEArca-2006-21)).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fee reduction and the elimination of conditions to qualify for the Nasdaq Basic enterprise license under Rule 7047(b)(5) is reasonable. The proposed changes will benefit the investing public by lowering the cost and increasing the availability of information in the marketplace. Moreover, the fees for Nasdaq Basic, like all proprietary data fees, are constrained by the Exchange's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and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other products and among broker-dealers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fee reduction is an equitable allocation and is not unfairly discriminatory because the Exchange will apply the same fee to all similarly situated broker-dealers. Moreover, by allocating the fee reduction to broker-dealers that distribute the product widely among customers, the change will assist in promoting a wider distribution of information to the investing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necessary or appropriate in furtherance of the purposes of the Act. In terms of inter-market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notes that it operates in a highly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 which market participants can readily favor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if they deem fee levels at a particular venue to be excessive, or rebate opportunities available at other venues to be more favorable. In such an environment, the Exchange must continually adjust its fees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other exchanges and with alternative trading systems that have been exempted from compliance with the statutory standards applicable to exchanges. Because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free to modify their own fees in response, and because market participants may readily adjust their order routing practices, the Exchange believes that the degree to which fee changes in this market may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extremely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change will: (i) Reduce the enterprise license fee for Nasdaq Basic from $ 350,000 to $ 100,000 per month for broker-dealers distributing Nasdaq Basic to Non-Professional and Professional Subscribers with whom the broker-dealer has a brokerage relationship; and (ii) eliminate the requirement that broker-dealers purchase other products--specifically, Last Sale for Nasdaq or Last Sale for NYSE/NYSE MKT, and TotalView or OpenView--to qualify for the license. This will reduce the cost of Nasdaq Basic to investors, resulting in information becoming more widely available to the investing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illustrated by the proposed fee reduction, market forces constrain fees for Nasdaq Basic. This occurs in three distinct respects. First, all fees related to Nasdaq Basic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attracting order flow. Firms make decisions regarding Nasdaq Basic and other proprietary data based on the total cost of interacting with the Exchange, and order flow would be harmed by the supracompetitive pricing of any proprietary data product. Second, the price of Nasdaq Basic is constrained by the existence of multiple substitutes that are offered, or may be offered, by entities that offer proprietary or non-proprietary data. The proposed price reduction itself provides evidence of the need to maintain low prices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marketplace. Third,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for customers will further constrain the cost of a Nasdaq Basic enterprise license.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Fees related to Nasdaq Basic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and other entities seeking to attract order flow. Order flow is the "life blood" of the exchanges. Broker-dealers currently have numerous alternative venues for their order flow, including thirteen self-regulatory organization ("SRO") markets, as well as internalizing broker-dealers ("BDs") and various forms of alternative trading systems ("ATSs"), including dark pools and electronic communication networks ("ECNs"). Each SRO market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to produce transaction reports via trade executions, and two FINRA-regulated Trade Reporting Facilities ("TRFs")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internalized transaction reports. The existence of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implies a high degree of price sensitivity on the part of BDs, which may readily reduce costs by directing orders toward the lowest-cost trading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for order flow is demonstrated by the numerous examples of entrants that swiftly grew into some of the largest electronic trading platforms and proprietary data producers: Archipelago, Bloomberg Tradebook, Island, RediBook, Attain, TracECN, BATS Trading and BATS/Direct Edge. A proliferation of dark pools and other ATSs operate profitably with fragmentary shares of consolidated market volume. For a variety of reasons,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new entrants, especially for order execution, has </w:t>
      </w:r>
      <w:r>
        <w:rPr>
          <w:rFonts w:ascii="arial" w:eastAsia="arial" w:hAnsi="arial" w:cs="arial"/>
          <w:b/>
          <w:i w:val="0"/>
          <w:strike w:val="0"/>
          <w:noProof w:val="0"/>
          <w:color w:val="000000"/>
          <w:position w:val="0"/>
          <w:sz w:val="20"/>
          <w:u w:val="none"/>
          <w:vertAlign w:val="baseline"/>
        </w:rPr>
        <w:t> [*88719] </w:t>
      </w:r>
      <w:r>
        <w:rPr>
          <w:rFonts w:ascii="arial" w:eastAsia="arial" w:hAnsi="arial" w:cs="arial"/>
          <w:b w:val="0"/>
          <w:i w:val="0"/>
          <w:strike w:val="0"/>
          <w:noProof w:val="0"/>
          <w:color w:val="000000"/>
          <w:position w:val="0"/>
          <w:sz w:val="20"/>
          <w:u w:val="none"/>
          <w:vertAlign w:val="baseline"/>
        </w:rPr>
        <w:t xml:space="preserve"> increased dramatically over the last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SRO, TRF, ATS, and BD that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for order flow is permitted to produce proprietary data products. Many currently do or have announced plans to do so, including NYSE, NYSE Amex, NYSE Arca, BATS, and IEX. This is because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deregulated the market for proprietary data. While BDs had previously published their proprietary data individually,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encourages market data vendors and BDs to produce proprietary products cooperatively in a manner never before possible. Order routers and market data vendors can facilitate production of proprietary data products for single or multiple BDs. The potential sources of proprietary products are virtually limitless.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markets for order flow and proprietary data are inextricably linked: a trading platform cannot generate market information unless it receives trade orders. As a result,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constrains the prices that platforms can charge for proprietary data products. Firms make decisions on how much and what types of data to consume based on the total cost of interacting with Nasdaq and other exchanges. Data fees are but one factor in a total platform analysis. If the cost of the product exceeds its expected value, the broker-dealer will choose not to buy it. A supracompetitive increase in the fees charged for either transactions or proprietary data has the potential to impair revenues from both products. In this manner,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will constrain prices for proprietary data products, including charges relating to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data derived from Nasdaq Basic is constrained by the existence of multiple substitutes offered by numerous entities, including both proprietary data offered by other SROs or other entities, and non-proprietary data disseminated by Securities Information Processors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provided through Nasdaq Basic is a subset of the best bid and offer and last sale data provided by the SIPs. The "core" data disseminated by the SIP consists of best-price quotations and last sale information from all markets in U.S.-listed equities; Nasdaq Basic provides best bid and offer and last sale information for all U.S. exchange-listed stocks based on trade reports from the Nasdaq Market Center and the FINRA/Nasdaq Trade Reporting Facility. Many customers that purchase SIP data do not also purchase Nasdaq Basic because they are closely related products. In cases where customers buy both products, they may shift the extent to which they purchase one or the other based on price changes. The SIP constrains the price of Nasdaq Basic because no purchaser would pay an excessive price for Nasdaq Basic when similar data is also available from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Proprietary data sold by other exchanges also constrain the price of Nasdaq Basic. NYSE and BATS, like Nasdaq, sell proprietary non-core data that include best bid and offer and last sale data. Customers do not typically purchase proprietary best bid and offer and last sale data from multiple exchanges. Other proprietary data products constrain the price of Nasdaq Basic because no customer would pay an excessive price for Nasdaq Basic when substitute data is available from other proprietary sources.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enterprise license at issue is sold for use by the customers of a broker-dealer. There is no legal or regulatory requirement that such customers have direct access to data feeds containing best bid and offer or last sale information through Nasdaq Basic. If the price of the enterprise license were to be set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the broker-dealer purchasing that license would be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relative to broker-dealers purchasing an alternative product as well as broker-dealers not purchasing any comparable product at all. As such, the broker-dealer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would either purchase a substitute or forego the product altogether.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for customers thereby provides yet another check on the price for Nasdaq Basic.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proposed rule change lowers the cost of Nasdaq Basic and broadens its availability to the investing public. Market forces constrain the Nasdaq Basic enterprise license through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substitute products, and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for customers. For these reasons, the Exchange has provided a substantial basis demonstrating that the fee is equitable, fair, reasonable, and not unreasonably discriminatory, and therefore consistent with and in furtherance of the purposes of the Exchange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either solicited or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19(b)(3)(A)(ii) of the Act.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8" w:history="1">
        <w:r>
          <w:rPr>
            <w:rFonts w:ascii="arial" w:eastAsia="arial" w:hAnsi="arial" w:cs="arial"/>
            <w:b w:val="0"/>
            <w:i/>
            <w:strike w:val="0"/>
            <w:noProof w:val="0"/>
            <w:color w:val="0077CC"/>
            <w:position w:val="0"/>
            <w:sz w:val="20"/>
            <w:u w:val="single"/>
            <w:vertAlign w:val="baseline"/>
          </w:rPr>
          <w:t>15 U.S.C. 78s(b)(3)(A)(ii)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the proposed rule change, the Commission summarily may temporarily suspend such rule change if it appears to the Commission that such action is: (i) Necessary or appropriate in the public interest; (ii) for the protection of investors; or (iii) otherwise in furtherance of the purposes of the Act. If the Commission takes such action, the Commission shall institute proceedings to determine whether the proposed rule should be approved or disapproved.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1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17"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SR-NASDAQ-2016-162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SR-NASDAQ-2016-162. This file number should be included on the subject line if email is used. To help the Commission process and review your comments more efficiently, please use only one method. The Commission will post all comments on the Commission's Internet Web site (</w:t>
      </w:r>
      <w:hyperlink r:id="rId16"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w:t>
      </w:r>
      <w:r>
        <w:rPr>
          <w:rFonts w:ascii="arial" w:eastAsia="arial" w:hAnsi="arial" w:cs="arial"/>
          <w:b/>
          <w:i w:val="0"/>
          <w:strike w:val="0"/>
          <w:noProof w:val="0"/>
          <w:color w:val="000000"/>
          <w:position w:val="0"/>
          <w:sz w:val="20"/>
          <w:u w:val="none"/>
          <w:vertAlign w:val="baseline"/>
        </w:rPr>
        <w:t> [*88720] </w:t>
      </w:r>
      <w:r>
        <w:rPr>
          <w:rFonts w:ascii="arial" w:eastAsia="arial" w:hAnsi="arial" w:cs="arial"/>
          <w:b w:val="0"/>
          <w:i w:val="0"/>
          <w:strike w:val="0"/>
          <w:noProof w:val="0"/>
          <w:color w:val="000000"/>
          <w:position w:val="0"/>
          <w:sz w:val="20"/>
          <w:u w:val="none"/>
          <w:vertAlign w:val="baseline"/>
        </w:rPr>
        <w:t xml:space="preserve">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SR-NASDAQ-2016-162, and should be submitted on or before December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18"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2016-29386 Filed 12-7-16;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88716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nasdaq.cchwallstreet.com" TargetMode="External" /><Relationship Id="rId11" Type="http://schemas.openxmlformats.org/officeDocument/2006/relationships/hyperlink" Target="https://advance.lexis.com/api/document?collection=administrative-codes&amp;id=urn:contentItem:5MJ8-4SN0-008G-Y35P-00000-00&amp;context=" TargetMode="External" /><Relationship Id="rId12" Type="http://schemas.openxmlformats.org/officeDocument/2006/relationships/hyperlink" Target="https://advance.lexis.com/api/document?collection=statutes-legislation&amp;id=urn:contentItem:4YF7-GPC1-NRF4-4309-00000-00&amp;context=" TargetMode="External" /><Relationship Id="rId13" Type="http://schemas.openxmlformats.org/officeDocument/2006/relationships/hyperlink" Target="https://advance.lexis.com/api/document?collection=administrative-codes&amp;id=urn:contentItem:4GH9-4PB0-014W-D1VJ-00000-00&amp;context=" TargetMode="External" /><Relationship Id="rId14" Type="http://schemas.openxmlformats.org/officeDocument/2006/relationships/hyperlink" Target="https://advance.lexis.com/api/document?collection=cases&amp;id=urn:contentItem:803V-DT30-YB0V-T01B-00000-00&amp;context=" TargetMode="External" /><Relationship Id="rId15" Type="http://schemas.openxmlformats.org/officeDocument/2006/relationships/hyperlink" Target="https://advance.lexis.com/api/document?collection=administrative-codes&amp;id=urn:contentItem:4V3T-8BP0-006W-834G-00000-00&amp;context=" TargetMode="External" /><Relationship Id="rId16" Type="http://schemas.openxmlformats.org/officeDocument/2006/relationships/hyperlink" Target="http://www.sec.gov/rules/sro.shtml" TargetMode="External" /><Relationship Id="rId17" Type="http://schemas.openxmlformats.org/officeDocument/2006/relationships/hyperlink" Target="mailto:rule-comments@sec.gov" TargetMode="External" /><Relationship Id="rId18" Type="http://schemas.openxmlformats.org/officeDocument/2006/relationships/hyperlink" Target="https://advance.lexis.com/api/document?collection=administrative-codes&amp;id=urn:contentItem:5SPP-2120-008G-Y2ND-00000-00&amp;context="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BN-PG70-006W-83YY-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4092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71569687</vt:lpwstr>
  </property>
  <property fmtid="{D5CDD505-2E9C-101B-9397-08002B2CF9AE}" pid="3" name="LADocCount">
    <vt:lpwstr>1</vt:lpwstr>
  </property>
  <property fmtid="{D5CDD505-2E9C-101B-9397-08002B2CF9AE}" pid="4" name="UserPermID">
    <vt:lpwstr>urn:user:PA185916758</vt:lpwstr>
  </property>
</Properties>
</file>