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89911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239, Tuesday, December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89911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Magnet Schools Assistance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Magnet Schools Assistance Program (MSAP)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84.165A.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TTY, call the FRS,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2016-29907 Filed 12-12-16;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Department of Education (Department) intends to hold a Webinar to provide technical assistance to interested applicants. Detailed information </w:t>
      </w:r>
      <w:r>
        <w:rPr>
          <w:rFonts w:ascii="arial" w:eastAsia="arial" w:hAnsi="arial" w:cs="arial"/>
          <w:b/>
          <w:i w:val="0"/>
          <w:strike w:val="0"/>
          <w:noProof w:val="0"/>
          <w:color w:val="000000"/>
          <w:position w:val="0"/>
          <w:sz w:val="20"/>
          <w:u w:val="none"/>
          <w:vertAlign w:val="baseline"/>
        </w:rPr>
        <w:t> [*89912] </w:t>
      </w:r>
      <w:r>
        <w:rPr>
          <w:rFonts w:ascii="arial" w:eastAsia="arial" w:hAnsi="arial" w:cs="arial"/>
          <w:b w:val="0"/>
          <w:i w:val="0"/>
          <w:strike w:val="0"/>
          <w:noProof w:val="0"/>
          <w:color w:val="000000"/>
          <w:position w:val="0"/>
          <w:sz w:val="20"/>
          <w:u w:val="none"/>
          <w:vertAlign w:val="baseline"/>
        </w:rPr>
        <w:t xml:space="preserve"> regarding this Webinar will be provided on the MSAP Web site at </w:t>
      </w:r>
      <w:hyperlink r:id="rId10" w:history="1">
        <w:r>
          <w:rPr>
            <w:rFonts w:ascii="arial" w:eastAsia="arial" w:hAnsi="arial" w:cs="arial"/>
            <w:b w:val="0"/>
            <w:i/>
            <w:strike w:val="0"/>
            <w:noProof w:val="0"/>
            <w:color w:val="0077CC"/>
            <w:position w:val="0"/>
            <w:sz w:val="20"/>
            <w:u w:val="single"/>
            <w:vertAlign w:val="baseline"/>
          </w:rPr>
          <w:t>http://innovation.ed.gov/what-we-do/parental-options/magnet-school-assistance-program-msap/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recording of this Webinar will be available on the Web site following the session.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MSAP, authorized under Title IV, Part D of the Elementary and Secondary Education Act (ESEA), as amended by the Every Student Succeeds Act (ESSA), provides grants to local educational agencies (LEAs) and consortia of LEAs to support magnet schools under an approved, required or voluntary, desegregation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ESSA amended the MSAP in several important ways. To better support the development and implementation of magnet schools that increase racial integration and promote academic opportunity and excellence, the ESSA amended the MSAP to prioritize the creation and replication of evidence-based magnet programs and magnet schools that seek to reduce, eliminate, or prevent minority group isolation by taking into account socioeconomic diversity. To assist LEAs with improving access to magnet schools, under the program as reauthorized by the ESSA, MSAP funds may now be used to support student transportation, provided the transportation costs are sustainable and the costs do not constitute a significant portion of grant funds. Additionally, the reauthorized MSAP extends the grant term from three years to up to five years, and increases the maximum cumulative grant award from $ 12 million to $ 15 million to each grantee over the course of its project. Grantees must use grant funds for activities intended to improve students' academic achievement, including acquiring books, materials, technology, and equipment to support a rigorous, theme-based academic program; conducting planning and promotional activities; providing professional development opportunities for teachers to implement the academic program; and paying the salaries of effective teachers and other instructional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MSAP seeks to reduce minority group isolation by funding projects in LEAs or consortia of LEAs that propose to implement magnet schools with academically challenging, innovative instructional approaches or specialized curricula "designed to bring students from different social, economic, ethnic, and racial backgrounds together." n1 Unique to many of these schools is the implementation of high-demand, industry-specific themes, using sophisticated technology and curricula.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1" w:history="1">
        <w:r>
          <w:rPr>
            <w:rFonts w:ascii="arial" w:eastAsia="arial" w:hAnsi="arial" w:cs="arial"/>
            <w:b w:val="0"/>
            <w:i/>
            <w:strike w:val="0"/>
            <w:noProof w:val="0"/>
            <w:color w:val="0077CC"/>
            <w:position w:val="0"/>
            <w:sz w:val="20"/>
            <w:u w:val="single"/>
            <w:vertAlign w:val="baseline"/>
          </w:rPr>
          <w:t>20 U.S.C. 7231</w:t>
        </w:r>
      </w:hyperlink>
      <w:r>
        <w:rPr>
          <w:rFonts w:ascii="arial" w:eastAsia="arial" w:hAnsi="arial" w:cs="arial"/>
          <w:b w:val="0"/>
          <w:i w:val="0"/>
          <w:strike w:val="0"/>
          <w:noProof w:val="0"/>
          <w:color w:val="000000"/>
          <w:position w:val="0"/>
          <w:sz w:val="20"/>
          <w:u w:val="none"/>
          <w:vertAlign w:val="baseline"/>
        </w:rPr>
        <w:t>(b)(2).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MSAP grantees have experienced both successes and challenges. Some grantees have effectively diversified their schools, while other grantees have struggled to meet their desegregation goals. Similar to the disparity in grantees' results related to desegregation efforts, significant variations in grantees' ability to increase academic achievement have emerged. n2 As such,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emphasize programs that show promise of promoting academic achievement and desegregation (primarily through the use of selection criteria focused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Walton, M., Silva, B., and Ford, E. (2016). </w:t>
      </w:r>
      <w:r>
        <w:rPr>
          <w:rFonts w:ascii="arial" w:eastAsia="arial" w:hAnsi="arial" w:cs="arial"/>
          <w:b w:val="0"/>
          <w:i/>
          <w:strike w:val="0"/>
          <w:noProof w:val="0"/>
          <w:color w:val="000000"/>
          <w:position w:val="0"/>
          <w:sz w:val="20"/>
          <w:u w:val="none"/>
          <w:vertAlign w:val="baseline"/>
        </w:rPr>
        <w:t>Magnet Schools Assistance Program FY 2013 Cohort Characteristics and Government Performance and Results Act Data Report for Performance Year 2.</w:t>
      </w:r>
      <w:r>
        <w:rPr>
          <w:rFonts w:ascii="arial" w:eastAsia="arial" w:hAnsi="arial" w:cs="arial"/>
          <w:b w:val="0"/>
          <w:i w:val="0"/>
          <w:strike w:val="0"/>
          <w:noProof w:val="0"/>
          <w:color w:val="000000"/>
          <w:position w:val="0"/>
          <w:sz w:val="20"/>
          <w:u w:val="none"/>
          <w:vertAlign w:val="baseline"/>
        </w:rPr>
        <w:t xml:space="preserve"> U.S. Department of Education,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part of the program's focus on improving academic achievement and reducing minority group isolation, we include the program's new statutory priority to give a preference to applicants that propose to increase racial integration by taking into account socioeconomic diversity in designing and implementing magnet programs. The socioeconomic make-up of the school is one of the strongest predictors of whether or not a student will succeed academically. Moreover, the social benefits of attending an integrated school also contribute to improved academic and life outcomes for students. n3 As of 2011, almost half of public elementary school students attend schools where most of the students are from lower-income households, and black and Latino students are disproportionately concentrated in these schools in almost every State. n4 In this year's MSAP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encourage applicants to propose a range of activities that incorporate a focus on socioeconomic diversity, including establishing and participating in a voluntary, inter-district transfer program for students from varied neighborhoods; making strategic decisions regarding magnet school sites to maximize the potential diversity (socioeconomically and otherwise) of the school given the schools' neighboring communities; revising school boundaries, attendance zones, or feeder patterns to take into account residential segregation or other related issues; and the formally merging of or coordinating among multiple educational jurisdictions in order to pool resources, provide transportation, and expand high-quality public school options for lower-income students. Applicants that choose to address this priority should identify the criteria they intend to use to determine students' socioeconomic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family income, education level, other factors, or a combination thereof) and clearly describe and support how their approach to incorporating socioeconomic diversity is part of their overall effort to eliminate, reduce, or prevent minority group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Coleman, James. "Equality and Educational Opportunity." </w:t>
      </w:r>
      <w:r>
        <w:rPr>
          <w:rFonts w:ascii="arial" w:eastAsia="arial" w:hAnsi="arial" w:cs="arial"/>
          <w:b w:val="0"/>
          <w:i/>
          <w:strike w:val="0"/>
          <w:noProof w:val="0"/>
          <w:color w:val="000000"/>
          <w:position w:val="0"/>
          <w:sz w:val="20"/>
          <w:u w:val="none"/>
          <w:vertAlign w:val="baseline"/>
        </w:rPr>
        <w:t>Does Segregation Still Matter,</w:t>
      </w:r>
      <w:r>
        <w:rPr>
          <w:rFonts w:ascii="arial" w:eastAsia="arial" w:hAnsi="arial" w:cs="arial"/>
          <w:b w:val="0"/>
          <w:i w:val="0"/>
          <w:strike w:val="0"/>
          <w:noProof w:val="0"/>
          <w:color w:val="000000"/>
          <w:position w:val="0"/>
          <w:sz w:val="20"/>
          <w:u w:val="none"/>
          <w:vertAlign w:val="baseline"/>
        </w:rPr>
        <w:t xml:space="preserve"> Russell Rumberger and Gregory Palardy, 2005, 1999-2045.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Susan Aud et al., </w:t>
      </w:r>
      <w:r>
        <w:rPr>
          <w:rFonts w:ascii="arial" w:eastAsia="arial" w:hAnsi="arial" w:cs="arial"/>
          <w:b w:val="0"/>
          <w:i/>
          <w:strike w:val="0"/>
          <w:noProof w:val="0"/>
          <w:color w:val="000000"/>
          <w:position w:val="0"/>
          <w:sz w:val="20"/>
          <w:u w:val="none"/>
          <w:vertAlign w:val="baseline"/>
        </w:rPr>
        <w:t>The Condition of Education 2011</w:t>
      </w:r>
      <w:r>
        <w:rPr>
          <w:rFonts w:ascii="arial" w:eastAsia="arial" w:hAnsi="arial" w:cs="arial"/>
          <w:b w:val="0"/>
          <w:i w:val="0"/>
          <w:strike w:val="0"/>
          <w:noProof w:val="0"/>
          <w:color w:val="000000"/>
          <w:position w:val="0"/>
          <w:sz w:val="20"/>
          <w:u w:val="none"/>
          <w:vertAlign w:val="baseline"/>
        </w:rPr>
        <w:t xml:space="preserve"> (Washington, DC: U.S. Government Printing Office, 2011), Table A-28-1.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Designing schools that attract and retain a diverse group of students necessitates engagement with their parents, families, and community. For this reason, we encourage applicants to demonstrate ongoing, robust family and community engagement (primarily through the use of a selection criterion focused on this issue). As applicable, each applicant's process for public involvement and consultation should reflect coordination with other relevant government entities, including housing and transportation authorities, given the impact that other public policies, such as housing and transportation, have on the composition of a school's student body. To encourage systemic and timely change, the Department is also interested in proposals that establish new school assignment or admissions policies for schools that seek to increase the number of low-income students they serve through student assignment policies that consider the socioeconomic status of students' households, students residing in neighborhoods experiencing concentrated poverty, and students from low-performing schools (amongst other factors). The Department is further interested in proposals that establish magnet schools at multiple locations within an LEA or consortia of LEAs that vary in terms of the demographics of the surrounding neighborhoods to increase opportunities for all students to attend high-quality magnet schools without placing the majority of the transportation burden on students of color. Such proposals should be addressed in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also aims to improve </w:t>
      </w:r>
      <w:r>
        <w:rPr>
          <w:rFonts w:ascii="arial" w:eastAsia="arial" w:hAnsi="arial" w:cs="arial"/>
          <w:b/>
          <w:i w:val="0"/>
          <w:strike w:val="0"/>
          <w:noProof w:val="0"/>
          <w:color w:val="000000"/>
          <w:position w:val="0"/>
          <w:sz w:val="20"/>
          <w:u w:val="none"/>
          <w:vertAlign w:val="baseline"/>
        </w:rPr>
        <w:t> [*89913] </w:t>
      </w:r>
      <w:r>
        <w:rPr>
          <w:rFonts w:ascii="arial" w:eastAsia="arial" w:hAnsi="arial" w:cs="arial"/>
          <w:b w:val="0"/>
          <w:i w:val="0"/>
          <w:strike w:val="0"/>
          <w:noProof w:val="0"/>
          <w:color w:val="000000"/>
          <w:position w:val="0"/>
          <w:sz w:val="20"/>
          <w:u w:val="none"/>
          <w:vertAlign w:val="baseline"/>
        </w:rPr>
        <w:t xml:space="preserve"> MSAP's short- and longer-term outcomes and generate evidence to inform future efforts by encouraging applicants to (1) propose projects that are supported by prior evidence and (2) propose robust evaluations of their proposed MSAP projects that would yield evidence of promise (as defined in this notice) from which future MSAP applicants could learn. Along these lines, we include a selection criterion that encourages applicants to submit a logic model as part of their applications. Each proposed project should be supported by a logic model with clearly defined outcomes that will inform the project's performance measures and evaluation. In addition,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we encourage applicants to submit research that demonstrates that the applicant's proposed approach to their MSAP-funded magnet schools is based on prior evidence and we encourage applicants to submit evidence that corresponds to the highest levels of evidence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ESSA amendments to the ESEA, MSAP grantees will now have more funding, time, and resources to implement meaningful, proven methods for developing magnet programs to diversify schools and improve academic outcomes for students. We encourage LEAs to use the MSAP funds as a catalyst to create comprehensive and systematic approaches to racial and socioeconomic integration, including effective desegregation programs that will be continued after the end of the grant.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34 CFR 75.105(b)(2)(ii),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3 are from the MSAP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280.32. In accordance with 34 CFR 75.105(b)(2)(iv),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and 4 are from section 4406 of the ESEA, as amended by the ESSA, </w:t>
      </w:r>
      <w:hyperlink r:id="rId12" w:history="1">
        <w:r>
          <w:rPr>
            <w:rFonts w:ascii="arial" w:eastAsia="arial" w:hAnsi="arial" w:cs="arial"/>
            <w:b w:val="0"/>
            <w:i/>
            <w:strike w:val="0"/>
            <w:noProof w:val="0"/>
            <w:color w:val="0077CC"/>
            <w:position w:val="0"/>
            <w:sz w:val="20"/>
            <w:u w:val="single"/>
            <w:vertAlign w:val="baseline"/>
          </w:rPr>
          <w:t>20 U.S.C. 7231e.</w:t>
        </w:r>
      </w:hyperlink>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280.30(f), we will award up to six additional points to an application, depending on how well the applicant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3. Under 34 CFR 75.105(c)(2)(i) we will award up to an additional four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Together, depending on how well the application meets these priorities, an application may be awarded up to a total of 10 additional points. Applicants may apply under any, all, or none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maximum possible points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are indicated in parentheses following the name of the priority. These points are in addition to any points the application earns under the selection criteria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1--Need for Assistance (0 or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evaluates the applicant's need for assistance by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costs of fully implementing the magnet schools project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resources available to the applicant to carry out the project if funds under the program were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extent to which the costs of the project exceed the applicant's resources;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difficulty of effectively carrying out the approved plan and the project for which assistance is sought, including consideration of how the design of the magnet schools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 of program proposed, the location of the magnet school within the LEA--impacts the applicant's ability to successfully carry out the approved plan.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2--New or Revised Magnet Schools Projects and Strength of Evidence To Support Proposed Projects (0 to 3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determines the extent to which the applicant proposes to carry out a new evidence-based (as defined in this notice) magnet school program or significantly revise an existing magnet school program using evidence-based methods and practices, as available, or replicate an existing magnet school program that has a demonstrated record of success in increasing student academic achievement and reducing isolation of minority groups.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3--Selection of Students (0 to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determines the extent to which the applicant proposes to select students to attend magnet schools by methods such as lottery, rather than through academic examination.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4--Increasing Racial Integration and Socioeconomic Diversity (0 to 4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determines the extent to which the applicant proposes to increase racial integration by taking into account socioeconomic diversity in designing and implementing magnet school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 of "evidence-based" is from </w:t>
      </w:r>
      <w:hyperlink r:id="rId13"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The remaining definitions are from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an activity, strategy, or intervention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Demonstrates a statistically significant effect on improving student outcomes or other relevant outcomes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Strong evidence from at least one well-designed and well-implemented experimental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Moderate evidence from at least one well designed and well-implemented quasi-experimental study;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Promising evidence from at least one well-designed and well-implemented correlational study with statistical controls for selection bias;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Demonstrates a rationale based on high-quality research findings or positive evaluation that such activity, strategy, or intervention is likely to improve student outcomes or other relevant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Includes ongoing efforts to examine the effects of such activity, strategy, or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paragraphs (i) and (ii) of this section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i w:val="0"/>
          <w:strike w:val="0"/>
          <w:noProof w:val="0"/>
          <w:color w:val="000000"/>
          <w:position w:val="0"/>
          <w:sz w:val="20"/>
          <w:u w:val="none"/>
          <w:vertAlign w:val="baseline"/>
        </w:rPr>
        <w:t> [*89914]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20 U.S.C. 7231</w:t>
        </w:r>
      </w:hyperlink>
      <w:r>
        <w:rPr>
          <w:rFonts w:ascii="arial" w:eastAsia="arial" w:hAnsi="arial" w:cs="arial"/>
          <w:b w:val="0"/>
          <w:i w:val="0"/>
          <w:strike w:val="0"/>
          <w:noProof w:val="0"/>
          <w:color w:val="000000"/>
          <w:position w:val="0"/>
          <w:sz w:val="20"/>
          <w:u w:val="none"/>
          <w:vertAlign w:val="baseline"/>
        </w:rPr>
        <w:t>-7231j.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80, 81, 82, 84,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$ 90,582,483.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requested $ 115,000,000 for this program for FY 2017, of which we estimate $ 90,582,483 will be for new awards. The actual level of funding, if any, depends on final congressional action. However, we are inviting applications at this time to allow enough time for applicants to develop strong applications and for the Department to complete the grant process before the end of the 2017 fiscal year,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$ 700,000-$ 3,000,000 per budget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No grant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 LEA, or a consortium of LEAs, shall be for more than $ 15,000,000 for the project period. Grantees may not expend more than 50 percent of the year one grant funds and not more than 15 percent of year two and three grant funds for planning activities. Professional development is not considered to be a planning activity.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Yearly award amounts may vary.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23-30.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LEAs or consortia of LEAs implementing a desegregation plan as specified in section III. 3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Application Requirement:</w:t>
      </w:r>
      <w:r>
        <w:rPr>
          <w:rFonts w:ascii="arial" w:eastAsia="arial" w:hAnsi="arial" w:cs="arial"/>
          <w:b w:val="0"/>
          <w:i w:val="0"/>
          <w:strike w:val="0"/>
          <w:noProof w:val="0"/>
          <w:color w:val="000000"/>
          <w:position w:val="0"/>
          <w:sz w:val="20"/>
          <w:u w:val="none"/>
          <w:vertAlign w:val="baseline"/>
        </w:rPr>
        <w:t xml:space="preserve"> Under section 4405(b)(1)(A) of the ESEA, as amended by the ESSA, applicants must describe how a grant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used to promote desegregation. Applicants must include any available evidence on how the proposed magnet school programs will increase interaction among students of different social, economic, ethnic, and racial backgrounds. If such evidence is not available, applicants must include a rationale, based on current research, for how the proposed magnet school programs will increase interaction among students of different social, economic, ethnic, and racial backgrounds. Applicants should address this application requirement in the project narrative and, as appropriate, the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Applicants must submit with their applications one of the following types of desegregation plans to establish eligibility to receive MSAP assistance: (a) A desegregation plan required by a court order; (b) a desegregation plan required by a State agency or an official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(c) a desegregation plan required by the Department's Office for Civil Rights (OCR) under Title VI of the Civil Rights Act of 1964 (Title VI); or (d) a voluntary desegregation plan adopted by the applicant and submitted to the Department for approval as part of the application. Under the MSAP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applicants are required to provide all of the information required in 34 CFR 280.20(a) through (g) in order to satisfy the civil rights eligibility requirements found in 34 CFR 280.2(a)(2)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particular data and other items for required and voluntary desegregation plans described in the application package, an application must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enrollment by race and ethnicity for magnet and feeder schools;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civil rights assurances (included in the application package);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the desegregation plan is being implemented or will be implemented if the application is 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Required Desegregation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Desegregation plans required by a court order. An applicant that submits a desegregation plan required by a court order must submit complete and signed copies of all court documents demonstrating that the magnet schools are a part of the approved desegregation plan. Examples of the types of documents that would meet this requirement include a Federal or State court order that establishes specific magnet schools, amends a previous order or orders by establishing additional or different specific magnet schools, requires or approves the establishment of one or more unspecified magnet schools, or that authorizes the inclusion of magnet schools at the discretion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Desegregation plans required by a State agency or official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 applicant submitting a desegregation plan ordered by a State agency or official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must provide documentation that shows that the </w:t>
      </w:r>
      <w:r>
        <w:rPr>
          <w:rFonts w:ascii="arial" w:eastAsia="arial" w:hAnsi="arial" w:cs="arial"/>
          <w:b/>
          <w:i w:val="0"/>
          <w:strike w:val="0"/>
          <w:noProof w:val="0"/>
          <w:color w:val="000000"/>
          <w:position w:val="0"/>
          <w:sz w:val="20"/>
          <w:u w:val="none"/>
          <w:vertAlign w:val="baseline"/>
        </w:rPr>
        <w:t> [*89915] </w:t>
      </w:r>
      <w:r>
        <w:rPr>
          <w:rFonts w:ascii="arial" w:eastAsia="arial" w:hAnsi="arial" w:cs="arial"/>
          <w:b w:val="0"/>
          <w:i w:val="0"/>
          <w:strike w:val="0"/>
          <w:noProof w:val="0"/>
          <w:color w:val="000000"/>
          <w:position w:val="0"/>
          <w:sz w:val="20"/>
          <w:u w:val="none"/>
          <w:vertAlign w:val="baseline"/>
        </w:rPr>
        <w:t xml:space="preserve"> desegregation plan was ordered based upon a determination that State law was violated. In the absence of this documentation, the applicant should consider its desegregation plan to be a voluntary plan and submit the data and information necessary for voluntary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Desegregation plans required by Title VI. An applicant that submits a desegregation plan required by OCR under Title VI must submit a complete copy of the desegregation plan demonstrating that magnet schools are part of the approved plan or that the plan authorizes the inclusion of magnet schools at the discretion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Modifications to required desegregation plans. A previously approved desegregation plan that does not include the magnet school or program for which the applicant is now seeking assistance must be modified to include the magnet school component. The modification to the desegregation plan must be approved by the court, agency, or official that originally approved the plan. An applicant that wishes to modify a previously approved OCR Title VI desegregation plan to include different or additional magnet schools must submit the proposed modification for review and approval to the OCR regional office that approved its original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should indicate in its application if it is seeking to modify its previously approved desegregation plan. However, all applicants must submit proof of approval of all modifications to their plans to the Department by May 19, 2017. Proof of plan modifications should be mailed to the person and address identified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Voluntary Desegregation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voluntary desegregation plan must be approved by the Department each time an application is submitted for funding. Even if the Department has approved a voluntary desegregation plan in an LEA in the past, to be reviewed, the desegregation plan must be resubmitted with the application, by the application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applicant's voluntary desegregation plan must describe how the LEA defines or identifies minority group isolation, demonstrate how the LEA will reduce, eliminate, or prevent minority group isolation for each magnet school in the proposed magnet school application, and, if relevant, at identified feeder schools, and demonstrate that the proposed voluntary desegregation plan is adequate under Title VI. For additional guidance on how an LEA can voluntarily reduce minority group isolation and promote diversity in an LEA in light of the Supreme Court's decision in </w:t>
      </w:r>
      <w:r>
        <w:rPr>
          <w:rFonts w:ascii="arial" w:eastAsia="arial" w:hAnsi="arial" w:cs="arial"/>
          <w:b w:val="0"/>
          <w:i/>
          <w:strike w:val="0"/>
          <w:noProof w:val="0"/>
          <w:color w:val="000000"/>
          <w:position w:val="0"/>
          <w:sz w:val="20"/>
          <w:u w:val="none"/>
          <w:vertAlign w:val="baseline"/>
        </w:rPr>
        <w:t xml:space="preserve">Parents Involved in </w:t>
      </w:r>
      <w:hyperlink r:id="rId15" w:history="1">
        <w:r>
          <w:rPr>
            <w:rFonts w:ascii="arial" w:eastAsia="arial" w:hAnsi="arial" w:cs="arial"/>
            <w:b w:val="0"/>
            <w:i/>
            <w:strike w:val="0"/>
            <w:noProof w:val="0"/>
            <w:color w:val="0077CC"/>
            <w:position w:val="0"/>
            <w:sz w:val="20"/>
            <w:u w:val="single"/>
            <w:vertAlign w:val="baseline"/>
          </w:rPr>
          <w:t>Community Schools v. Seattle School District No 1 et al., 551 U.S. 701 (2007),</w:t>
        </w:r>
      </w:hyperlink>
      <w:r>
        <w:rPr>
          <w:rFonts w:ascii="arial" w:eastAsia="arial" w:hAnsi="arial" w:cs="arial"/>
          <w:b w:val="0"/>
          <w:i w:val="0"/>
          <w:strike w:val="0"/>
          <w:noProof w:val="0"/>
          <w:color w:val="000000"/>
          <w:position w:val="0"/>
          <w:sz w:val="20"/>
          <w:u w:val="none"/>
          <w:vertAlign w:val="baseline"/>
        </w:rPr>
        <w:t xml:space="preserve"> see the December 2, 2011, "Guidance on the Voluntary Use of Race to Achieve Diversity and Avoid Racial Isolation in Elementary and Secondary Schools" available on the Department's Web site at </w:t>
      </w:r>
      <w:hyperlink r:id="rId16" w:history="1">
        <w:r>
          <w:rPr>
            <w:rFonts w:ascii="arial" w:eastAsia="arial" w:hAnsi="arial" w:cs="arial"/>
            <w:b w:val="0"/>
            <w:i/>
            <w:strike w:val="0"/>
            <w:noProof w:val="0"/>
            <w:color w:val="0077CC"/>
            <w:position w:val="0"/>
            <w:sz w:val="20"/>
            <w:u w:val="single"/>
            <w:vertAlign w:val="baseline"/>
          </w:rPr>
          <w:t>www.ed.gov/ocr/docs/guidance-ese-201111.pdf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Complete and accurate enrollment forms and other information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280.20(f) and (g) for applicants with voluntary desegregation plans are critical to the Department's determination of an applicant's eligibility under a voluntary desegregation plan (specific requirements are detailed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Voluntary desegregation plan applicants must submit documentation of school board approval or documentation of other official adoption of the plan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280.20(f)(2) when submitting their application. LEAs that were previously under a required desegregation plan, but that have achieved unitary status and so are voluntary desegregation plan applicants, typically would not need to include court orders. Rather such applications should provide the documentation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Single-Sex Programs:</w:t>
      </w:r>
      <w:r>
        <w:rPr>
          <w:rFonts w:ascii="arial" w:eastAsia="arial" w:hAnsi="arial" w:cs="arial"/>
          <w:b w:val="0"/>
          <w:i w:val="0"/>
          <w:strike w:val="0"/>
          <w:noProof w:val="0"/>
          <w:color w:val="000000"/>
          <w:position w:val="0"/>
          <w:sz w:val="20"/>
          <w:u w:val="none"/>
          <w:vertAlign w:val="baseline"/>
        </w:rPr>
        <w:t xml:space="preserve"> In addition to the normal MSAP grant review process, an applicant proposing to operate a single-sex magnet school or a coeducational magnet school that offers single-sex classes or extracurricular activities will undergo a separate and detailed review of its proposed single-sex educational program to determine compliance with applicable nondiscrimination laws, including the Equal Protection Clause of the U.S. Constitution (as interpreted in </w:t>
      </w:r>
      <w:hyperlink r:id="rId17"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18"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34 CFR 106.34. This additional review is likely to require the applicant to provide additional fact-specific information about the single-sex program within the Department's timeframes for determining eligibility for funding. It is likely special conditions will be placed on any grant used to support a single-sex educational program. Please see the application package for additional information about an application proposing a single-sex magnet school or a coeducational magnet school offering single-sex classes or extracurricular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9" w:history="1">
        <w:r>
          <w:rPr>
            <w:rFonts w:ascii="arial" w:eastAsia="arial" w:hAnsi="arial" w:cs="arial"/>
            <w:b w:val="0"/>
            <w:i/>
            <w:strike w:val="0"/>
            <w:noProof w:val="0"/>
            <w:color w:val="0077CC"/>
            <w:position w:val="0"/>
            <w:sz w:val="20"/>
            <w:u w:val="single"/>
            <w:vertAlign w:val="baseline"/>
          </w:rPr>
          <w:t>www.ed.gov/fund/grant/apply/grantapps/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Education Publications Center,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84.165A.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Jennifer Todd, U.S. Department of Education, 400 Maryland Avenue SW., Room 4W201, Washington, DC 20202-5970. Telephone: (202) 453-7200 or by email: </w:t>
      </w:r>
      <w:hyperlink r:id="rId22" w:history="1">
        <w:r>
          <w:rPr>
            <w:rFonts w:ascii="arial" w:eastAsia="arial" w:hAnsi="arial" w:cs="arial"/>
            <w:b w:val="0"/>
            <w:i/>
            <w:strike w:val="0"/>
            <w:noProof w:val="0"/>
            <w:color w:val="0077CC"/>
            <w:position w:val="0"/>
            <w:sz w:val="20"/>
            <w:u w:val="single"/>
            <w:vertAlign w:val="baseline"/>
          </w:rPr>
          <w:t>msap.team@ed.gov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Intent to Apply: 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of the applicant's intent to submit an application for funding by completing a Web-based form. When completing this form, applicants will provide (1) the applicant organization's name and address, (2) the number of and proposed theme(s) of school(s) that will be served through the MSAP grant, and (3) information on the priority or </w:t>
      </w:r>
      <w:r>
        <w:rPr>
          <w:rFonts w:ascii="arial" w:eastAsia="arial" w:hAnsi="arial" w:cs="arial"/>
          <w:b/>
          <w:i w:val="0"/>
          <w:strike w:val="0"/>
          <w:noProof w:val="0"/>
          <w:color w:val="000000"/>
          <w:position w:val="0"/>
          <w:sz w:val="20"/>
          <w:u w:val="none"/>
          <w:vertAlign w:val="baseline"/>
        </w:rPr>
        <w:t> [*89916] </w:t>
      </w:r>
      <w:r>
        <w:rPr>
          <w:rFonts w:ascii="arial" w:eastAsia="arial" w:hAnsi="arial" w:cs="arial"/>
          <w:b w:val="0"/>
          <w:i w:val="0"/>
          <w:strike w:val="0"/>
          <w:noProof w:val="0"/>
          <w:color w:val="000000"/>
          <w:position w:val="0"/>
          <w:sz w:val="20"/>
          <w:u w:val="none"/>
          <w:vertAlign w:val="baseline"/>
        </w:rPr>
        <w:t xml:space="preserve"> priorities (if any) under which the applicant intends to apply. Applicants may access this form online at </w:t>
      </w:r>
      <w:hyperlink r:id="rId10" w:history="1">
        <w:r>
          <w:rPr>
            <w:rFonts w:ascii="arial" w:eastAsia="arial" w:hAnsi="arial" w:cs="arial"/>
            <w:b w:val="0"/>
            <w:i/>
            <w:strike w:val="0"/>
            <w:noProof w:val="0"/>
            <w:color w:val="0077CC"/>
            <w:position w:val="0"/>
            <w:sz w:val="20"/>
            <w:u w:val="single"/>
            <w:vertAlign w:val="baseline"/>
          </w:rPr>
          <w:t>http://innovation.ed.gov/what-we-do/parental-options/magnet-school-assistance-program-msap/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that reviewers use to evaluate your application. The suggested page limit for the application narrative is no more than 150 pages, using the following standards: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12-point or larger or no smaller than 10 pitch (characters per inch).</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page numbers at the bottom of each page in your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does not apply to Part I, the cover sheet; Part II, the budget section, including the narrative budget justification; Part IV, the assurances, certifications, the desegregation plan and related information, and the tables used to respond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and 3; or the one-page abstract, the resumes, or letters of support. However, the page limit does apply to all of the application narrative in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MSAP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13,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MSAP intends to hold a Webinar to provide technical assistance to interested applicants. Detailed information regarding this Webinar will be provided on the MSAP Web site at: </w:t>
      </w:r>
      <w:hyperlink r:id="rId10" w:history="1">
        <w:r>
          <w:rPr>
            <w:rFonts w:ascii="arial" w:eastAsia="arial" w:hAnsi="arial" w:cs="arial"/>
            <w:b w:val="0"/>
            <w:i/>
            <w:strike w:val="0"/>
            <w:noProof w:val="0"/>
            <w:color w:val="0077CC"/>
            <w:position w:val="0"/>
            <w:sz w:val="20"/>
            <w:u w:val="single"/>
            <w:vertAlign w:val="baseline"/>
          </w:rPr>
          <w:t>http://innovation.ed.gov/what-we-do/parental-options/magnet-school-assistance-program-msap/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recording of this Webinar will be available on the Web site following the session.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280.41. The ESEA, as amended by the ESSA, removed the statutory prohibition on the use of funds for transportation; therefore, the prohibition on transportation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longer applicable.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t>
      </w:r>
      <w:r>
        <w:rPr>
          <w:rFonts w:ascii="arial" w:eastAsia="arial" w:hAnsi="arial" w:cs="arial"/>
          <w:b/>
          <w:i w:val="0"/>
          <w:strike w:val="0"/>
          <w:noProof w:val="0"/>
          <w:color w:val="000000"/>
          <w:position w:val="0"/>
          <w:sz w:val="20"/>
          <w:u w:val="none"/>
          <w:vertAlign w:val="baseline"/>
        </w:rPr>
        <w:t> [*89917] </w:t>
      </w:r>
      <w:r>
        <w:rPr>
          <w:rFonts w:ascii="arial" w:eastAsia="arial" w:hAnsi="arial" w:cs="arial"/>
          <w:b w:val="0"/>
          <w:i w:val="0"/>
          <w:strike w:val="0"/>
          <w:noProof w:val="0"/>
          <w:color w:val="000000"/>
          <w:position w:val="0"/>
          <w:sz w:val="20"/>
          <w:u w:val="none"/>
          <w:vertAlign w:val="baseline"/>
        </w:rPr>
        <w:t xml:space="preserve">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5"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MSAP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MSAP, CFDA number 84.165A,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MSAP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84.165, not 84.165A).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MSAP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 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w:t>
      </w:r>
      <w:r>
        <w:rPr>
          <w:rFonts w:ascii="arial" w:eastAsia="arial" w:hAnsi="arial" w:cs="arial"/>
          <w:b/>
          <w:i w:val="0"/>
          <w:strike w:val="0"/>
          <w:noProof w:val="0"/>
          <w:color w:val="000000"/>
          <w:position w:val="0"/>
          <w:sz w:val="20"/>
          <w:u w:val="none"/>
          <w:vertAlign w:val="baseline"/>
        </w:rPr>
        <w:t> [*89918] </w:t>
      </w:r>
      <w:r>
        <w:rPr>
          <w:rFonts w:ascii="arial" w:eastAsia="arial" w:hAnsi="arial" w:cs="arial"/>
          <w:b w:val="0"/>
          <w:i w:val="0"/>
          <w:strike w:val="0"/>
          <w:noProof w:val="0"/>
          <w:color w:val="000000"/>
          <w:position w:val="0"/>
          <w:sz w:val="20"/>
          <w:u w:val="none"/>
          <w:vertAlign w:val="baseline"/>
        </w:rPr>
        <w:t xml:space="preserve">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Jennifer Todd, U.S. Department of Education, 400 Maryland Avenue SW., Room 4W250, Washington, DC 20202-5970.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84.165A),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84.165A),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are from 34 CFR 75.210, 34 CFR 280.30, 34 CFR 280.31, and sections 4401 and 4405 of the ESEA, as amended by the ESSA. All of the selection criteria are listed in this section and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score for all of the selection criteria is 100 points. The maximum score for each criterion is included in parentheses following the title of the specific selection criterion. Each criterion also includes the factors that reviewers will consider in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Points awarded under these selection criteria are in addition to any points an applicant earns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this notice. The maximum score that an application may receive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selection criteria is 110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Desegregation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quality of the desegregation-related activities and determines the extent to which the applicant demonstrates--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effectiveness of its plan to recruit students from different social, economic, ethnic, and racial backgrounds into the magnet schools. (34 CFR 280.31(a)(2)(v))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How it will foster interaction among students of different social, economic, ethnic, and racial backgrounds in classroom activities, </w:t>
      </w:r>
      <w:r>
        <w:rPr>
          <w:rFonts w:ascii="arial" w:eastAsia="arial" w:hAnsi="arial" w:cs="arial"/>
          <w:b/>
          <w:i w:val="0"/>
          <w:strike w:val="0"/>
          <w:noProof w:val="0"/>
          <w:color w:val="000000"/>
          <w:position w:val="0"/>
          <w:sz w:val="20"/>
          <w:u w:val="none"/>
          <w:vertAlign w:val="baseline"/>
        </w:rPr>
        <w:t> [*89919] </w:t>
      </w:r>
      <w:r>
        <w:rPr>
          <w:rFonts w:ascii="arial" w:eastAsia="arial" w:hAnsi="arial" w:cs="arial"/>
          <w:b w:val="0"/>
          <w:i w:val="0"/>
          <w:strike w:val="0"/>
          <w:noProof w:val="0"/>
          <w:color w:val="000000"/>
          <w:position w:val="0"/>
          <w:sz w:val="20"/>
          <w:u w:val="none"/>
          <w:vertAlign w:val="baseline"/>
        </w:rPr>
        <w:t xml:space="preserve"> extracurricular activities, or other activities in the magnet schools (or, if appropriate, in the schools in which the magnet school programs operate).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How it will ensure equal access and treatment for eligible project participants who have been traditionally underrepresented in courses or activities offered as part of the magnet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women and girls in mathematics, science, or technology courses, and disabled students.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effectiveness of all other desegregation strategies proposed by the applicant for the elimination, reduction, or prevention of minority group isolation in elementary schools and secondary schools with substantial proportions of minority students. (Section 4401(b)(1)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quality of the project design.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manner and extent to which the magnet school program will improve student academic achievement for all students attending the magnet school programs, including the manner and extent to which each magnet school program will increase student academic achievement in the instructional area or areas offered by the school, including any evidence, or if such evidence is not available, a rationale based on current research findings, to support such description. (Sections 4405(b)(1)(E)(i) and 4405(b)(1)(B)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demonstrates that it has the resources to operate the project beyond the length of the grant, including a multi-year financial and operating model and accompanying plan; the demonstrated commitment of any partners; evidence of broad support from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educational agencies, teachers' unions) critical to the project's long-term success; or more than one of these types of evidence.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training or professional development services to be provided by the proposed project are of sufficient quality, intensity, and duration to lead to improvements in practice among the recipients of those services.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is supported by strong theory (as defined in this notice).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Management Plan (15 points)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Personnel (5 points)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Secretary reviews each application to determine the qualifications of the personnel the applicant plans to use on the project. The Secretary determines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project director (if one is used) is qualified to manage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key personnel are qualified to manage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Teachers who will provide instruction in participating magnet schools are qualified to implement the special curriculum of the magnet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determine personnel qualifications, the Secretary considers experience and training in fields related to the objectives of the project, including the key personnel's knowledge of and experience in curriculum development and desegregation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Evaluation (20 points)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well-implemented, produce evidence of promise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costs are reasonable in relation to the objectives, design, and potential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if the total value of your currently active grants, cooperative agreements, and procurement contracts from the Federal Government exceeds </w:t>
      </w:r>
      <w:r>
        <w:rPr>
          <w:rFonts w:ascii="arial" w:eastAsia="arial" w:hAnsi="arial" w:cs="arial"/>
          <w:b/>
          <w:i w:val="0"/>
          <w:strike w:val="0"/>
          <w:noProof w:val="0"/>
          <w:color w:val="000000"/>
          <w:position w:val="0"/>
          <w:sz w:val="20"/>
          <w:u w:val="none"/>
          <w:vertAlign w:val="baseline"/>
        </w:rPr>
        <w:t> [*89920] </w:t>
      </w:r>
      <w:r>
        <w:rPr>
          <w:rFonts w:ascii="arial" w:eastAsia="arial" w:hAnsi="arial" w:cs="arial"/>
          <w:b w:val="0"/>
          <w:i w:val="0"/>
          <w:strike w:val="0"/>
          <w:noProof w:val="0"/>
          <w:color w:val="000000"/>
          <w:position w:val="0"/>
          <w:sz w:val="20"/>
          <w:u w:val="none"/>
          <w:vertAlign w:val="baseline"/>
        </w:rPr>
        <w:t xml:space="preserve">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We have established the following five performance measures for the MSAP: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number and percentage of magnet schools receiving assistance whose student enrollment reduces, eliminates, or prevents minority group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increase of students from major racial and ethnic groups in magnet schools receiving assistance who score proficient or above on State assessments in reading/language arts as compared to previous year's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increase of students from major racial and ethnic groups in magnet schools receiving assistance who score proficient or above on State assessments in mathematics as compared to previous year's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magnet schools that received assistance that are still operating magnet school programs three years after Federal funding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magnet schools that received assistance that meet the State's annual measurable objectives and, for high schools, graduation rate targets at least three years after Federal funding 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Recognizing that States are no longer required to report annual measurable objectives to the Department under the ESEA, as amended by the ESSA, we include this performance measure in order to ensure MSAP grantees monitor and report high school graduation rates. States must establish and measure against ambitious, long-term goals; we encourage MSAP grantees to consider these State goals and incorporate them into their annual performance reporting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Todd, U.S. Department of Education, 400 Maryland Avenue SW., Room 4W201, Washington, DC 20202-5970. Telephone: (202) 453-7200 or by email: </w:t>
      </w:r>
      <w:hyperlink r:id="rId22" w:history="1">
        <w:r>
          <w:rPr>
            <w:rFonts w:ascii="arial" w:eastAsia="arial" w:hAnsi="arial" w:cs="arial"/>
            <w:b w:val="0"/>
            <w:i/>
            <w:strike w:val="0"/>
            <w:noProof w:val="0"/>
            <w:color w:val="0077CC"/>
            <w:position w:val="0"/>
            <w:sz w:val="20"/>
            <w:u w:val="single"/>
            <w:vertAlign w:val="baseline"/>
          </w:rPr>
          <w:t>msap.team@ed.gov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89911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nnovation.ed.gov/what-we-do/parental-options/magnet-school-assistance-program-msap/" TargetMode="External" /><Relationship Id="rId11" Type="http://schemas.openxmlformats.org/officeDocument/2006/relationships/hyperlink" Target="https://advance.lexis.com/api/document?collection=statutes-legislation&amp;id=urn:contentItem:4YF7-GJ11-NRF4-4171-00000-00&amp;context=" TargetMode="External" /><Relationship Id="rId12" Type="http://schemas.openxmlformats.org/officeDocument/2006/relationships/hyperlink" Target="https://advance.lexis.com/api/document?collection=statutes-legislation&amp;id=urn:contentItem:4YF7-GR91-NRF4-41J1-00000-00&amp;context=" TargetMode="External" /><Relationship Id="rId13" Type="http://schemas.openxmlformats.org/officeDocument/2006/relationships/hyperlink" Target="https://advance.lexis.com/api/document?collection=statutes-legislation&amp;id=urn:contentItem:4YF7-GKS1-NRF4-432P-00000-00&amp;context=" TargetMode="External" /><Relationship Id="rId14" Type="http://schemas.openxmlformats.org/officeDocument/2006/relationships/hyperlink" Target="http://ies.ed.gov/ncee/wwc/DocumentSum.aspx?sid=19" TargetMode="External" /><Relationship Id="rId15" Type="http://schemas.openxmlformats.org/officeDocument/2006/relationships/hyperlink" Target="https://advance.lexis.com/api/document?collection=cases&amp;id=urn:contentItem:4P2S-B5C0-004C-101V-00000-00&amp;context=" TargetMode="External" /><Relationship Id="rId16" Type="http://schemas.openxmlformats.org/officeDocument/2006/relationships/hyperlink" Target="http://www.ed.gov/ocr/docs/guidance-ese-201111.pdf" TargetMode="External" /><Relationship Id="rId17" Type="http://schemas.openxmlformats.org/officeDocument/2006/relationships/hyperlink" Target="https://advance.lexis.com/api/document?collection=cases&amp;id=urn:contentItem:3S04-RPH0-003B-R241-00000-00&amp;context=" TargetMode="External" /><Relationship Id="rId18" Type="http://schemas.openxmlformats.org/officeDocument/2006/relationships/hyperlink" Target="https://advance.lexis.com/api/document?collection=statutes-legislation&amp;id=urn:contentItem:4YF7-GT61-NRF4-454S-00000-00&amp;context=" TargetMode="External" /><Relationship Id="rId19" Type="http://schemas.openxmlformats.org/officeDocument/2006/relationships/hyperlink" Target="http://www.ed.gov/fund/grant/apply/grantapps/" TargetMode="External" /><Relationship Id="rId2" Type="http://schemas.openxmlformats.org/officeDocument/2006/relationships/webSettings" Target="webSettings.xml" /><Relationship Id="rId20" Type="http://schemas.openxmlformats.org/officeDocument/2006/relationships/hyperlink" Target="http://www.EdPubs.gov" TargetMode="External" /><Relationship Id="rId21" Type="http://schemas.openxmlformats.org/officeDocument/2006/relationships/hyperlink" Target="mailto:edpubs@inet.ed.gov" TargetMode="External" /><Relationship Id="rId22" Type="http://schemas.openxmlformats.org/officeDocument/2006/relationships/hyperlink" Target="mailto:msap.team@ed.gov"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2.ed.gov/fund/grant/apply/sam-faqs.html" TargetMode="External" /><Relationship Id="rId26" Type="http://schemas.openxmlformats.org/officeDocument/2006/relationships/hyperlink" Target="http://www.grants.gov/web/grants/register.html" TargetMode="External" /><Relationship Id="rId27" Type="http://schemas.openxmlformats.org/officeDocument/2006/relationships/hyperlink" Target="http://www.Grants.gov" TargetMode="External" /><Relationship Id="rId28" Type="http://schemas.openxmlformats.org/officeDocument/2006/relationships/hyperlink" Target="http://www.G5.gov" TargetMode="External" /><Relationship Id="rId29" Type="http://schemas.openxmlformats.org/officeDocument/2006/relationships/hyperlink" Target="http://www.grants.gov/web/grants/applicants/apply-for-grants.html" TargetMode="External" /><Relationship Id="rId3" Type="http://schemas.openxmlformats.org/officeDocument/2006/relationships/fontTable" Target="fontTable.xml" /><Relationship Id="rId30" Type="http://schemas.openxmlformats.org/officeDocument/2006/relationships/hyperlink" Target="http://www.ed.gov/fund/grant/apply/appforms/appforms.html"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CS-48V0-006W-84D1-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