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92793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244, Tuesday, December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92793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Teacher and School Leader Incentive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and School Leader Incentive Program (TSL) 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84.374A.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w:t>
      </w:r>
      <w:r>
        <w:rPr>
          <w:rFonts w:ascii="arial" w:eastAsia="arial" w:hAnsi="arial" w:cs="arial"/>
          <w:b/>
          <w:i w:val="0"/>
          <w:strike w:val="0"/>
          <w:noProof w:val="0"/>
          <w:color w:val="000000"/>
          <w:position w:val="0"/>
          <w:sz w:val="20"/>
          <w:u w:val="none"/>
          <w:vertAlign w:val="baseline"/>
        </w:rPr>
        <w:t> [*92805] </w:t>
      </w:r>
      <w:r>
        <w:rPr>
          <w:rFonts w:ascii="arial" w:eastAsia="arial" w:hAnsi="arial" w:cs="arial"/>
          <w:b w:val="0"/>
          <w:i w:val="0"/>
          <w:strike w:val="0"/>
          <w:noProof w:val="0"/>
          <w:color w:val="000000"/>
          <w:position w:val="0"/>
          <w:sz w:val="20"/>
          <w:u w:val="none"/>
          <w:vertAlign w:val="baseline"/>
        </w:rPr>
        <w:t xml:space="preserve">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Office of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 Doc. 2016-30643 Filed 12-19-16;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February 4,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 of Pre-Application Workshops:</w:t>
      </w:r>
      <w:r>
        <w:rPr>
          <w:rFonts w:ascii="arial" w:eastAsia="arial" w:hAnsi="arial" w:cs="arial"/>
          <w:b w:val="0"/>
          <w:i w:val="0"/>
          <w:strike w:val="0"/>
          <w:noProof w:val="0"/>
          <w:color w:val="000000"/>
          <w:position w:val="0"/>
          <w:sz w:val="20"/>
          <w:u w:val="none"/>
          <w:vertAlign w:val="baseline"/>
        </w:rPr>
        <w:t xml:space="preserve"> For information about pre-application workshops, visit the TSL Web site at: </w:t>
      </w:r>
      <w:hyperlink r:id="rId10" w:history="1">
        <w:r>
          <w:rPr>
            <w:rFonts w:ascii="arial" w:eastAsia="arial" w:hAnsi="arial" w:cs="arial"/>
            <w:b w:val="0"/>
            <w:i/>
            <w:strike w:val="0"/>
            <w:noProof w:val="0"/>
            <w:color w:val="0077CC"/>
            <w:position w:val="0"/>
            <w:sz w:val="20"/>
            <w:u w:val="single"/>
            <w:vertAlign w:val="baseline"/>
          </w:rPr>
          <w:t>http://innovation.ed.gov/what-we-do/teacher-quality/teacher-incentive-fund/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24,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23,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TSL is to assist States, local educational agencies (LEAs), and nonprofit organizations to develop, implement, improve, or expand comprehensive performance-based compensation systems or human capital management systems for teachers, principals, and other school leaders (especially for teachers, principals, and other school leaders in high-need schools) who raise student academic achievement and close the achievement gap between high- and low-performing students. In addition, a portion of TSL funds are dedicated to study the effectiveness, fairness, quality, consistency, and reliability of performance-based compensation systems or human capital management systems for teachers, principals, and other school leaders.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Elementary and Secondary Education Act of 1965 (ESEA), as reauthorized on December 10, 2015, by the Every Student Succeeds Act (ESSA), n1 established the Teacher and School Leader Incentive Fund (TSL) program. TSL builds on the former Teacher Incentive Fund (TIF) program and promotes Performance-Based Compensation Systems (PBCSs) n2 and comprehensive Human Capital Management Systems (HCMSs) that support teachers, principals, and other school leaders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Educators as used in this notice). In recognition of the importance that effective school leadership has on student achievement, TSL also promotes comprehensive Evaluation and Support Systems for all Educators within an LEA, especially those serving in high-need schools. In addition, TSL seeks to contribute to the body of knowledge regarding impactful approaches to enhancing Educator effectiveness by promoting the study of the efficacy, fairness, quality, consistency, and reliability of these systems to support Educators through an independent, Department-led evaluation to assess the program's effectiveness and relevant lessons learned. Further, the Department seeks to ensure that the design of the TSL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reflects the new provisions of the TSL statute in ESEA sections 2211-2213, as well as the lessons learned from 10 years of implementing the TIF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Unless otherwise noted, references in this notice to sections of the ESEA as reauthorized by ESSA are identified as sections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Throughout this notice, all defined terms are denoted with capitals.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from the TIF program have varied across and within the portfolio of five cohorts of TIF grantees, comprised of over 140 grantees that received a total of about $ 2 billion in grant awards. Successful TIF grantees implemented comprehensive efforts to help teachers and principals learn and grow throughout their professional trajectories. Successful TIF grantees also considered recruitment, induction, support and career development, and growth and leadership opportunities aligned with the LEA's overall improvement strategy; and they used multi-measure evaluation systems to inform the development of innovative incentives and structures that support teachers' and principals' growth and advancement. LEAs also used TIF funds to develop their cadre of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priorities, requirements, definitions, and selection criterion used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seek to build on the efforts of the TIF program and abundant research over two decades showing that teachers and teacher effectiveness are the most critical in-school factors in improving student outcomes.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Aaronson, Daniel, Barrow, Lisa, &amp; Sander, William, "Teachers and Student Achievement in the Chicago Public High Schools." (2007), </w:t>
      </w:r>
      <w:r>
        <w:rPr>
          <w:rFonts w:ascii="arial" w:eastAsia="arial" w:hAnsi="arial" w:cs="arial"/>
          <w:b w:val="0"/>
          <w:i/>
          <w:strike w:val="0"/>
          <w:noProof w:val="0"/>
          <w:color w:val="000000"/>
          <w:position w:val="0"/>
          <w:sz w:val="20"/>
          <w:u w:val="none"/>
          <w:vertAlign w:val="baseline"/>
        </w:rPr>
        <w:t>Journal of Labor Economics,</w:t>
      </w:r>
      <w:r>
        <w:rPr>
          <w:rFonts w:ascii="arial" w:eastAsia="arial" w:hAnsi="arial" w:cs="arial"/>
          <w:b w:val="0"/>
          <w:i w:val="0"/>
          <w:strike w:val="0"/>
          <w:noProof w:val="0"/>
          <w:color w:val="000000"/>
          <w:position w:val="0"/>
          <w:sz w:val="20"/>
          <w:u w:val="none"/>
          <w:vertAlign w:val="baseline"/>
        </w:rPr>
        <w:t xml:space="preserve"> 25(1), 95-135; Rivkin, Steven, Hanushek, Eric &amp; Kain, John, "Teachers, Schools, and Academic Achievement." (2005), </w:t>
      </w:r>
      <w:r>
        <w:rPr>
          <w:rFonts w:ascii="arial" w:eastAsia="arial" w:hAnsi="arial" w:cs="arial"/>
          <w:b w:val="0"/>
          <w:i/>
          <w:strike w:val="0"/>
          <w:noProof w:val="0"/>
          <w:color w:val="000000"/>
          <w:position w:val="0"/>
          <w:sz w:val="20"/>
          <w:u w:val="none"/>
          <w:vertAlign w:val="baseline"/>
        </w:rPr>
        <w:t>Econometrica,</w:t>
      </w:r>
      <w:r>
        <w:rPr>
          <w:rFonts w:ascii="arial" w:eastAsia="arial" w:hAnsi="arial" w:cs="arial"/>
          <w:b w:val="0"/>
          <w:i w:val="0"/>
          <w:strike w:val="0"/>
          <w:noProof w:val="0"/>
          <w:color w:val="000000"/>
          <w:position w:val="0"/>
          <w:sz w:val="20"/>
          <w:u w:val="none"/>
          <w:vertAlign w:val="baseline"/>
        </w:rPr>
        <w:t xml:space="preserve"> 73(2), 417-458.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have learned that effective principals and other School Leaders are crucial to strengthening teaching and school communities, and play a critical role in students' academic success--especially in high-need schools--by creating cultures of high expectations. n4 Indeed, teachers cite a principal's support and effectiveness as a leading factor that contributes to their decision to remain in the profession. n5 Effective School Leaders directly impact the quality of instruction through hiring decisions of school personnel that provide instructional leadership, support, and develop teachers--which, in turn, can help teachers focus their </w:t>
      </w:r>
      <w:r>
        <w:rPr>
          <w:rFonts w:ascii="arial" w:eastAsia="arial" w:hAnsi="arial" w:cs="arial"/>
          <w:b/>
          <w:i w:val="0"/>
          <w:strike w:val="0"/>
          <w:noProof w:val="0"/>
          <w:color w:val="000000"/>
          <w:position w:val="0"/>
          <w:sz w:val="20"/>
          <w:u w:val="none"/>
          <w:vertAlign w:val="baseline"/>
        </w:rPr>
        <w:t> [*92794] </w:t>
      </w:r>
      <w:r>
        <w:rPr>
          <w:rFonts w:ascii="arial" w:eastAsia="arial" w:hAnsi="arial" w:cs="arial"/>
          <w:b w:val="0"/>
          <w:i w:val="0"/>
          <w:strike w:val="0"/>
          <w:noProof w:val="0"/>
          <w:color w:val="000000"/>
          <w:position w:val="0"/>
          <w:sz w:val="20"/>
          <w:u w:val="none"/>
          <w:vertAlign w:val="baseline"/>
        </w:rPr>
        <w:t xml:space="preserve"> efforts on student learning. n6 Effective School Leaders also create a vision of academic success for all children in their schools and encourage other Educators to take on leadership roles and responsibilities.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"Impact Evaluation of Support for Principals," </w:t>
      </w:r>
      <w:hyperlink r:id="rId11" w:history="1">
        <w:r>
          <w:rPr>
            <w:rFonts w:ascii="arial" w:eastAsia="arial" w:hAnsi="arial" w:cs="arial"/>
            <w:b w:val="0"/>
            <w:i/>
            <w:strike w:val="0"/>
            <w:noProof w:val="0"/>
            <w:color w:val="0077CC"/>
            <w:position w:val="0"/>
            <w:sz w:val="20"/>
            <w:u w:val="single"/>
            <w:vertAlign w:val="baseline"/>
          </w:rPr>
          <w:t>http://ies.ed.gov/ncee/projects/evaluation/tq_principals.asp</w:t>
        </w:r>
      </w:hyperlink>
      <w:r>
        <w:rPr>
          <w:rFonts w:ascii="arial" w:eastAsia="arial" w:hAnsi="arial" w:cs="arial"/>
          <w:b w:val="0"/>
          <w:i w:val="0"/>
          <w:strike w:val="0"/>
          <w:noProof w:val="0"/>
          <w:color w:val="000000"/>
          <w:position w:val="0"/>
          <w:sz w:val="20"/>
          <w:u w:val="none"/>
          <w:vertAlign w:val="baseline"/>
        </w:rPr>
        <w:t xml:space="preserve"> (2014); Leithwood, Kenneth,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"How Leadership Influences Student Learning: Review of Research" (2004) New York: The Wallace Foundation, available at </w:t>
      </w:r>
      <w:hyperlink r:id="rId12" w:history="1">
        <w:r>
          <w:rPr>
            <w:rFonts w:ascii="arial" w:eastAsia="arial" w:hAnsi="arial" w:cs="arial"/>
            <w:b w:val="0"/>
            <w:i/>
            <w:strike w:val="0"/>
            <w:noProof w:val="0"/>
            <w:color w:val="0077CC"/>
            <w:position w:val="0"/>
            <w:sz w:val="20"/>
            <w:u w:val="single"/>
            <w:vertAlign w:val="baseline"/>
          </w:rPr>
          <w:t>http://www.wallacefoundation.org/knowledge-center/Documents/How-Leadership-Influences-Student-Learning.pdf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Ingersoll, Richard. "Teacher Turnover, Teacher Shortages, and the Organization of Schools." University of Washington.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Papa, Frank, Hamilton Lankford, and James Wyckoff, "Hiring Teachers in New York's Public Schools: Can the Principal Make a Difference?" University (2008) available at Albany, SUNY. </w:t>
      </w:r>
      <w:hyperlink r:id="rId13" w:history="1">
        <w:r>
          <w:rPr>
            <w:rFonts w:ascii="arial" w:eastAsia="arial" w:hAnsi="arial" w:cs="arial"/>
            <w:b w:val="0"/>
            <w:i/>
            <w:strike w:val="0"/>
            <w:noProof w:val="0"/>
            <w:color w:val="0077CC"/>
            <w:position w:val="0"/>
            <w:sz w:val="20"/>
            <w:u w:val="single"/>
            <w:vertAlign w:val="baseline"/>
          </w:rPr>
          <w:t>www.tandfonline.com/doi/full/10.1080/15700760701655524?mobileUi=0</w:t>
        </w:r>
      </w:hyperlink>
      <w:r>
        <w:rPr>
          <w:rFonts w:ascii="arial" w:eastAsia="arial" w:hAnsi="arial" w:cs="arial"/>
          <w:b w:val="0"/>
          <w:i/>
          <w:strike w:val="0"/>
          <w:noProof w:val="0"/>
          <w:color w:val="000000"/>
          <w:position w:val="0"/>
          <w:sz w:val="20"/>
          <w:u w:val="none"/>
          <w:vertAlign w:val="baseline"/>
        </w:rPr>
        <w:t>&amp;;</w:t>
      </w:r>
      <w:r>
        <w:rPr>
          <w:rFonts w:ascii="arial" w:eastAsia="arial" w:hAnsi="arial" w:cs="arial"/>
          <w:b w:val="0"/>
          <w:i w:val="0"/>
          <w:strike w:val="0"/>
          <w:noProof w:val="0"/>
          <w:color w:val="000000"/>
          <w:position w:val="0"/>
          <w:sz w:val="20"/>
          <w:u w:val="none"/>
          <w:vertAlign w:val="baseline"/>
        </w:rPr>
        <w:t xml:space="preserve"> Wallace Foundation, "The School Principal as Leader: Guiding Schools to Better Teaching and Learning" (2013 available at </w:t>
      </w:r>
      <w:hyperlink r:id="rId14" w:history="1">
        <w:r>
          <w:rPr>
            <w:rFonts w:ascii="arial" w:eastAsia="arial" w:hAnsi="arial" w:cs="arial"/>
            <w:b w:val="0"/>
            <w:i/>
            <w:strike w:val="0"/>
            <w:noProof w:val="0"/>
            <w:color w:val="0077CC"/>
            <w:position w:val="0"/>
            <w:sz w:val="20"/>
            <w:u w:val="single"/>
            <w:vertAlign w:val="baseline"/>
          </w:rPr>
          <w:t>www.wallacefoundation.org/knowledge-center/Documents/The-School-Principal-as-Leader-Guiding-Schools-to-Better-Teaching-and-Learning-2nd-Ed.pdf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Ikemoto, Gina, et al., New Leaders, "Playmakers: How great principals build and lead great teams of teachers"(2012) available at </w:t>
      </w:r>
      <w:hyperlink r:id="rId15" w:history="1">
        <w:r>
          <w:rPr>
            <w:rFonts w:ascii="arial" w:eastAsia="arial" w:hAnsi="arial" w:cs="arial"/>
            <w:b w:val="0"/>
            <w:i/>
            <w:strike w:val="0"/>
            <w:noProof w:val="0"/>
            <w:color w:val="0077CC"/>
            <w:position w:val="0"/>
            <w:sz w:val="20"/>
            <w:u w:val="single"/>
            <w:vertAlign w:val="baseline"/>
          </w:rPr>
          <w:t>www.newleaders.org/wp-content/uploads/Playmakers.pdf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importance of ensuring that Educators are as effective as possible--especially in high-need schools, where equal educational opportunity is particularly important for historically underserved students--TSL is designed to utilize PBCSs and other supports for Educators as a central part of an LEA's effort to improve student academic achievement. Indeed, the TSL statute gives priority to applicants that propose to focus supports on Educators in High-Need Schools. By providing Educators with PBCSs, in which performance-based compensation may include robust career ladder opportunities for effective Educators, TSL aims to reward Educators for their effectiveness and improved student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cohorts of TIF grantees expanded LEA teacher and principal evaluation systems to include all teachers and principals in a given LEA, and measured educator performance using multiple factors, including classroom observations and gains in student academic achievement. Using the information generated from these more comprehensive teacher and principal evaluation systems, successful TIF grantees began to transform how effective teachers and principals were compensated, moving beyond the episodic performance-based bonuses that were more typical of early TIF cohorts. Recent cohorts of TIF grantees also began complementing their compensation incentives with non-compensation supports in order to build stronger support systems throughout teachers' and principals' trajectory, from pre-service through retention. These strategies included using teacher and principal evaluation systems to inform decisions about recruitment, retention, tenure, compensation, support, and leadership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TIF grantees also demonstrated that implementing successful Educator Evaluation and Support Systems that inform performance-based compensation can occur across a wide range of contexts. However, based on reports from grantees and from evaluations of early TIF cohorts, the most promising TIF-supported efforts appear to be those that are designed to support instructional improvements through use of classroom and school-level data, to create a shared understanding of effective classroom-level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many States and LEAs have developed high-quality Educator Evaluation and Support systems as part of their efforts to improve LEAs' hiring practices, provide Educators with meaningful feedback and targeted professional development, and use information on Educator performance to inform key school- and district-level decisions. As such, an increasing number of LEAs are well-equipped to make human capital decisions that both support Educators and improve student outcomes. In view of the work and resources that many LEAs have already invested in an HCMS, PBCS, and Educator Evaluation and Support Systems that already meet provisions of the TSL statute, and the desire to have make awards to applicants who are ready to expand upon their existing work, we have structured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permit LEAs to build upon and improve existing HCMS, PBCS, and Educator Evaluation and Support Systems that meet the definitions of these terms in this notice that come from the TSL statute. Doing so could include efforts to improve the Educator Evaluation and Support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make them even more fair, reliable, and credible; better align formative and summative assessments with college- and career-ready standards; or provide more mentoring and coaching to support Educators) as well as efforts to have the HCMS and Educator Evaluation and Support Systems address new challenges or opportunities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partnering with institutions of higher education to strengthen pre-service programming or creating a teacher residency program, including one that is consistent with the definition of the term in section 2002(5) of the ESEA.) The Department encourages applicants to reflect these types of efforts in their TSL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much work remains to ensure that students, particularly those whose families live in poverty, have equitable access to the most effective Educators. In order to help ensure that every public school student has equitable access to excellent Educators, in 2014 the Department asked each State educational agency (SEA) to submit a State Plan to Ensure Equitable Access to Excellent Educators describing how it will ensure that "poor and minority children are not taught at higher rates than other children by inexperienced, unqualified, or out-of-field teachers," as formerly required by section 1111(b)(8)(C) of the ESEA, as reauthorized by the No Child Left Behind Act (now section 1111(g)(1)(B) of the ESEA, as amended by ESSA). All 50 States, the District of Columbia, and the Commonwealth of Puerto Rico developed plans that the Department approved in 2015. States began to implement these plans in the 2015-16 school year. Several of the States' proposed approaches reflected in these plans include performance-based compensation, including strategies such as career pathways that TSL funds could support. Therefore, the Department encourages applicants to align their TSL proposals to their State plans, and has established a priority for this purpose. In addition, given the emerging literature on the importance of educator diversity, the Department encourages applicants to leverage TSL resources to diversify their Educator workforce, and, similarly, has established a second priority for this purpose. More information on the importance of educator workforce diversity can be found in the Department's report on The State of Racial Diversity in the Educator Workforce at the following link: </w:t>
      </w:r>
      <w:hyperlink r:id="rId16" w:history="1">
        <w:r>
          <w:rPr>
            <w:rFonts w:ascii="arial" w:eastAsia="arial" w:hAnsi="arial" w:cs="arial"/>
            <w:b w:val="0"/>
            <w:i/>
            <w:strike w:val="0"/>
            <w:noProof w:val="0"/>
            <w:color w:val="0077CC"/>
            <w:position w:val="0"/>
            <w:sz w:val="20"/>
            <w:u w:val="single"/>
            <w:vertAlign w:val="baseline"/>
          </w:rPr>
          <w:t>https://www2.ed.gov/rschstat/eval/highered/racial-diversity/state-racial-diversity-workforce.pdf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the TIF program focused its efforts on implementing performance-based compensation in high-need schools. Under provisions that include ESEA sections 2211(a) and (b)(2) and 2212(d)(1), TSL continues to ensure that grantees focus their activities on teachers and School Leaders in high-need schools. In this regard, ESEA section 2211(b)(2) defines a High-Need School as a public elementary or secondary school that is located in an area in which the percentage of students from families with incomes below the poverty line is 30 percent or more. The definition of poverty line in ESEA section 8101(41) effectively requires the Department to use poverty line data gathered by the U.S. Census Bureau since no other data that meet this definition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Department has determined that the school-level poverty-line data required by the definition of High-Need School are unavailable; the U.S. Census Bureau reports these data only by LEA. As such, </w:t>
      </w:r>
      <w:r>
        <w:rPr>
          <w:rFonts w:ascii="arial" w:eastAsia="arial" w:hAnsi="arial" w:cs="arial"/>
          <w:b/>
          <w:i w:val="0"/>
          <w:strike w:val="0"/>
          <w:noProof w:val="0"/>
          <w:color w:val="000000"/>
          <w:position w:val="0"/>
          <w:sz w:val="20"/>
          <w:u w:val="none"/>
          <w:vertAlign w:val="baseline"/>
        </w:rPr>
        <w:t> [*92795] </w:t>
      </w:r>
      <w:r>
        <w:rPr>
          <w:rFonts w:ascii="arial" w:eastAsia="arial" w:hAnsi="arial" w:cs="arial"/>
          <w:b w:val="0"/>
          <w:i w:val="0"/>
          <w:strike w:val="0"/>
          <w:noProof w:val="0"/>
          <w:color w:val="000000"/>
          <w:position w:val="0"/>
          <w:sz w:val="20"/>
          <w:u w:val="none"/>
          <w:vertAlign w:val="baseline"/>
        </w:rPr>
        <w:t xml:space="preserve"> in order to ensure that awards made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still focus on schools that are high-poverty, the Secretary is exercising the orderly transition authority in section 4(b) of ESSA to define a High-Need School 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the same poverty measure applicable to the definition of a High-Need School for the past three TIF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Since the income of a family below the poverty line is much lower than the income a family needs to enable its children to be eligible for free or reduced-price lunch subsidies under the Richard B. Russell National School Lunch Act (the poverty measure used in all prior TIF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we believe that use of the prior TIF poverty measure to determine which schools are high-need is also a reasonable approach to implementing Congressional intent for TSL.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four absolute priorities and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We are establishing these priorities, requirements, and definitions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17"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 following priorities are absolute priorities. Under 34 CFR 75.105(c)(3), applications must meet the following absolute priorities in order to be considered for awards: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Absolute Priority 1:</w:t>
      </w:r>
      <w:r>
        <w:rPr>
          <w:rFonts w:ascii="arial" w:eastAsia="arial" w:hAnsi="arial" w:cs="arial"/>
          <w:b w:val="0"/>
          <w:i w:val="0"/>
          <w:strike w:val="0"/>
          <w:noProof w:val="0"/>
          <w:color w:val="000000"/>
          <w:position w:val="0"/>
          <w:sz w:val="20"/>
          <w:u w:val="none"/>
          <w:vertAlign w:val="baseline"/>
        </w:rPr>
        <w:t xml:space="preserve"> Human Capital Management System; and one of the three following Absolute Priorities: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Absolute Priority 2:</w:t>
      </w:r>
      <w:r>
        <w:rPr>
          <w:rFonts w:ascii="arial" w:eastAsia="arial" w:hAnsi="arial" w:cs="arial"/>
          <w:b w:val="0"/>
          <w:i w:val="0"/>
          <w:strike w:val="0"/>
          <w:noProof w:val="0"/>
          <w:color w:val="000000"/>
          <w:position w:val="0"/>
          <w:sz w:val="20"/>
          <w:u w:val="none"/>
          <w:vertAlign w:val="baseline"/>
        </w:rPr>
        <w:t xml:space="preserve"> Evaluation and Support Systems for Teachers;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Absolute Priority 3:</w:t>
      </w:r>
      <w:r>
        <w:rPr>
          <w:rFonts w:ascii="arial" w:eastAsia="arial" w:hAnsi="arial" w:cs="arial"/>
          <w:b w:val="0"/>
          <w:i w:val="0"/>
          <w:strike w:val="0"/>
          <w:noProof w:val="0"/>
          <w:color w:val="000000"/>
          <w:position w:val="0"/>
          <w:sz w:val="20"/>
          <w:u w:val="none"/>
          <w:vertAlign w:val="baseline"/>
        </w:rPr>
        <w:t xml:space="preserve"> Evaluation and Support Systems for School Leaders; or</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Absolute Priority 4:</w:t>
      </w:r>
      <w:r>
        <w:rPr>
          <w:rFonts w:ascii="arial" w:eastAsia="arial" w:hAnsi="arial" w:cs="arial"/>
          <w:b w:val="0"/>
          <w:i w:val="0"/>
          <w:strike w:val="0"/>
          <w:noProof w:val="0"/>
          <w:color w:val="000000"/>
          <w:position w:val="0"/>
          <w:sz w:val="20"/>
          <w:u w:val="none"/>
          <w:vertAlign w:val="baseline"/>
        </w:rPr>
        <w:t xml:space="preserve"> Evaluation and Support Systems for Teachers and School Leaders.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indicate in their applications under which absolute priorities they are applying. Applications that do not clearly address Absolute Priority 1 and one of the other absolute priorities (Absolute Priorities 2, 3, or 4) will not be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that applications in each funding category are of sufficient quality, the Secretary intends to award grants under each of the three following funding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Evaluation and Support Systems for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Evaluation and Support Systems for School Leaders;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Evaluation and Support Systems for Teachers and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in each funding category will be peer reviewed, scored based on the selection criteria announced in this notice, and placed in rank order. Consistent with section 2212(d)(2) of the ESEA, to the extent practicable, the Secretary will award an equitable geographic distribution of grants, including the distribution of such grants between rural and urban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absolute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Human Capital Management System (HCMS).</w:t>
      </w:r>
      <w:r>
        <w:rPr>
          <w:rFonts w:ascii="arial" w:eastAsia="arial" w:hAnsi="arial" w:cs="arial"/>
          <w:b w:val="0"/>
          <w:i w:val="0"/>
          <w:strike w:val="0"/>
          <w:noProof w:val="0"/>
          <w:color w:val="000000"/>
          <w:position w:val="0"/>
          <w:sz w:val="20"/>
          <w:u w:val="none"/>
          <w:vertAlign w:val="baseline"/>
        </w:rPr>
        <w:t xml:space="preserve"> To meet this priority, the applicant must include, in its application, a description of its existing LEA-wide HCMS (or, in the case of a consortium application or an SEA application, the shared HCMS that currently exists across the proposed LEAs that will participate in this project), including a description of its PBCS. In addition, the application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the HCMS currently includes an Evaluation and Support System for teachers, School Leaders, or both, that reflects clear and fair measures of performance, based in part on demonstrated improvement in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proposed modifications of the HCMS under the proposed project, including modifications that expand or improve the Evaluation and Support System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the Evaluation and Support System will provide ongoing, differentiated, targeted, and personalized support and feedback for improvement, including professional development opportunities designed to increase effectiveness during the entire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data system that links Educators with student academic achievement data;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How the HCMS uses performance information from the Evaluation and Support System to inform key school- and district-level human capital decisions as decisions on preparation, recruitment, hiring, placement, retention, dismissal, compensation (including performance-based compensation), professional development, tenure, and promotion, particularly as they affect Educators working in High-Need Schools in the LEA or LEAs the project will serve.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described HCMS, PBCS, and the applicable Educator Evaluation and Support Systems must meet the definition of these terms in this notice. In addition, applicants may optionally include other school personnel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support staff, counselors, and aides) in their HCMS as local circumstances warrant.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Evaluation and Support Systems for Teachers.</w:t>
      </w:r>
      <w:r>
        <w:rPr>
          <w:rFonts w:ascii="arial" w:eastAsia="arial" w:hAnsi="arial" w:cs="arial"/>
          <w:b w:val="0"/>
          <w:i w:val="0"/>
          <w:strike w:val="0"/>
          <w:noProof w:val="0"/>
          <w:color w:val="000000"/>
          <w:position w:val="0"/>
          <w:sz w:val="20"/>
          <w:u w:val="none"/>
          <w:vertAlign w:val="baseline"/>
        </w:rPr>
        <w:t xml:space="preserve"> To meet this priority, the applicant must include, in its application, a description of how its project would enhance its Evaluation and Support System for teachers in High-Need Schools in the LEA or LEAs the project will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 Evaluation and Support Systems for School Leaders.</w:t>
      </w:r>
      <w:r>
        <w:rPr>
          <w:rFonts w:ascii="arial" w:eastAsia="arial" w:hAnsi="arial" w:cs="arial"/>
          <w:b w:val="0"/>
          <w:i w:val="0"/>
          <w:strike w:val="0"/>
          <w:noProof w:val="0"/>
          <w:color w:val="000000"/>
          <w:position w:val="0"/>
          <w:sz w:val="20"/>
          <w:u w:val="none"/>
          <w:vertAlign w:val="baseline"/>
        </w:rPr>
        <w:t xml:space="preserve"> To meet this priority, the applicant must include, in its application, a description of how its project would enhance its Evaluation and Support System for School Leaders in High-Need Schools in the LEA or LEAs the project will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 Evaluation and Support Systems for Teachers and School Leaders.</w:t>
      </w:r>
      <w:r>
        <w:rPr>
          <w:rFonts w:ascii="arial" w:eastAsia="arial" w:hAnsi="arial" w:cs="arial"/>
          <w:b w:val="0"/>
          <w:i w:val="0"/>
          <w:strike w:val="0"/>
          <w:noProof w:val="0"/>
          <w:color w:val="000000"/>
          <w:position w:val="0"/>
          <w:sz w:val="20"/>
          <w:u w:val="none"/>
          <w:vertAlign w:val="baseline"/>
        </w:rPr>
        <w:t xml:space="preserve"> To meet this priority, the applicant must include, in its application, a description of how its project would enhance its Evaluation and Support System for teachers and School Leaders in High-Need Schools in the LEA or LEAs the project will serve.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following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 we award additional points to an application depending on how well the application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apply under one, two, or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 application can receive up to 10 points for meeting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up to 5 points for meeting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depending on how well the application meets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maximum total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points an application may receive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Using the HCMS to Improve Equitable Access to Effective Educators (up to 10 points).</w:t>
      </w:r>
      <w:r>
        <w:rPr>
          <w:rFonts w:ascii="arial" w:eastAsia="arial" w:hAnsi="arial" w:cs="arial"/>
          <w:b w:val="0"/>
          <w:i w:val="0"/>
          <w:strike w:val="0"/>
          <w:noProof w:val="0"/>
          <w:color w:val="000000"/>
          <w:position w:val="0"/>
          <w:sz w:val="20"/>
          <w:u w:val="none"/>
          <w:vertAlign w:val="baseline"/>
        </w:rPr>
        <w:t xml:space="preserve"> Projects that are designed to address the most significant gaps or insufficiencies in student access to effective teachers, School Leaders, or both teachers and School Leaders, in High-Need Schools, including gaps or inequities in how effective teachers, School Leaders, or both, are distributed across the LEA or LEAs the project will serve. At minimum,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Identify the most significant gaps or insufficiencies in student access to effective teachers, School Leaders, or both, in High-Need Schools, including gaps or inequities in how effective teachers, School Leaders, or both, are distributed across the LEA(s) the project will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Identify relevant factors used in determining such gaps, such as data on </w:t>
      </w:r>
      <w:r>
        <w:rPr>
          <w:rFonts w:ascii="arial" w:eastAsia="arial" w:hAnsi="arial" w:cs="arial"/>
          <w:b/>
          <w:i w:val="0"/>
          <w:strike w:val="0"/>
          <w:noProof w:val="0"/>
          <w:color w:val="000000"/>
          <w:position w:val="0"/>
          <w:sz w:val="20"/>
          <w:u w:val="none"/>
          <w:vertAlign w:val="baseline"/>
        </w:rPr>
        <w:t> [*92796] </w:t>
      </w:r>
      <w:r>
        <w:rPr>
          <w:rFonts w:ascii="arial" w:eastAsia="arial" w:hAnsi="arial" w:cs="arial"/>
          <w:b w:val="0"/>
          <w:i w:val="0"/>
          <w:strike w:val="0"/>
          <w:noProof w:val="0"/>
          <w:color w:val="000000"/>
          <w:position w:val="0"/>
          <w:sz w:val="20"/>
          <w:u w:val="none"/>
          <w:vertAlign w:val="baseline"/>
        </w:rPr>
        <w:t xml:space="preserve"> availability of school resources, staffing patterns, school climate, and educator support;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Describe how the strategies proposed for closing the identified gaps are aligned to and are consistent with the strategies identified in the State's Plan to Ensure Equitable Access to Excellent Educators, approved by the Department in 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Attracting, Supporting, and Retaining a Diverse and Effective Workforce (up to 5 points).</w:t>
      </w:r>
      <w:r>
        <w:rPr>
          <w:rFonts w:ascii="arial" w:eastAsia="arial" w:hAnsi="arial" w:cs="arial"/>
          <w:b w:val="0"/>
          <w:i w:val="0"/>
          <w:strike w:val="0"/>
          <w:noProof w:val="0"/>
          <w:color w:val="000000"/>
          <w:position w:val="0"/>
          <w:sz w:val="20"/>
          <w:u w:val="none"/>
          <w:vertAlign w:val="baseline"/>
        </w:rPr>
        <w:t xml:space="preserve"> Projects that are designed to attract, support, and retain a diverse and effective workforce, including effective teachers, School Leaders, or both, from historically underrepresented populations. At minimum, applicants must provide a description detailing their commitment to creating and maintaining a diverse workforce, and their plan for attracting, supporting, and retaining diverse Educators.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following requirements are from ESEA sections 2212 and 2213: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1--Use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applicant must demonstrate how it will use TSL grant funds to develop, implement, improve, or expand, in collaboration with Educators and members of the public,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Developing or improving an Evaluation and Support System, including as part of an HCMS,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Reflects clear and fair measures of teacher or School Leader performance, or both, based in part on demonstrated improvement in student academic achievement;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Provides teachers, or School Leaders, or both, with ongoing, differentiated, targeted, and personalized support and feedback for improvement, including professional development opportunities designed to increase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Conducting outreach within an LEA or a State to gain input on how to construct an Evaluation and Support System and to develop support for the Evaluation and Support System, including by training appropriate personnel in how to observe and evaluate teachers, or School Leaders,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Providing School Leaders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Balanced autonomy to make budgeting, scheduling, and other school-level decisions in a manner that meets the needs of the school without compromising the intent or essential components of the policies of the LEA or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Authority to make staffing decisions that meet the needs of the school, such as building an instructional leadership team that includes teacher leaders or offering opportunities for teams or pairs of effective teachers or candidates to teach or start teaching in High-Need Schools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Implementing, as part of a comprehensive PBCS, a differentiated salary structure, which may include bonuses and stipends, to one or both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Teachers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Teach in High-Need Schools or high-need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Raise student academic achievement;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Take on additional leadership responsibilities;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School Leaders who serve in High-Need Schools and raise student academic achievement in the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Improving the LEA's system and process for the recruitment, selection, placement, and retention of effective teachers, or School Leaders, or both, in High-Need Schools, such as by improving LEA policies and procedures to ensure that High-Need schools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timely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Attracting, hiring, and retaining effective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Offering bonuses or higher salaries to effective Educators;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Establishing or strengthening School Leader Residency Programs and Teacher Residency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Instituting career advancement opportunities characterized by increased responsibility and pay that reward and recognize effective teachers, principals, or other School Leaders in High-Need Schools and enable them to expand their leadership and results, such as through teacher-led professional development, mentoring, coaching, hybrid roles, administrative duties, and career ladders.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2--Matching: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applicant must provide a signed assurance attesting to its intent and ability to meet the TSL requirement in section 2212(f) of the ESEA that the applicant provide, from non-Federal sources, an amount equal to 50 percent of the amount of the grant, which may be provided in cash or in kind, to carry out the activities supported by the grant. Applicants and grantees must budget their matching contributions on an annual basis relative to each annual award of TSL grant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3--Documentation of High-Need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applicant must demonstrate, in its application, that at least the majority of schools whose Educators will participate in the implementation of the TSL-funded PBCS are High-Need Schools (as defined in this notice). In doing so, each applicant must provide,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list of schools in which the proposed TSL-supported PBCS would be implemented, and an identification of which of these schools are High-Need Schools;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For each High-Need School listed, the most current data on the percentage of students who are eligible for free or reduced-price lunch subsidies under the Richard B. Russell National School Lunch Act, or are considered students from low-income families based on another poverty measure that the LEA uses under section 1113(a)(5) of the ESEA </w:t>
      </w:r>
      <w:hyperlink r:id="rId18" w:history="1">
        <w:r>
          <w:rPr>
            <w:rFonts w:ascii="arial" w:eastAsia="arial" w:hAnsi="arial" w:cs="arial"/>
            <w:b w:val="0"/>
            <w:i/>
            <w:strike w:val="0"/>
            <w:noProof w:val="0"/>
            <w:color w:val="0077CC"/>
            <w:position w:val="0"/>
            <w:sz w:val="20"/>
            <w:u w:val="single"/>
            <w:vertAlign w:val="baseline"/>
          </w:rPr>
          <w:t>(20 U.S.C. 6313</w:t>
        </w:r>
      </w:hyperlink>
      <w:r>
        <w:rPr>
          <w:rFonts w:ascii="arial" w:eastAsia="arial" w:hAnsi="arial" w:cs="arial"/>
          <w:b w:val="0"/>
          <w:i w:val="0"/>
          <w:strike w:val="0"/>
          <w:noProof w:val="0"/>
          <w:color w:val="000000"/>
          <w:position w:val="0"/>
          <w:sz w:val="20"/>
          <w:u w:val="none"/>
          <w:vertAlign w:val="baseline"/>
        </w:rPr>
        <w:t>(a)(5));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applicant's rationale for extending the TSL-funded PBCS to any Educators who are not working in High-Need Schools.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Data provided to demonstrate eligibility as a High-Need School must be school-level data; the Department will not accept LEA- or State-level data for purposes of documenting whether a school is a High-Need School.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definitions of </w:t>
      </w:r>
      <w:r>
        <w:rPr>
          <w:rFonts w:ascii="arial" w:eastAsia="arial" w:hAnsi="arial" w:cs="arial"/>
          <w:b w:val="0"/>
          <w:i/>
          <w:strike w:val="0"/>
          <w:noProof w:val="0"/>
          <w:color w:val="000000"/>
          <w:position w:val="0"/>
          <w:sz w:val="20"/>
          <w:u w:val="none"/>
          <w:vertAlign w:val="baseline"/>
        </w:rPr>
        <w:t>Evaluation and Support System, Evidence-Based,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Human Capital Management System (HCMS), Performance-Based Compensation System,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School Leader, School Leader Residency Program,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Teacher Residency Program</w:t>
      </w:r>
      <w:r>
        <w:rPr>
          <w:rFonts w:ascii="arial" w:eastAsia="arial" w:hAnsi="arial" w:cs="arial"/>
          <w:b w:val="0"/>
          <w:i w:val="0"/>
          <w:strike w:val="0"/>
          <w:noProof w:val="0"/>
          <w:color w:val="000000"/>
          <w:position w:val="0"/>
          <w:sz w:val="20"/>
          <w:u w:val="none"/>
          <w:vertAlign w:val="baseline"/>
        </w:rPr>
        <w:t xml:space="preserve"> are from sections 2002, 2211, 2212, 8101(21), and 8101(44) of the ESEA. The definition of </w:t>
      </w:r>
      <w:r>
        <w:rPr>
          <w:rFonts w:ascii="arial" w:eastAsia="arial" w:hAnsi="arial" w:cs="arial"/>
          <w:b w:val="0"/>
          <w:i/>
          <w:strike w:val="0"/>
          <w:noProof w:val="0"/>
          <w:color w:val="000000"/>
          <w:position w:val="0"/>
          <w:sz w:val="20"/>
          <w:u w:val="none"/>
          <w:vertAlign w:val="baseline"/>
        </w:rPr>
        <w:t>High-Need School</w:t>
      </w:r>
      <w:r>
        <w:rPr>
          <w:rFonts w:ascii="arial" w:eastAsia="arial" w:hAnsi="arial" w:cs="arial"/>
          <w:b w:val="0"/>
          <w:i w:val="0"/>
          <w:strike w:val="0"/>
          <w:noProof w:val="0"/>
          <w:color w:val="000000"/>
          <w:position w:val="0"/>
          <w:sz w:val="20"/>
          <w:u w:val="none"/>
          <w:vertAlign w:val="baseline"/>
        </w:rPr>
        <w:t xml:space="preserve"> is based on definitions of the term used in the 2012 and 2016 TIF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but, like the definition in section 2211(b) of the ESEA, focuses only on the extent of family poverty of the students the school serves. We are establishing the definitions for </w:t>
      </w:r>
      <w:r>
        <w:rPr>
          <w:rFonts w:ascii="arial" w:eastAsia="arial" w:hAnsi="arial" w:cs="arial"/>
          <w:b w:val="0"/>
          <w:i/>
          <w:strike w:val="0"/>
          <w:noProof w:val="0"/>
          <w:color w:val="000000"/>
          <w:position w:val="0"/>
          <w:sz w:val="20"/>
          <w:u w:val="none"/>
          <w:vertAlign w:val="baseline"/>
        </w:rPr>
        <w:t>Correlational Study with Statistical Controls for Selection Bias, Demonstrates a Rationale,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Educators, Experimental Study,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Large Sample, Logic Model,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Meets What Works Clearinghouse Evidence Standards with Reservations, Meets What Works Clearinghouse Evidence Standards without Reservations,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Moderate Evidence, Multi-Site Sample,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Project Component, Promising Evidence,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Quasi-Experimental Design Study, Randomized Controlled Trial,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Regression Discontinuity Design Study, Relevant Finding,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Relevant Outcome, Single-Case Design Study, and Strong Evidence</w:t>
      </w:r>
      <w:r>
        <w:rPr>
          <w:rFonts w:ascii="arial" w:eastAsia="arial" w:hAnsi="arial" w:cs="arial"/>
          <w:b w:val="0"/>
          <w:i w:val="0"/>
          <w:strike w:val="0"/>
          <w:noProof w:val="0"/>
          <w:color w:val="000000"/>
          <w:position w:val="0"/>
          <w:sz w:val="20"/>
          <w:u w:val="none"/>
          <w:vertAlign w:val="baseline"/>
        </w:rPr>
        <w:t xml:space="preserve">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in accordance with section 437(d)(1) of GEPA, </w:t>
      </w:r>
      <w:hyperlink r:id="rId17"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Correlational Study with Statistical Controls for Selection Bias</w:t>
      </w:r>
      <w:r>
        <w:rPr>
          <w:rFonts w:ascii="arial" w:eastAsia="arial" w:hAnsi="arial" w:cs="arial"/>
          <w:b w:val="0"/>
          <w:i w:val="0"/>
          <w:strike w:val="0"/>
          <w:noProof w:val="0"/>
          <w:color w:val="000000"/>
          <w:position w:val="0"/>
          <w:sz w:val="20"/>
          <w:u w:val="none"/>
          <w:vertAlign w:val="baseline"/>
        </w:rPr>
        <w:t xml:space="preserve"> means a study that (1) estimates how a relevant outcome varies with the receipt of a </w:t>
      </w:r>
      <w:r>
        <w:rPr>
          <w:rFonts w:ascii="arial" w:eastAsia="arial" w:hAnsi="arial" w:cs="arial"/>
          <w:b/>
          <w:i w:val="0"/>
          <w:strike w:val="0"/>
          <w:noProof w:val="0"/>
          <w:color w:val="000000"/>
          <w:position w:val="0"/>
          <w:sz w:val="20"/>
          <w:u w:val="none"/>
          <w:vertAlign w:val="baseline"/>
        </w:rPr>
        <w:t> [*92797] </w:t>
      </w:r>
      <w:r>
        <w:rPr>
          <w:rFonts w:ascii="arial" w:eastAsia="arial" w:hAnsi="arial" w:cs="arial"/>
          <w:b w:val="0"/>
          <w:i w:val="0"/>
          <w:strike w:val="0"/>
          <w:noProof w:val="0"/>
          <w:color w:val="000000"/>
          <w:position w:val="0"/>
          <w:sz w:val="20"/>
          <w:u w:val="none"/>
          <w:vertAlign w:val="baseline"/>
        </w:rPr>
        <w:t xml:space="preserve"> project component, and (2) uses sampling of analysis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multiple regression) to account for at least some of the differences between the groups being compared.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Demonstrates a Rationale</w:t>
      </w:r>
      <w:r>
        <w:rPr>
          <w:rFonts w:ascii="arial" w:eastAsia="arial" w:hAnsi="arial" w:cs="arial"/>
          <w:b w:val="0"/>
          <w:i w:val="0"/>
          <w:strike w:val="0"/>
          <w:noProof w:val="0"/>
          <w:color w:val="000000"/>
          <w:position w:val="0"/>
          <w:sz w:val="20"/>
          <w:u w:val="none"/>
          <w:vertAlign w:val="baseline"/>
        </w:rPr>
        <w:t xml:space="preserve"> means the project component is supported by a reasonable logic model that is informed by research or an evaluation that suggests how the project component is likely to improve relevant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Educator</w:t>
      </w:r>
      <w:r>
        <w:rPr>
          <w:rFonts w:ascii="arial" w:eastAsia="arial" w:hAnsi="arial" w:cs="arial"/>
          <w:b w:val="0"/>
          <w:i w:val="0"/>
          <w:strike w:val="0"/>
          <w:noProof w:val="0"/>
          <w:color w:val="000000"/>
          <w:position w:val="0"/>
          <w:sz w:val="20"/>
          <w:u w:val="none"/>
          <w:vertAlign w:val="baseline"/>
        </w:rPr>
        <w:t xml:space="preserve"> means a teacher, principal or other School Leader.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Evaluation and Support System</w:t>
      </w:r>
      <w:r>
        <w:rPr>
          <w:rFonts w:ascii="arial" w:eastAsia="arial" w:hAnsi="arial" w:cs="arial"/>
          <w:b w:val="0"/>
          <w:i w:val="0"/>
          <w:strike w:val="0"/>
          <w:noProof w:val="0"/>
          <w:color w:val="000000"/>
          <w:position w:val="0"/>
          <w:sz w:val="20"/>
          <w:u w:val="none"/>
          <w:vertAlign w:val="baseline"/>
        </w:rPr>
        <w:t xml:space="preserve"> means a system that is fair, rigorous, valid, reliable, and objective and reflects clear and fair measures of teacher, principal, or other School Leader performance, based in part on demonstrated improvement in student academic achievement; and provides teachers, principals, or other School Leaders with ongoing, differentiated, targeted, and personalized support and feedback for improvement, including professional development opportunities designed to increase effectiveness. (ESEA Section 2212(c)(4) and (e)(2)(A))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Evidence-Based</w:t>
      </w:r>
      <w:r>
        <w:rPr>
          <w:rFonts w:ascii="arial" w:eastAsia="arial" w:hAnsi="arial" w:cs="arial"/>
          <w:b w:val="0"/>
          <w:i w:val="0"/>
          <w:strike w:val="0"/>
          <w:noProof w:val="0"/>
          <w:color w:val="000000"/>
          <w:position w:val="0"/>
          <w:sz w:val="20"/>
          <w:u w:val="none"/>
          <w:vertAlign w:val="baseline"/>
        </w:rPr>
        <w:t xml:space="preserve"> means the proposed activity, strategy, or intervention is: supported by strong evidence, supported by moderate evidence, supported by promising evidence, or demonstrates a rationale. (ESEA section 8101(21))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such as a </w:t>
      </w: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(RCT), that is designed to compare outcomes between two groups of individuals that are otherwise equivalent except for their assignment to either a treatment group receiving a project component or a control group that does not. In some circumstances, a finding from a R </w:t>
      </w:r>
      <w:r>
        <w:rPr>
          <w:rFonts w:ascii="arial" w:eastAsia="arial" w:hAnsi="arial" w:cs="arial"/>
          <w:b w:val="0"/>
          <w:i/>
          <w:strike w:val="0"/>
          <w:noProof w:val="0"/>
          <w:color w:val="000000"/>
          <w:position w:val="0"/>
          <w:sz w:val="20"/>
          <w:u w:val="none"/>
          <w:vertAlign w:val="baseline"/>
        </w:rPr>
        <w:t>egression Discontinuity Design Study</w:t>
      </w:r>
      <w:r>
        <w:rPr>
          <w:rFonts w:ascii="arial" w:eastAsia="arial" w:hAnsi="arial" w:cs="arial"/>
          <w:b w:val="0"/>
          <w:i w:val="0"/>
          <w:strike w:val="0"/>
          <w:noProof w:val="0"/>
          <w:color w:val="000000"/>
          <w:position w:val="0"/>
          <w:sz w:val="20"/>
          <w:u w:val="none"/>
          <w:vertAlign w:val="baseline"/>
        </w:rPr>
        <w:t xml:space="preserve"> (RDD) or findings from a collection of </w:t>
      </w:r>
      <w:r>
        <w:rPr>
          <w:rFonts w:ascii="arial" w:eastAsia="arial" w:hAnsi="arial" w:cs="arial"/>
          <w:b w:val="0"/>
          <w:i/>
          <w:strike w:val="0"/>
          <w:noProof w:val="0"/>
          <w:color w:val="000000"/>
          <w:position w:val="0"/>
          <w:sz w:val="20"/>
          <w:u w:val="none"/>
          <w:vertAlign w:val="baseline"/>
        </w:rPr>
        <w:t>Single-Case Design Studies</w:t>
      </w:r>
      <w:r>
        <w:rPr>
          <w:rFonts w:ascii="arial" w:eastAsia="arial" w:hAnsi="arial" w:cs="arial"/>
          <w:b w:val="0"/>
          <w:i w:val="0"/>
          <w:strike w:val="0"/>
          <w:noProof w:val="0"/>
          <w:color w:val="000000"/>
          <w:position w:val="0"/>
          <w:sz w:val="20"/>
          <w:u w:val="none"/>
          <w:vertAlign w:val="baseline"/>
        </w:rPr>
        <w:t xml:space="preserve"> (SCDs) may be considered equivalent to a finding from an RCT. RCTs and RDDs, and collections of SCDs, depending on design and implementation, can Meet What Works Clearinghouse Evidence Standards without Reservations.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School</w:t>
      </w:r>
      <w:r>
        <w:rPr>
          <w:rFonts w:ascii="arial" w:eastAsia="arial" w:hAnsi="arial" w:cs="arial"/>
          <w:b w:val="0"/>
          <w:i w:val="0"/>
          <w:strike w:val="0"/>
          <w:noProof w:val="0"/>
          <w:color w:val="000000"/>
          <w:position w:val="0"/>
          <w:sz w:val="20"/>
          <w:u w:val="none"/>
          <w:vertAlign w:val="baseline"/>
        </w:rPr>
        <w:t xml:space="preserve"> means a school with 50 percent or more of its enrollment from low-income families, based on eligibility for free or reduced-price lunch subsidies under the Richard B. Russell National School Lunch Act, or other poverty measures that LEAs use consistent with ESEA section 1113(a)(5) </w:t>
      </w:r>
      <w:hyperlink r:id="rId18" w:history="1">
        <w:r>
          <w:rPr>
            <w:rFonts w:ascii="arial" w:eastAsia="arial" w:hAnsi="arial" w:cs="arial"/>
            <w:b w:val="0"/>
            <w:i/>
            <w:strike w:val="0"/>
            <w:noProof w:val="0"/>
            <w:color w:val="0077CC"/>
            <w:position w:val="0"/>
            <w:sz w:val="20"/>
            <w:u w:val="single"/>
            <w:vertAlign w:val="baseline"/>
          </w:rPr>
          <w:t>(20 U.S.C. 6313</w:t>
        </w:r>
      </w:hyperlink>
      <w:r>
        <w:rPr>
          <w:rFonts w:ascii="arial" w:eastAsia="arial" w:hAnsi="arial" w:cs="arial"/>
          <w:b w:val="0"/>
          <w:i w:val="0"/>
          <w:strike w:val="0"/>
          <w:noProof w:val="0"/>
          <w:color w:val="000000"/>
          <w:position w:val="0"/>
          <w:sz w:val="20"/>
          <w:u w:val="none"/>
          <w:vertAlign w:val="baseline"/>
        </w:rPr>
        <w:t>(a)(5). For middle and high schools, eligibility may be calculated on the basis of comparable data from feeder schools. Eligibility as a High-Need School under this definition is determined on the basis of the most currently available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Human Capital Management System (HCMS)</w:t>
      </w:r>
      <w:r>
        <w:rPr>
          <w:rFonts w:ascii="arial" w:eastAsia="arial" w:hAnsi="arial" w:cs="arial"/>
          <w:b w:val="0"/>
          <w:i w:val="0"/>
          <w:strike w:val="0"/>
          <w:noProof w:val="0"/>
          <w:color w:val="000000"/>
          <w:position w:val="0"/>
          <w:sz w:val="20"/>
          <w:u w:val="none"/>
          <w:vertAlign w:val="baseline"/>
        </w:rPr>
        <w:t xml:space="preserve"> means 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By which a LEA makes and implements human capital decisions, such as decisions on preparation, recruitment, hiring, placement, retention, dismissal, compensation, professional development, tenure, and promotion;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includes a Performance-Based Compensation System. (ESEA section 2211(b)(3))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each contain, on average, 10 or more students (or other single analysis units, regardless of whether these single analysis units are disaggregated in the analysis of outcomes for the groups). Multiple studies can cumulatively meet the Multi-Site Sample and Large Sample requirements of Moderate Evidence or Strong Evidence, as long as each study meets the other requirements of the particular level of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Moderate Evidence or Strong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known as a theory of action) means a reasonable conceptual framework that identifies key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theoretical and operational relationships among the key components and outcomes.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without Reservations</w:t>
      </w:r>
      <w:r>
        <w:rPr>
          <w:rFonts w:ascii="arial" w:eastAsia="arial" w:hAnsi="arial" w:cs="arial"/>
          <w:b w:val="0"/>
          <w:i w:val="0"/>
          <w:strike w:val="0"/>
          <w:noProof w:val="0"/>
          <w:color w:val="000000"/>
          <w:position w:val="0"/>
          <w:sz w:val="20"/>
          <w:u w:val="none"/>
          <w:vertAlign w:val="baseline"/>
        </w:rPr>
        <w:t xml:space="preserve"> is the highest possible rating for a study finding reviewed by the What Works Clearinghouse (WWC). Studies receiving this rating provide the highest degree of confidence that an estimated effect was caused by the project component studied. Experimental studies (as defined above) may receive this highest rating. These standards are described in the WWC Procedures and Standards Handbooks, Version 3.0, which can be accessed at </w:t>
      </w:r>
      <w:hyperlink r:id="rId19"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 Reservations</w:t>
      </w:r>
      <w:r>
        <w:rPr>
          <w:rFonts w:ascii="arial" w:eastAsia="arial" w:hAnsi="arial" w:cs="arial"/>
          <w:b w:val="0"/>
          <w:i w:val="0"/>
          <w:strike w:val="0"/>
          <w:noProof w:val="0"/>
          <w:color w:val="000000"/>
          <w:position w:val="0"/>
          <w:sz w:val="20"/>
          <w:u w:val="none"/>
          <w:vertAlign w:val="baseline"/>
        </w:rPr>
        <w:t xml:space="preserve"> is the second-highest rating for a group design study reviewed by the WWC. Studies receiving this rating provide a reasonable degree of confidence that an estimated effect was caused by the project component studied. Both Experimental Studies (such as Randomized Controlled Trials with high rates of sample attrition) and Quasi-Experimental Design Studies (as defined below) may receive this rating if they establish the equivalence of the treatment and comparison groups in key baseline characteristics. These standards are described in the WWC Procedures and Standards Handbooks, Version 3.0, which can be accessed at </w:t>
      </w:r>
      <w:hyperlink r:id="rId20" w:history="1">
        <w:r>
          <w:rPr>
            <w:rFonts w:ascii="arial" w:eastAsia="arial" w:hAnsi="arial" w:cs="arial"/>
            <w:b w:val="0"/>
            <w:i/>
            <w:strike w:val="0"/>
            <w:noProof w:val="0"/>
            <w:color w:val="0077CC"/>
            <w:position w:val="0"/>
            <w:sz w:val="20"/>
            <w:u w:val="single"/>
            <w:vertAlign w:val="baseline"/>
          </w:rPr>
          <w:t>http://ies.ed.gov/ncee/wwc/Handbooks.http://ies.ed.gov/ncee/wwc/Handbooks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w:t>
      </w:r>
      <w:r>
        <w:rPr>
          <w:rFonts w:ascii="arial" w:eastAsia="arial" w:hAnsi="arial" w:cs="arial"/>
          <w:b w:val="0"/>
          <w:i w:val="0"/>
          <w:strike w:val="0"/>
          <w:noProof w:val="0"/>
          <w:color w:val="000000"/>
          <w:position w:val="0"/>
          <w:sz w:val="20"/>
          <w:u w:val="none"/>
          <w:vertAlign w:val="baseline"/>
        </w:rPr>
        <w:t xml:space="preserve"> means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Experimental or Quasi-Experimental Design Study of the effectiveness of the project component with a Relevant Finding that Meets What Works Clearinghouse Evidence Standards With or without Reservations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Quasi-Experimental Design Study or high-attrition Randomized Controlled Trial that establishes the equivalence of the treatment and comparison groups in student achievement at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Relevant Finding in the study described in paragraph (a) of this definition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project component from other findings reviewed by and reported in the What Works Clearinghouse that Meet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Relevant Finding in the study described in paragraph (a) of this definition is based on a sample that overlaps with the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types of student served)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settings proposed to receive the project component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after-school program studied in urban high schools and proposed for rural high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Relevant Finding in the study described in paragraph (a) of this definition is based on a Large Sample and a Multi-Site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 local educational agency (LEA), locality, or State. A sample could be multi-site if it includes campuses in two or more localities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cities or counties), even if the campuses all belong to the same LEA or postsecondary school system. Multiple studies can cumulatively meet the Multi-Site Sample and Large Sample requirements of Moderate Evidence or Strong Evidence, as long as each study meets the other requirements of the particular level of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Moderate Evidence or Strong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Performance-Based Compensation System (PBCS)</w:t>
      </w:r>
      <w:r>
        <w:rPr>
          <w:rFonts w:ascii="arial" w:eastAsia="arial" w:hAnsi="arial" w:cs="arial"/>
          <w:b w:val="0"/>
          <w:i w:val="0"/>
          <w:strike w:val="0"/>
          <w:noProof w:val="0"/>
          <w:color w:val="000000"/>
          <w:position w:val="0"/>
          <w:sz w:val="20"/>
          <w:u w:val="none"/>
          <w:vertAlign w:val="baseline"/>
        </w:rPr>
        <w:t xml:space="preserve"> means a system of compensation for teachers, principals, or other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That differentiates levels of compensation based in part on measurable increases in student academic achievement; and </w:t>
      </w:r>
      <w:r>
        <w:rPr>
          <w:rFonts w:ascii="arial" w:eastAsia="arial" w:hAnsi="arial" w:cs="arial"/>
          <w:b/>
          <w:i w:val="0"/>
          <w:strike w:val="0"/>
          <w:noProof w:val="0"/>
          <w:color w:val="000000"/>
          <w:position w:val="0"/>
          <w:sz w:val="20"/>
          <w:u w:val="none"/>
          <w:vertAlign w:val="baseline"/>
        </w:rPr>
        <w:t> [*92798]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Which may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Differentiated levels of compensation, which may include bonus pay, on the basis of the employment responsibilities and success of effective teachers, principals, or other School Leaders in hard-to-staff schools or high-need subject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Recognition of the skills and knowledge of teachers, principals, or other School Leaders as demonstrated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Successful fulfillment of additional responsibilities or job functions, such as teacher leadership roles;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Evidence of professional achievement and mastery of content knowledge and superior teaching and leadership skills. (ESEA section 2211(b)(4))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Component</w:t>
      </w:r>
      <w:r>
        <w:rPr>
          <w:rFonts w:ascii="arial" w:eastAsia="arial" w:hAnsi="arial" w:cs="arial"/>
          <w:b w:val="0"/>
          <w:i w:val="0"/>
          <w:strike w:val="0"/>
          <w:noProof w:val="0"/>
          <w:color w:val="000000"/>
          <w:position w:val="0"/>
          <w:sz w:val="20"/>
          <w:u w:val="none"/>
          <w:vertAlign w:val="baseline"/>
        </w:rPr>
        <w:t xml:space="preserve"> means an activity, strategy, or intervention included in a project. Evidence may pertain to an individual project component, or to a combination of project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Promising Evidence</w:t>
      </w:r>
      <w:r>
        <w:rPr>
          <w:rFonts w:ascii="arial" w:eastAsia="arial" w:hAnsi="arial" w:cs="arial"/>
          <w:b w:val="0"/>
          <w:i w:val="0"/>
          <w:strike w:val="0"/>
          <w:noProof w:val="0"/>
          <w:color w:val="000000"/>
          <w:position w:val="0"/>
          <w:sz w:val="20"/>
          <w:u w:val="none"/>
          <w:vertAlign w:val="baseline"/>
        </w:rPr>
        <w:t xml:space="preserve"> means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study that is a Correlational Study with Statistical Controls for selection bias with a Relevant Finding;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Relevant Finding in the study described in paragraph (a) of this definition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of the Project Component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Project Component from other findings on the intervention reviewed by and reported in the What Works Clearinghouse that Meets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 (QED)</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This type of study, depending on design and implementation, can Meet What Works Clearinghouse Evidence Standards with Reservations (but not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 (RCT)</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or schools, to receive the Project Component being evaluated (the treatment group) or not to receive the Project Component (the control group). The estimated effectiveness of the Project Component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Regression Discontinuity Design Study</w:t>
      </w:r>
      <w:r>
        <w:rPr>
          <w:rFonts w:ascii="arial" w:eastAsia="arial" w:hAnsi="arial" w:cs="arial"/>
          <w:b w:val="0"/>
          <w:i w:val="0"/>
          <w:strike w:val="0"/>
          <w:noProof w:val="0"/>
          <w:color w:val="000000"/>
          <w:position w:val="0"/>
          <w:sz w:val="20"/>
          <w:u w:val="none"/>
          <w:vertAlign w:val="baseline"/>
        </w:rPr>
        <w:t xml:space="preserve"> (RDD) means a study that assigns the Project Component being evaluated using a measured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students reading below a cutoff score to tutoring or developmental education classes) and controls for that variable in the analysis of outcomes. The effectiveness of the Project Component is estimated for individuals who barely qualify to receive that component.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Finding</w:t>
      </w:r>
      <w:r>
        <w:rPr>
          <w:rFonts w:ascii="arial" w:eastAsia="arial" w:hAnsi="arial" w:cs="arial"/>
          <w:b w:val="0"/>
          <w:i w:val="0"/>
          <w:strike w:val="0"/>
          <w:noProof w:val="0"/>
          <w:color w:val="000000"/>
          <w:position w:val="0"/>
          <w:sz w:val="20"/>
          <w:u w:val="none"/>
          <w:vertAlign w:val="baseline"/>
        </w:rPr>
        <w:t xml:space="preserve"> means a finding from a study regarding the relationship between (A) an activity, strategy, or intervention included as a component of the Logic Model for the proposed project, and (B) a student outcome or other Relevant Outcome included in the Logic Model for the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Project Component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School Leader</w:t>
      </w:r>
      <w:r>
        <w:rPr>
          <w:rFonts w:ascii="arial" w:eastAsia="arial" w:hAnsi="arial" w:cs="arial"/>
          <w:b w:val="0"/>
          <w:i w:val="0"/>
          <w:strike w:val="0"/>
          <w:noProof w:val="0"/>
          <w:color w:val="000000"/>
          <w:position w:val="0"/>
          <w:sz w:val="20"/>
          <w:u w:val="none"/>
          <w:vertAlign w:val="baseline"/>
        </w:rPr>
        <w:t xml:space="preserve"> means a principal, assistant principal, or other individual who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employee or officer of an elementary school or secondary school, LEA, or other entity operating an elementary school or secondary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Responsible for the daily instructional leadership and managerial operations in the elementary school or secondary school building. (ESEA section 8101(44))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School Leader Residency Program</w:t>
      </w:r>
      <w:r>
        <w:rPr>
          <w:rFonts w:ascii="arial" w:eastAsia="arial" w:hAnsi="arial" w:cs="arial"/>
          <w:b w:val="0"/>
          <w:i w:val="0"/>
          <w:strike w:val="0"/>
          <w:noProof w:val="0"/>
          <w:color w:val="000000"/>
          <w:position w:val="0"/>
          <w:sz w:val="20"/>
          <w:u w:val="none"/>
          <w:vertAlign w:val="baseline"/>
        </w:rPr>
        <w:t xml:space="preserve"> means a school-based principal or other School Leader preparation program in which a prospective principal or other school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one academic year, engages in sustained and rigorous clinical learning with substantial leadership responsibilities and an opportunity to practice and be evaluated in an authentic school setting;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During that academic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Participates in Evidence-Based coursework, to the extent the State (in consultation with LEAs in the State) determines that such evidence is reasonably available, that is integrated with the clinical residency experience;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Receives ongoing support from a mentor principal or other school leader, who is effective. (ESEA section 2002(1))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Single-case Design Study (SCD)</w:t>
      </w:r>
      <w:r>
        <w:rPr>
          <w:rFonts w:ascii="arial" w:eastAsia="arial" w:hAnsi="arial" w:cs="arial"/>
          <w:b w:val="0"/>
          <w:i w:val="0"/>
          <w:strike w:val="0"/>
          <w:noProof w:val="0"/>
          <w:color w:val="000000"/>
          <w:position w:val="0"/>
          <w:sz w:val="20"/>
          <w:u w:val="none"/>
          <w:vertAlign w:val="baseline"/>
        </w:rPr>
        <w:t xml:space="preserve"> means a study that uses observations of a single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student eligible for a behavioral intervention) over time in the absence and presence of a controlled treatment manipulation to determine whether the outcome is systematically related to the treatment. According to the WWC Single Case Design Pilot Standards, a collection of these studies, depending on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a sufficient number of cases and of data points per condition),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w:t>
      </w:r>
      <w:r>
        <w:rPr>
          <w:rFonts w:ascii="arial" w:eastAsia="arial" w:hAnsi="arial" w:cs="arial"/>
          <w:b w:val="0"/>
          <w:i w:val="0"/>
          <w:strike w:val="0"/>
          <w:noProof w:val="0"/>
          <w:color w:val="000000"/>
          <w:position w:val="0"/>
          <w:sz w:val="20"/>
          <w:u w:val="none"/>
          <w:vertAlign w:val="baseline"/>
        </w:rPr>
        <w:t xml:space="preserve"> means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Experimental Study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Randomized Controlled Trial) of the effectiveness of the Project Component that has a Relevant Finding that Meets the What Works Clearinghouse Evidence Standards without Reservations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randomized controlled trial with low rates of sample attrition overall and between the treatment and control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Relevant Finding in the study described in paragraph (a) of this definition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Project Component from other findings that Meet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Relevant Finding in the study described in paragraph (a) of this definition is based on a sample that overlaps with the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types of student served)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settings proposed to receive the Project Component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after-school program both studied in, and proposed for, urban high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Relevant Finding in the study described in paragraph (a) of this definition is based on a Large Sample and a Multi-Site Sample.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Teacher Residency Program</w:t>
      </w:r>
      <w:r>
        <w:rPr>
          <w:rFonts w:ascii="arial" w:eastAsia="arial" w:hAnsi="arial" w:cs="arial"/>
          <w:b w:val="0"/>
          <w:i w:val="0"/>
          <w:strike w:val="0"/>
          <w:noProof w:val="0"/>
          <w:color w:val="000000"/>
          <w:position w:val="0"/>
          <w:sz w:val="20"/>
          <w:u w:val="none"/>
          <w:vertAlign w:val="baseline"/>
        </w:rPr>
        <w:t xml:space="preserve"> means a school-based teacher preparation program in which a prospective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not less than one academic year, teaches alongside an effective teacher, as determined by the State or LEA, who is the teacher of record for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Receives concurrent instruction during the year described in subparagraph (A)-- </w:t>
      </w:r>
      <w:r>
        <w:rPr>
          <w:rFonts w:ascii="arial" w:eastAsia="arial" w:hAnsi="arial" w:cs="arial"/>
          <w:b/>
          <w:i w:val="0"/>
          <w:strike w:val="0"/>
          <w:noProof w:val="0"/>
          <w:color w:val="000000"/>
          <w:position w:val="0"/>
          <w:sz w:val="20"/>
          <w:u w:val="none"/>
          <w:vertAlign w:val="baseline"/>
        </w:rPr>
        <w:t> [*92799]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Through courses that may be taught by LEA personnel or by faculty of the teacher preparation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 the teaching of the content area in which the teacher will become certified or licensed;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Acquires effective teaching skills, as demonstrated through completion of a residency program, or other measure determined by the State, which may include a teacher performance assessment. (ESEA section 2002(5))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sections 2211-2213 of the ESEA, as amended by the ESSA, and therefore qualifies for this exemption. In order to ensure timely grant awards, the Secretary has decided to forego public comment on the priorities, requirements, and definitions under section 437(d)(1) of GEPA. These priorities, requirements, and definitions will apply to the FY 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Sections 2211-13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(EDGAR) 34 CFR parts 75, 77, 79, 81,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$ 159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FY 2017, the Administration has requested $ 250,000,000 under TSL. We intend to use an estimated $ 159,000,000 of this funding for new awards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actual level of funding, if any, depends on final congressional action. However, we are inviting applications now to allow enough time to complete the grant process if Congress appropriates funds for this program. Contingent upon the availability of funds and the quality of applications, we may make additional awards in future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$ 500,000-$ 12,000,000 for the first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estimates a wide range of awards given the potentially large differences in the scope of funded projects, including the size and number of participating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$ 10,000,000 for the first year of the project period. Funding for the second through fifth years of the project period is subject to the availability of funds and the approval of continuation awards (see 34 CFR 75.253).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15-20.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with renewal of up two additional years if the grantee demonstrates to the Secretary that the grantee is effectively using funds. Such renewal may include allowing the grantee to scale up or replicate the successful program. Consistent with ESEA section 2212(b)(3), a grantee may receive a TSL grant (whether individually or as part of a consortium or partnership) only twice.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 including a charter school that is an LEA, or a consortium of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SEA or other State agency designated by the Chief Executive of a State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Bureau of Indian Education;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partnership consisting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One or more agencies described in subparagraph (a), (b), or (c);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At least one nonprofit organization as defined in 2 CFR 200.70 or at least one for-profit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Matching:</w:t>
      </w:r>
      <w:r>
        <w:rPr>
          <w:rFonts w:ascii="arial" w:eastAsia="arial" w:hAnsi="arial" w:cs="arial"/>
          <w:b w:val="0"/>
          <w:i w:val="0"/>
          <w:strike w:val="0"/>
          <w:noProof w:val="0"/>
          <w:color w:val="000000"/>
          <w:position w:val="0"/>
          <w:sz w:val="20"/>
          <w:u w:val="none"/>
          <w:vertAlign w:val="baseline"/>
        </w:rPr>
        <w:t xml:space="preserve"> Under section 2212(f) of the ESEA, each grant recipient must provide, from non-Federal sources an amount equal to 50 percent of the amount of the grant (which may be provided in cash or in kind) to carry out the activities supported by the grant. Each applicant will be required to provide a signed assurance attesting to its intent and ability to meet the matching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In accordance with section 2212(g) of the ESEA, funds made available under this program must be used to supplement, and not supplant, other Federal or State funds that would otherwise be expended to carry out activities under this program. The Secretary considers all schools funded by the Department of Interior's Bureau of Indian Education to be LEAs, and the funds that these schools receive from the Department of Interior's annual appropriation to be neither Federal nor State funds. Further, the prohibition against supplanting also means that grantees seeking to charge indirect costs to TSL funds will need to use their negotiated restricted indirect cost rates. See 34 CFR 75.563.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applicants must meet the following application requirements in order to be considered for funding. The application requirements are from ESEA section 2212(c).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eligible applicant desiring a grant under this program must submit an application that contains--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the PBCS or HCMS that the eligible applicant proposes to develop, implement, improve, or expand through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the most significant gaps or insufficiencies in student access to effective teachers, principals, or other School Leaders in High-Need Schools, as applicable to the proposed project, including gaps or inequities in how effective teachers, principals, or other School Leaders are distributed across the LEA, as identified using factors such as data on school resources, staffing patterns, school environment, educator support systems, and other school-level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and evidence of the support and commitment from teachers, principals, or other School Leaders, as applicable to the proposed project, which may include charter school leaders, in the school (including organizations representing teachers, principals, or other school leaders), the community, and the LEA to the activities proposed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description of how the eligible applicant will develop and implement a fair, rigorous, valid, reliable, and objective process to evaluate teacher, principal, or other school leader performance, as applicable to the proposed project, under the system that is based in part on measures of student academic achievement, including the baseline performance against which evaluations of improved performance will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 description of the LEAs or schools to be served under the grant, including student academic </w:t>
      </w:r>
      <w:r>
        <w:rPr>
          <w:rFonts w:ascii="arial" w:eastAsia="arial" w:hAnsi="arial" w:cs="arial"/>
          <w:b/>
          <w:i w:val="0"/>
          <w:strike w:val="0"/>
          <w:noProof w:val="0"/>
          <w:color w:val="000000"/>
          <w:position w:val="0"/>
          <w:sz w:val="20"/>
          <w:u w:val="none"/>
          <w:vertAlign w:val="baseline"/>
        </w:rPr>
        <w:t> [*92800] </w:t>
      </w:r>
      <w:r>
        <w:rPr>
          <w:rFonts w:ascii="arial" w:eastAsia="arial" w:hAnsi="arial" w:cs="arial"/>
          <w:b w:val="0"/>
          <w:i w:val="0"/>
          <w:strike w:val="0"/>
          <w:noProof w:val="0"/>
          <w:color w:val="000000"/>
          <w:position w:val="0"/>
          <w:sz w:val="20"/>
          <w:u w:val="none"/>
          <w:vertAlign w:val="baseline"/>
        </w:rPr>
        <w:t xml:space="preserve"> achievement, demographic, and socioeconomic information as identified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description of the effectiveness of teachers, principals, or other School Leaders, as applicable to the proposed project, in the LEA or LEAs and the schools to be served under the grant, and the extent to which the system will increase the effectiveness of teachers, principals, or other School Leaders in such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description of how the eligible applicant will use grant funds in each year of the grant, including a timeline for implementation of key grant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 description of how the eligible applicant will continue the activities assisted under the grant after the grant period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description of the State, local, or other public or private funds that will be used to supplement the grant, including funds under Title II, part A of the ESEA, and sustain the activities assisted under the grant after the end of the grant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 description of the rationale for the project; how the proposed activities are evidence-based; and if applicable the prior experience of the eligible entity in developing and implementing such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order to demonstrate that the activities are evidence-based, an applicant may, among other things, provide supporting documentation for the study or studies that serve as the evidence base for one or more of the activities that will be implemented as part of the proposed project. Additionally, we encourage applicants to demonstrate in their application that at least one of the activities to be implemented as part of their proposed project is based on Promising Evidence (as defined in this notice). In recent years, the TIF program has released various reports that document the value of, and explore the implementation of, an HCMS n7 that includes a PBCS. n8 In addition, other recent research also explores TSL-type activities. We encourage applicants to include evidence-based activities when considering the full set of TSL activities,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Springer, M.G., Ballou, D., &amp; Peng, A. (2008) Impact of the Teacher Advancement Program on student test score gains: Findings from an independent appraisal." Nashville: National Center for Performance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Chiang, H., Wellington, A., Hallgren, K., Speroni, C., Herrmann, M., Glazerman, S., and Constantine, J. (2015). Evaluation of Teacher Incentive Fund: Implementation and impacts of pay-for-performance after two years (NCEE 2015-4020). Washington, DC: National Center for Education Evaluation and Regional Assistance, Institute of Education Sciences, U.S. Department of Education.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Educator preparation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Silva, Tim, Allison McKie, Virginia Knechtel, Philip Gleason, Libby Makowsky. (2014, available at </w:t>
      </w:r>
      <w:hyperlink r:id="rId21" w:history="1">
        <w:r>
          <w:rPr>
            <w:rFonts w:ascii="arial" w:eastAsia="arial" w:hAnsi="arial" w:cs="arial"/>
            <w:b w:val="0"/>
            <w:i/>
            <w:strike w:val="0"/>
            <w:noProof w:val="0"/>
            <w:color w:val="0077CC"/>
            <w:position w:val="0"/>
            <w:sz w:val="20"/>
            <w:u w:val="single"/>
            <w:vertAlign w:val="baseline"/>
          </w:rPr>
          <w:t>https://ies.ed.gov/ncee/pubs/20154015/</w:t>
        </w:r>
      </w:hyperlink>
      <w:r>
        <w:rPr>
          <w:rFonts w:ascii="arial" w:eastAsia="arial" w:hAnsi="arial" w:cs="arial"/>
          <w:b w:val="0"/>
          <w:i w:val="0"/>
          <w:strike w:val="0"/>
          <w:noProof w:val="0"/>
          <w:color w:val="000000"/>
          <w:position w:val="0"/>
          <w:sz w:val="20"/>
          <w:u w:val="none"/>
          <w:vertAlign w:val="baseline"/>
        </w:rPr>
        <w:t>) Teaching Residency Programs: A Multisite Look at a New Model to Prepare Teachers for High-Need Schools (NCEE 2015-4002). Washington, DC: National Center for Education Evaluation and Regional Assistance, Institute of Education Sciences, U.S. Department of Education.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Educator Induction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Glazerman, S., Dolfin, S., Bleeker, M., Johnson, A., Isenberg, E., Lugo-Gil, J., Grider, M., &amp; Britton, E. (2008). Impacts of comprehensive teacher induction: Results from the first year of a randomized controlled study (NCEE 2009-4034) (available at </w:t>
      </w:r>
      <w:hyperlink r:id="rId22" w:history="1">
        <w:r>
          <w:rPr>
            <w:rFonts w:ascii="arial" w:eastAsia="arial" w:hAnsi="arial" w:cs="arial"/>
            <w:b w:val="0"/>
            <w:i/>
            <w:strike w:val="0"/>
            <w:noProof w:val="0"/>
            <w:color w:val="0077CC"/>
            <w:position w:val="0"/>
            <w:sz w:val="20"/>
            <w:u w:val="single"/>
            <w:vertAlign w:val="baseline"/>
          </w:rPr>
          <w:t>http://ies.ed.gov/ncee/wwc/Study/67264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Washington, DC: National Center for Education Evaluation and Regional Assistance, Institute of Education Sciences, U.S. Department of Education.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Retention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Allen, J.P., Pianta, R.C., Gregory, A., Mikami, A.Y., &amp; Lun, J. (2011). An interaction-based approach to enhancing secondary school instruction and student achievement. Science, 333(6045), 1034-1037 (available at </w:t>
      </w:r>
      <w:hyperlink r:id="rId23" w:history="1">
        <w:r>
          <w:rPr>
            <w:rFonts w:ascii="arial" w:eastAsia="arial" w:hAnsi="arial" w:cs="arial"/>
            <w:b w:val="0"/>
            <w:i/>
            <w:strike w:val="0"/>
            <w:noProof w:val="0"/>
            <w:color w:val="0077CC"/>
            <w:position w:val="0"/>
            <w:sz w:val="20"/>
            <w:u w:val="single"/>
            <w:vertAlign w:val="baseline"/>
          </w:rPr>
          <w:t>https://www.ncbi.nlm.nih.gov/pubmed/21852503</w:t>
        </w:r>
      </w:hyperlink>
      <w:r>
        <w:rPr>
          <w:rFonts w:ascii="arial" w:eastAsia="arial" w:hAnsi="arial" w:cs="arial"/>
          <w:b w:val="0"/>
          <w:i w:val="0"/>
          <w:strike w:val="0"/>
          <w:noProof w:val="0"/>
          <w:color w:val="000000"/>
          <w:position w:val="0"/>
          <w:sz w:val="20"/>
          <w:u w:val="none"/>
          <w:vertAlign w:val="baseline"/>
        </w:rPr>
        <w:t>); New findings on the retention of novice teachers from teaching residency programs Extending work from earlier study.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Mentoring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Allen, J.P., Pianta, R.C., Gregory, A., Mikami, A.Y., &amp; Lun, J. (2011). An interaction-based approach to enhancing secondary school instruction and student achievement. </w:t>
      </w:r>
      <w:r>
        <w:rPr>
          <w:rFonts w:ascii="arial" w:eastAsia="arial" w:hAnsi="arial" w:cs="arial"/>
          <w:b w:val="0"/>
          <w:i/>
          <w:strike w:val="0"/>
          <w:noProof w:val="0"/>
          <w:color w:val="000000"/>
          <w:position w:val="0"/>
          <w:sz w:val="20"/>
          <w:u w:val="none"/>
          <w:vertAlign w:val="baseline"/>
        </w:rPr>
        <w:t>Science, 333</w:t>
      </w:r>
      <w:r>
        <w:rPr>
          <w:rFonts w:ascii="arial" w:eastAsia="arial" w:hAnsi="arial" w:cs="arial"/>
          <w:b w:val="0"/>
          <w:i w:val="0"/>
          <w:strike w:val="0"/>
          <w:noProof w:val="0"/>
          <w:color w:val="000000"/>
          <w:position w:val="0"/>
          <w:sz w:val="20"/>
          <w:u w:val="none"/>
          <w:vertAlign w:val="baseline"/>
        </w:rPr>
        <w:t xml:space="preserve"> (6045), 1034-1037.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 description of how grant activities will be evaluated, monitored, and reported to the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addition, under 34 CFR 75.591, all TSL grantees must cooperate in any evaluation of the program conducted by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Orman Feres, U.S. Department of Education, 400 Maryland Avenue SW., Room 453-6921 4W109, Washington, DC 20202-6200. Telephone: (202) 453-6921 or by email: </w:t>
      </w:r>
      <w:hyperlink r:id="rId24" w:history="1">
        <w:r>
          <w:rPr>
            <w:rFonts w:ascii="arial" w:eastAsia="arial" w:hAnsi="arial" w:cs="arial"/>
            <w:b w:val="0"/>
            <w:i/>
            <w:strike w:val="0"/>
            <w:noProof w:val="0"/>
            <w:color w:val="0077CC"/>
            <w:position w:val="0"/>
            <w:sz w:val="20"/>
            <w:u w:val="single"/>
            <w:vertAlign w:val="baseline"/>
          </w:rPr>
          <w:t>TSL@ed.gov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We will be able to develop a more efficient process for reviewing grant applications if we can anticipate the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we strongly encourage each potential applicant to notify us of the applicant's intent to submit an application for funding by sending a short email message. This short email should provide (1) the applicant organization's name and address; and (2) all priorities the applicant intends to address. Please send this email notification to </w:t>
      </w:r>
      <w:hyperlink r:id="rId24" w:history="1">
        <w:r>
          <w:rPr>
            <w:rFonts w:ascii="arial" w:eastAsia="arial" w:hAnsi="arial" w:cs="arial"/>
            <w:b w:val="0"/>
            <w:i/>
            <w:strike w:val="0"/>
            <w:noProof w:val="0"/>
            <w:color w:val="0077CC"/>
            <w:position w:val="0"/>
            <w:sz w:val="20"/>
            <w:u w:val="single"/>
            <w:vertAlign w:val="baseline"/>
          </w:rPr>
          <w:t>TSL@ed.gov</w:t>
        </w:r>
      </w:hyperlink>
      <w:r>
        <w:rPr>
          <w:rFonts w:ascii="arial" w:eastAsia="arial" w:hAnsi="arial" w:cs="arial"/>
          <w:b w:val="0"/>
          <w:i w:val="0"/>
          <w:strike w:val="0"/>
          <w:noProof w:val="0"/>
          <w:color w:val="000000"/>
          <w:position w:val="0"/>
          <w:sz w:val="20"/>
          <w:u w:val="none"/>
          <w:vertAlign w:val="baseline"/>
        </w:rPr>
        <w:t xml:space="preserve"> with "Intent to Apply" in the email subject line. Applicants that do not provide this email notification may still apply for funding and are not required to, or prohibited from, addressing priorities they do not mention in their notice of intent to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Applicants should limit the application narrative to no more than 40 pages, using the following standards: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Calibri,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suggested page limit does not apply to the cover sheet; the budget section, including the narrative budget justification; the assurances and certifications; or the one-page abstract, the resumes, the bibliography, or the letters of support. However, the suggested page limit does apply to all of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TSL,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34 CFR 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believe is exempt from disclosure under Exemption 4. In the appropriate Appendix section of your application, </w:t>
      </w:r>
      <w:r>
        <w:rPr>
          <w:rFonts w:ascii="arial" w:eastAsia="arial" w:hAnsi="arial" w:cs="arial"/>
          <w:b/>
          <w:i w:val="0"/>
          <w:strike w:val="0"/>
          <w:noProof w:val="0"/>
          <w:color w:val="000000"/>
          <w:position w:val="0"/>
          <w:sz w:val="20"/>
          <w:u w:val="none"/>
          <w:vertAlign w:val="baseline"/>
        </w:rPr>
        <w:t> [*92801] </w:t>
      </w:r>
      <w:r>
        <w:rPr>
          <w:rFonts w:ascii="arial" w:eastAsia="arial" w:hAnsi="arial" w:cs="arial"/>
          <w:b w:val="0"/>
          <w:i w:val="0"/>
          <w:strike w:val="0"/>
          <w:noProof w:val="0"/>
          <w:color w:val="000000"/>
          <w:position w:val="0"/>
          <w:sz w:val="20"/>
          <w:u w:val="none"/>
          <w:vertAlign w:val="baseline"/>
        </w:rPr>
        <w:t xml:space="preserve">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February 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24,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Pre-application workshops will be held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shortly after the date that this notice will publish. The workshops are intended to provide technical assistance to all interested grant applicants. Detailed information regarding the pre-application workshops times, and online registration form, can be found on the TSL Web site at: </w:t>
      </w:r>
      <w:hyperlink r:id="rId10" w:history="1">
        <w:r>
          <w:rPr>
            <w:rFonts w:ascii="arial" w:eastAsia="arial" w:hAnsi="arial" w:cs="arial"/>
            <w:b w:val="0"/>
            <w:i/>
            <w:strike w:val="0"/>
            <w:noProof w:val="0"/>
            <w:color w:val="0077CC"/>
            <w:position w:val="0"/>
            <w:sz w:val="20"/>
            <w:u w:val="single"/>
            <w:vertAlign w:val="baseline"/>
          </w:rPr>
          <w:t>http://innovation.ed.gov/what-we-do/teacher-quality/teacher-incentive-fund/</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April 23,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7"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TSL, CFDA number 84.374A,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TSL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84.374, not 84.374A).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w:t>
      </w:r>
      <w:r>
        <w:rPr>
          <w:rFonts w:ascii="arial" w:eastAsia="arial" w:hAnsi="arial" w:cs="arial"/>
          <w:b/>
          <w:i w:val="0"/>
          <w:strike w:val="0"/>
          <w:noProof w:val="0"/>
          <w:color w:val="000000"/>
          <w:position w:val="0"/>
          <w:sz w:val="20"/>
          <w:u w:val="none"/>
          <w:vertAlign w:val="baseline"/>
        </w:rPr>
        <w:t> [*92802] </w:t>
      </w:r>
      <w:r>
        <w:rPr>
          <w:rFonts w:ascii="arial" w:eastAsia="arial" w:hAnsi="arial" w:cs="arial"/>
          <w:b w:val="0"/>
          <w:i w:val="0"/>
          <w:strike w:val="0"/>
          <w:noProof w:val="0"/>
          <w:color w:val="000000"/>
          <w:position w:val="0"/>
          <w:sz w:val="20"/>
          <w:u w:val="none"/>
          <w:vertAlign w:val="baseline"/>
        </w:rPr>
        <w:t xml:space="preserve">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9"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0"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w:t>
      </w:r>
      <w:r>
        <w:rPr>
          <w:rFonts w:ascii="arial" w:eastAsia="arial" w:hAnsi="arial" w:cs="arial"/>
          <w:b w:val="0"/>
          <w:i w:val="0"/>
          <w:strike w:val="0"/>
          <w:noProof w:val="0"/>
          <w:color w:val="000000"/>
          <w:position w:val="0"/>
          <w:sz w:val="20"/>
          <w:u w:val="none"/>
          <w:vertAlign w:val="baseline"/>
        </w:rPr>
        <w:t xml:space="preserve"> System: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Address and mail or fax your statement to: Orman Feres, U.S. Department of Education, 400 Maryland Avenue SW., Room 4W109, </w:t>
      </w:r>
      <w:r>
        <w:rPr>
          <w:rFonts w:ascii="arial" w:eastAsia="arial" w:hAnsi="arial" w:cs="arial"/>
          <w:b/>
          <w:i w:val="0"/>
          <w:strike w:val="0"/>
          <w:noProof w:val="0"/>
          <w:color w:val="000000"/>
          <w:position w:val="0"/>
          <w:sz w:val="20"/>
          <w:u w:val="none"/>
          <w:vertAlign w:val="baseline"/>
        </w:rPr>
        <w:t> [*92803] </w:t>
      </w:r>
      <w:r>
        <w:rPr>
          <w:rFonts w:ascii="arial" w:eastAsia="arial" w:hAnsi="arial" w:cs="arial"/>
          <w:b w:val="0"/>
          <w:i w:val="0"/>
          <w:strike w:val="0"/>
          <w:noProof w:val="0"/>
          <w:color w:val="000000"/>
          <w:position w:val="0"/>
          <w:sz w:val="20"/>
          <w:u w:val="none"/>
          <w:vertAlign w:val="baseline"/>
        </w:rPr>
        <w:t xml:space="preserve"> Washington, DC 20202-6200. FAX: (202) 260-8969.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84.374A),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84.374A),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We are establishing the selection criterion "The extent to which the proposed project demonstrates a rationale" and criterion (c)(3)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in accordance with section 437(d)(1) of GEPA, </w:t>
      </w:r>
      <w:hyperlink r:id="rId17"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 The other selection criteria for this program are from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maximum score for all the selection criteria is 100 points. The maximum score for each criterion is indicated in parentheses.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Evidence of Support(30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evidence of support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is part of a comprehensive effort to improve teaching and learning and support rigorous academic standards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project will integrate with or build on similar or related efforts to improve relevant outcomes (as defined in 34 CFR 77.1(c)), using existing funding streams from other programs or policies supported by community, State, and Federal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Need for Project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need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will provide services or otherwise address the needs of students at risk of educational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specific gaps or weaknesses in services, infrastructure, or opportunities have been identified and will be addressed by the proposed project, including the nature and magnitude of those gaps or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Design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demonstrates a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design of the proposed project is appropriate to, and will successfully address, the needs of the target population or other identified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grant activities will be evaluated, monitored, and reported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management plan for the proposed project, the Secretary considers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Adequacy of resources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based on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potential for continued support of the project after Federal funding ends, including, as appropriate, the demonstrated commitment of appropriate entities to such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potential for the incorporation of project purposes, activities, or benefits into the ongoing program of the agency of organization at the end of the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w:t>
      </w:r>
      <w:r>
        <w:rPr>
          <w:rFonts w:ascii="arial" w:eastAsia="arial" w:hAnsi="arial" w:cs="arial"/>
          <w:b/>
          <w:i w:val="0"/>
          <w:strike w:val="0"/>
          <w:noProof w:val="0"/>
          <w:color w:val="000000"/>
          <w:position w:val="0"/>
          <w:sz w:val="20"/>
          <w:u w:val="none"/>
          <w:vertAlign w:val="baseline"/>
        </w:rPr>
        <w:t> [*92804] </w:t>
      </w:r>
      <w:r>
        <w:rPr>
          <w:rFonts w:ascii="arial" w:eastAsia="arial" w:hAnsi="arial" w:cs="arial"/>
          <w:b w:val="0"/>
          <w:i w:val="0"/>
          <w:strike w:val="0"/>
          <w:noProof w:val="0"/>
          <w:color w:val="000000"/>
          <w:position w:val="0"/>
          <w:sz w:val="20"/>
          <w:u w:val="none"/>
          <w:vertAlign w:val="baseline"/>
        </w:rPr>
        <w:t xml:space="preserve"> this program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3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By reporting on these performance measures in annual and final performance reports, grantees will satisfy the requirement in Section 8101 (21)(A)(ii)(II) of the ESEA, as amended, for projects relying on the "demonstrates a rationale" evidence level, to have "ongoing efforts to examine the effects" of the funded activity, strategy, or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Pursuant to the Government Performance and Results Act of 1993, the Department has established the following performance measures that it will use to evaluate the overall effectiveness of the grantee's project, as well as the TIF program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of Educators in all schools who earned Performance-Based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Educators in all High-Need Schools who earned Performance-Based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gap between the retention rate of Educators receiving Performance-Based Compensation and the average retention rate of Educators in each High-Need School whose Educators participate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number of school districts participating in a TSL grant that use Educator Evaluation and Support Systems to inform the following human capital decisions: recruitment; hiring; placement; retention; dismissal; professional development; tenure; promotion; or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number of High-Need Schools within districts participating in a TSL grant that use Educator Evaluation and Support Systems to inform the following human capital decisions: recruitment; hiring; placement; retention; dismissal; professional development; tenure; promotion; or all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percentage of Performance-Based Compensation paid to Educators with State, local, or other non-TIF Federal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percentage of teachers and principals who receive the highest effectiveness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percentage of teachers and principals in High-Needs Schools who receive the highest effectiveness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Orman Feres, U.S. Department of Education, 400 Maryland Avenue SW., Room 4W109, Washington, DC 20202-6200. Telephone: (202) 453-6921 or by email: </w:t>
      </w:r>
      <w:hyperlink r:id="rId24" w:history="1">
        <w:r>
          <w:rPr>
            <w:rFonts w:ascii="arial" w:eastAsia="arial" w:hAnsi="arial" w:cs="arial"/>
            <w:b w:val="0"/>
            <w:i/>
            <w:strike w:val="0"/>
            <w:noProof w:val="0"/>
            <w:color w:val="0077CC"/>
            <w:position w:val="0"/>
            <w:sz w:val="20"/>
            <w:u w:val="single"/>
            <w:vertAlign w:val="baseline"/>
          </w:rPr>
          <w:t>TSL@ed.gov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92793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nnovation.ed.gov/what-we-do/teacher-quality/teacher-incentive-fund/" TargetMode="External" /><Relationship Id="rId11" Type="http://schemas.openxmlformats.org/officeDocument/2006/relationships/hyperlink" Target="http://ies.ed.gov/ncee/projects/evaluation/tq_principals.asp" TargetMode="External" /><Relationship Id="rId12" Type="http://schemas.openxmlformats.org/officeDocument/2006/relationships/hyperlink" Target="http://www.wallacefoundation.org/knowledge-center/Documents/How-Leadership-Influences-Student-Learning.pdf" TargetMode="External" /><Relationship Id="rId13" Type="http://schemas.openxmlformats.org/officeDocument/2006/relationships/hyperlink" Target="http://www.tandfonline.com/doi/full/10.1080/15700760701655524?mobileUi=0" TargetMode="External" /><Relationship Id="rId14" Type="http://schemas.openxmlformats.org/officeDocument/2006/relationships/hyperlink" Target="http://www.wallacefoundation.org/knowledge-center/Documents/The-School-Principal-as-Leader-Guiding-Schools-to-Better-Teaching-and-Learning-2nd-Ed.pdf" TargetMode="External" /><Relationship Id="rId15" Type="http://schemas.openxmlformats.org/officeDocument/2006/relationships/hyperlink" Target="http://www.newleaders.org/wp-content/uploads/Playmakers.pdf" TargetMode="External" /><Relationship Id="rId16" Type="http://schemas.openxmlformats.org/officeDocument/2006/relationships/hyperlink" Target="https://www2.ed.gov/rschstat/eval/highered/racial-diversity/state-racial-diversity-workforce.pdf" TargetMode="External" /><Relationship Id="rId17" Type="http://schemas.openxmlformats.org/officeDocument/2006/relationships/hyperlink" Target="https://advance.lexis.com/api/document?collection=statutes-legislation&amp;id=urn:contentItem:4YF7-GKB1-NRF4-445T-00000-00&amp;context=" TargetMode="External" /><Relationship Id="rId18" Type="http://schemas.openxmlformats.org/officeDocument/2006/relationships/hyperlink" Target="https://advance.lexis.com/api/document?collection=statutes-legislation&amp;id=urn:contentItem:4YF7-GSH1-NRF4-435M-00000-00&amp;context=" TargetMode="External" /><Relationship Id="rId19" Type="http://schemas.openxmlformats.org/officeDocument/2006/relationships/hyperlink" Target="http://ies.ed.gov/ncee/wwc/Handbooks" TargetMode="External" /><Relationship Id="rId2" Type="http://schemas.openxmlformats.org/officeDocument/2006/relationships/webSettings" Target="webSettings.xml" /><Relationship Id="rId20" Type="http://schemas.openxmlformats.org/officeDocument/2006/relationships/hyperlink" Target="http://ies.ed.gov/ncee/wwc/Handbooks.http://ies.ed.gov/ncee/wwc/Handbooks" TargetMode="External" /><Relationship Id="rId21" Type="http://schemas.openxmlformats.org/officeDocument/2006/relationships/hyperlink" Target="https://ies.ed.gov/ncee/pubs/20154015/" TargetMode="External" /><Relationship Id="rId22" Type="http://schemas.openxmlformats.org/officeDocument/2006/relationships/hyperlink" Target="http://ies.ed.gov/ncee/wwc/Study/67264" TargetMode="External" /><Relationship Id="rId23" Type="http://schemas.openxmlformats.org/officeDocument/2006/relationships/hyperlink" Target="https://www.ncbi.nlm.nih.gov/pubmed/21852503" TargetMode="External" /><Relationship Id="rId24" Type="http://schemas.openxmlformats.org/officeDocument/2006/relationships/hyperlink" Target="mailto:TSL@ed.gov" TargetMode="External" /><Relationship Id="rId25" Type="http://schemas.openxmlformats.org/officeDocument/2006/relationships/hyperlink" Target="http://fedgov.dnb.com/webform" TargetMode="External" /><Relationship Id="rId26" Type="http://schemas.openxmlformats.org/officeDocument/2006/relationships/hyperlink" Target="http://www.SAM.gov" TargetMode="External" /><Relationship Id="rId27" Type="http://schemas.openxmlformats.org/officeDocument/2006/relationships/hyperlink" Target="http://www.grants.gov/web/grants/register.html" TargetMode="External" /><Relationship Id="rId28" Type="http://schemas.openxmlformats.org/officeDocument/2006/relationships/hyperlink" Target="http://www.Grants.gov" TargetMode="External" /><Relationship Id="rId29" Type="http://schemas.openxmlformats.org/officeDocument/2006/relationships/hyperlink" Target="http://www.G5.gov" TargetMode="External" /><Relationship Id="rId3" Type="http://schemas.openxmlformats.org/officeDocument/2006/relationships/fontTable" Target="fontTable.xml" /><Relationship Id="rId30" Type="http://schemas.openxmlformats.org/officeDocument/2006/relationships/hyperlink" Target="http://www.grants.gov/web/grants/applicants/apply-for-grants.html" TargetMode="External" /><Relationship Id="rId31" Type="http://schemas.openxmlformats.org/officeDocument/2006/relationships/hyperlink" Target="http://www.ed.gov/fund/grant/apply/appforms/appforms.html"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F7-J240-006W-800V-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90343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71557673</vt:lpwstr>
  </property>
  <property fmtid="{D5CDD505-2E9C-101B-9397-08002B2CF9AE}" pid="3" name="LADocCount">
    <vt:lpwstr>1</vt:lpwstr>
  </property>
  <property fmtid="{D5CDD505-2E9C-101B-9397-08002B2CF9AE}" pid="4" name="UserPermID">
    <vt:lpwstr>urn:user:PA185916758</vt:lpwstr>
  </property>
</Properties>
</file>