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93671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245, Wednesday, December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93671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Supporting Effective Educator Development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Effective Educator Development (SEED)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84.367D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January 20,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SEED program intends to hold a Webinar designed to provide technical assistance to interested applicants. Detailed information regarding this Webinar will be provided on the SEED Web site at </w:t>
      </w:r>
      <w:hyperlink r:id="rId8" w:history="1">
        <w:r>
          <w:rPr>
            <w:rFonts w:ascii="arial" w:eastAsia="arial" w:hAnsi="arial" w:cs="arial"/>
            <w:b w:val="0"/>
            <w:i/>
            <w:strike w:val="0"/>
            <w:noProof w:val="0"/>
            <w:color w:val="0077CC"/>
            <w:position w:val="0"/>
            <w:sz w:val="20"/>
            <w:u w:val="single"/>
            <w:vertAlign w:val="baseline"/>
          </w:rPr>
          <w:t>http://innovation.ed.gov/what-we-do/teacher-quality/supporting-effective-educator-development-grant-program/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SEED program provides funding for grants to National Not-for-Profit Organizations for projects that support teacher or principal training or professional enhancement activities and that are supported by at least Moderate Evidence of Effectiveness. The purpose of the program is to increase the number of Highly Effective Teachers and Principals by developing or expanding the implementation of practices that are demonstrated to have an impact on improving Student Achievement or Student Growth. These grants will allow eligible entities to develop, expand, and evaluate practices that can serve as models that can be sustained and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on December 10, 2015, President Obama signed into law the Every Student Succeeds Act (ESSA), which reauthorized the Elementary and Secondary Education Act of 1965 (ESEA). ESSA provided specific statutory authority for the SEED program, under section 2242, for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beginning with funds appropriated for FY 2017. Accordingly, </w:t>
      </w:r>
      <w:r>
        <w:rPr>
          <w:rFonts w:ascii="arial" w:eastAsia="arial" w:hAnsi="arial" w:cs="arial"/>
          <w:b/>
          <w:i w:val="0"/>
          <w:strike w:val="0"/>
          <w:noProof w:val="0"/>
          <w:color w:val="000000"/>
          <w:position w:val="0"/>
          <w:sz w:val="20"/>
          <w:u w:val="none"/>
          <w:vertAlign w:val="baseline"/>
        </w:rPr>
        <w:t> [*93672] </w:t>
      </w:r>
      <w:r>
        <w:rPr>
          <w:rFonts w:ascii="arial" w:eastAsia="arial" w:hAnsi="arial" w:cs="arial"/>
          <w:b w:val="0"/>
          <w:i w:val="0"/>
          <w:strike w:val="0"/>
          <w:noProof w:val="0"/>
          <w:color w:val="000000"/>
          <w:position w:val="0"/>
          <w:sz w:val="20"/>
          <w:u w:val="none"/>
          <w:vertAlign w:val="baseline"/>
        </w:rPr>
        <w:t xml:space="preserve"> this FY 2016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the final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the statutory and regulatory provisions in effect prior to enactment of the ESSA. Consequently, except as noted, all references to the ESEA in this notice are to the ESEA as amended by the No Child Left Behind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one of which is required for all applicants,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Priority 1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are from </w:t>
      </w:r>
      <w:hyperlink r:id="rId9"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Absolute Priorities 2 through 4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3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2013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("SEED NFP").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Department's notice of final supplemental priorities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and meet one or more of Absolute Priorities 2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Supporting Practices and Strategies for Which There Is 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Moderate Evidence of 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Teacher or Principal Recruitment, Selection, and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will create or expand practices and strategies that increase the number of Highly Effective Teachers or Highly Effective Principals by recruiting, selecting, and preparing talented individuals to work in schools with high concentrations of High-Need Students. Projects must include activities that focus on creating or expanding high-performing teacher preparation programs, principal preparation programs, or both. Activities may include but are not limited to expanding clinical experiences, redesigning and implementing program coursework to align with State standards and district requirements for P-12 teachers, providing induction and other support for program participants in their classrooms and schools, and developing strategies for tracking the effect program graduates have on the achievement of their students or the performance of their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 applicant must propose a plan demonstrating a rigorous,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to determine which aspiring teachers or principals participate in the applicant's proposed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Professional Development for Teachers of Academic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will create or expand practices and strategies that increase the number of Highly Effective Teachers by providing professional development opportunities to teachers, including special education teachers, in schools with high concentrations of High-Need Students. Projects must focus on increasing Student Achievement in academic subjects by providing high-quality professional development to teachers. The academic subjects that may be addressed through professional development under this priority include foreign languages, civics and government, economics, arts, history, physical education, geography, environmental education, and financial literacy.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required to describe the need of the proposed districts to be served for teacher professional development in the selected high-need academic subjects and to demonstrate alignment of the proposed projects with State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applicants must describe how they plan to measure the impact the professional development has on teacher effectiveness. Applicants must determine teacher effectiveness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list of subjects provided in this priority is illustrative. Applicants may propose to address other academic subjects or areas, such as writing, reading, or mathematics, which partner schools and districts have demonstrated to be high-need.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 Advanced Certification and Advanced Credentialing.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will create or expand practices and strategies based on advanced certification or advanced credentialing that increase the number of Highly Effective Teachers, Highly Effective Principals, or both, who work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required to focus their proposed projects on encouraging and supporting teachers, principals, or both, who seek a nationally recognized, standards-based advanced certificate or advanced credential through high-quality professional enhancement projects designed to improve teaching and learning for teachers who may take on Career Ladder Positions, principals, or both who would serve as models, mentors, and coaches for other teachers, principals, or both working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effectiveness of teachers or principals who receive advanced certification or credentialing must be determined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 applicant must propose a plan demonstrating a rigorous,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to determine which teachers or principals participate in the applicant's proposed activities.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four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We award an additional one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We award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We award up to an additional three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The total number of points an application may receive for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10. These points are in addition to any points the application earns under the selection criteria. Addressing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optional, and applicants may choose to respond to none, one, two, three, or all four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Supporting Practices and Strategies for Which There Is Strong Evidence of Effectiveness (0 or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Strong Evidence of Effectiveness.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Improving Efficiency (Cost-Effectiveness)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will identify strategies for providing cost-effective, high-quality services at the State, regional, or local level by making better use of available resources. Such projects may include innovative and sustainable uses of technology, modification of school schedules and teacher compensation systems, use of Open Educational Resources, or other strategies. </w:t>
      </w:r>
      <w:r>
        <w:rPr>
          <w:rFonts w:ascii="arial" w:eastAsia="arial" w:hAnsi="arial" w:cs="arial"/>
          <w:b/>
          <w:i w:val="0"/>
          <w:strike w:val="0"/>
          <w:noProof w:val="0"/>
          <w:color w:val="000000"/>
          <w:position w:val="0"/>
          <w:sz w:val="20"/>
          <w:u w:val="none"/>
          <w:vertAlign w:val="baseline"/>
        </w:rPr>
        <w:t> [*93673]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Promoting Science, Technology, Engineering, and Mathematics (STEM) Education n1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purposes of this notice, STEM may include computer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address one or both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Increasing the opportunities for high-quality preparation of, or professional development for, teachers of STEM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number of individuals from groups traditionally underrepresented in STEM, including minorities, individuals with disabilities, and women, who are teachers of STEM subjects and have increased opportunities for high-quality preparation or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applicants must describe how they plan to measure the impact the proposed project activities have on teacher effectiveness. Applicants must determine teacher effectiveness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choose to respond to one or both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 Supporting High-Need Students (0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are designed to improve academic outcomes 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Students served by Rural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Students who are members of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choose to respond to one or more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SEED NFP, the Supplemental Priorities, and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source of each definition is noted in parentheses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Ladder Positions</w:t>
      </w:r>
      <w:r>
        <w:rPr>
          <w:rFonts w:ascii="arial" w:eastAsia="arial" w:hAnsi="arial" w:cs="arial"/>
          <w:b w:val="0"/>
          <w:i w:val="0"/>
          <w:strike w:val="0"/>
          <w:noProof w:val="0"/>
          <w:color w:val="000000"/>
          <w:position w:val="0"/>
          <w:sz w:val="20"/>
          <w:u w:val="none"/>
          <w:vertAlign w:val="baseline"/>
        </w:rPr>
        <w:t xml:space="preserve"> means school-based instructional leadership positions designed to improve instructional practice, which teachers may voluntarily accept, such as positions described as master teacher, mentor teacher, demonstration or model teacher, or instructional coach, and for which teachers are selected based on criteria that are predictive of the ability to lead other teachers.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1111(g)(1)(B) of the Elementary and Secondary Education Act of 1965, as amended (ESEA). The applicant must provide the definition(s) of "High-Minority Schools" used in its application.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requirement concerning State Teacher Equity Plans is set out in section 1111(g)(1)(B) of the ESEA, as amended by the ESSA. Applicants that did not establish Teacher Equity Plans after ESSA took effect can rely on their prior Teacher Equity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Principal</w:t>
      </w:r>
      <w:r>
        <w:rPr>
          <w:rFonts w:ascii="arial" w:eastAsia="arial" w:hAnsi="arial" w:cs="arial"/>
          <w:b w:val="0"/>
          <w:i w:val="0"/>
          <w:strike w:val="0"/>
          <w:noProof w:val="0"/>
          <w:color w:val="000000"/>
          <w:position w:val="0"/>
          <w:sz w:val="20"/>
          <w:u w:val="none"/>
          <w:vertAlign w:val="baseline"/>
        </w:rPr>
        <w:t xml:space="preserve"> means a principal whose students, overall and for each subgroup as described in section 1111(b)(2)(C)(v)(II) of the ESEA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economically disadvantaged students, students from major racial and ethnic groups, students with disabilities, and students with limited English proficiency), achieve high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and one-half grade levels in an academic year) of Student Growth. Eligible applicants may include multiple measures, provided that principal effectiveness is evaluated, in significant part, based on Student Growth. Supplemental measures may include, for example, high school graduation rates; college enrollment rates; evidence of providing supportive teaching and learning conditions, support for ensuring effective instruction across subject areas for a well-rounded education, strong instructional leadership, and positive family and community engagement; or evidence of attracting, developing, and retaining high numbers of effective teachers.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Teacher</w:t>
      </w:r>
      <w:r>
        <w:rPr>
          <w:rFonts w:ascii="arial" w:eastAsia="arial" w:hAnsi="arial" w:cs="arial"/>
          <w:b w:val="0"/>
          <w:i w:val="0"/>
          <w:strike w:val="0"/>
          <w:noProof w:val="0"/>
          <w:color w:val="000000"/>
          <w:position w:val="0"/>
          <w:sz w:val="20"/>
          <w:u w:val="none"/>
          <w:vertAlign w:val="baseline"/>
        </w:rPr>
        <w:t xml:space="preserve"> means a teacher whose students achieve high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and one-half grade levels in an academic year) of Student Growth. Eligible applicants may include multiple measures, provided that teacher effectiveness is evaluated, in significant part, based on Student Growth. Supplemental measures may include, for example, multiple observation-based assessments of teacher performance or evidence of leadership roles (which may include mentoring or leading professional development learning communities) that increase effectiveness of other teachers in the school or LEA. (SEED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Lowest-Performing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with an approved request for flexibility under the ESEA, Priority Schools or Tier I and Tier II Schools identified under the School Improvement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other State, Tier I and Tier II Schools identified under the School Improvement Grants program.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ESEA flexibility ended on August 1, 2016. Consequently, the approved requests for flexibility referenced in the definition of "Lowest-Performing Schools" would have been granted prior to that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w:t>
      </w:r>
      <w:r>
        <w:rPr>
          <w:rFonts w:ascii="arial" w:eastAsia="arial" w:hAnsi="arial" w:cs="arial"/>
          <w:b/>
          <w:i w:val="0"/>
          <w:strike w:val="0"/>
          <w:noProof w:val="0"/>
          <w:color w:val="000000"/>
          <w:position w:val="0"/>
          <w:sz w:val="20"/>
          <w:u w:val="none"/>
          <w:vertAlign w:val="baseline"/>
        </w:rPr>
        <w:t> [*93674] </w:t>
      </w:r>
      <w:r>
        <w:rPr>
          <w:rFonts w:ascii="arial" w:eastAsia="arial" w:hAnsi="arial" w:cs="arial"/>
          <w:b w:val="0"/>
          <w:i w:val="0"/>
          <w:strike w:val="0"/>
          <w:noProof w:val="0"/>
          <w:color w:val="000000"/>
          <w:position w:val="0"/>
          <w:sz w:val="20"/>
          <w:u w:val="none"/>
          <w:vertAlign w:val="baseline"/>
        </w:rPr>
        <w:t xml:space="preserve"> other studies of the intervention reviewed by and reported on by the What Works Clearinghouse), includes a sample that overlaps with the populations or settings proposed to receive the process, product, strategy, or practice, and includes a Large Sample and a Multi-site Sample. (Note: Multiple studies can cumulatively meet the large and Multi-site Sample requirements as long as each study meets the other requirements in this paragraph.)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economically disadvantaged, racial and ethnic groups, migrant populations, individuals with disabilities, English learners, and individuals of each gender). (SEED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Not-for-Profit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1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is of national scope, meaning that the entity provides services in multiple States to a significant number or percentage of recipients and is supported by staff or affiliates in multiple States.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Educational Resources</w:t>
      </w:r>
      <w:r>
        <w:rPr>
          <w:rFonts w:ascii="arial" w:eastAsia="arial" w:hAnsi="arial" w:cs="arial"/>
          <w:b w:val="0"/>
          <w:i w:val="0"/>
          <w:strike w:val="0"/>
          <w:noProof w:val="0"/>
          <w:color w:val="000000"/>
          <w:position w:val="0"/>
          <w:sz w:val="20"/>
          <w:u w:val="none"/>
          <w:vertAlign w:val="baseline"/>
        </w:rPr>
        <w:t xml:space="preserve"> means teaching, learning, and research resources that reside in the public domain or have been released under an intellectual property license that permits their free use or repurposing by others.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 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that has been identified for improvement, corrective action, or restructuring under section 1116 of the ESEA,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Elementary and Secondary Education Act of 1965, as amended by the No Child Left Behind Act,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also consider any school a persistently lowest-achieving school that, at the time of submission of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meets the definition of "Lowest-Performing Schools" set out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providing this flexibility because a State that received ESEA flexibility was not required to identify schools in corrective action or restructuring under the ESEA; but rather, the State identified priority and focus schools. Moreover, consistent with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School Improvement Grants program </w:t>
      </w:r>
      <w:hyperlink r:id="rId15" w:history="1">
        <w:r>
          <w:rPr>
            <w:rFonts w:ascii="arial" w:eastAsia="arial" w:hAnsi="arial" w:cs="arial"/>
            <w:b w:val="0"/>
            <w:i/>
            <w:strike w:val="0"/>
            <w:noProof w:val="0"/>
            <w:color w:val="0077CC"/>
            <w:position w:val="0"/>
            <w:sz w:val="20"/>
            <w:u w:val="single"/>
            <w:vertAlign w:val="baseline"/>
          </w:rPr>
          <w:t>(80 FR 7223),</w:t>
        </w:r>
      </w:hyperlink>
      <w:r>
        <w:rPr>
          <w:rFonts w:ascii="arial" w:eastAsia="arial" w:hAnsi="arial" w:cs="arial"/>
          <w:b w:val="0"/>
          <w:i w:val="0"/>
          <w:strike w:val="0"/>
          <w:noProof w:val="0"/>
          <w:color w:val="000000"/>
          <w:position w:val="0"/>
          <w:sz w:val="20"/>
          <w:u w:val="none"/>
          <w:vertAlign w:val="baseline"/>
        </w:rPr>
        <w:t xml:space="preserve"> the definition of Tier I and Tier II Schools includes persistently lowest-achieving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Schools</w:t>
      </w:r>
      <w:r>
        <w:rPr>
          <w:rFonts w:ascii="arial" w:eastAsia="arial" w:hAnsi="arial" w:cs="arial"/>
          <w:b w:val="0"/>
          <w:i w:val="0"/>
          <w:strike w:val="0"/>
          <w:noProof w:val="0"/>
          <w:color w:val="000000"/>
          <w:position w:val="0"/>
          <w:sz w:val="20"/>
          <w:u w:val="none"/>
          <w:vertAlign w:val="baseline"/>
        </w:rPr>
        <w:t xml:space="preserve"> means schools that, based on the most recent data available, have been identified as among the Lowest-Performing Schools in the State. The total number of Priority Schools in a State must be at least five percent of the Title I schools in the State. A Priority School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school among the lowest five percent of Title I schools in the State based on the achievement of the "all students" group in terms of proficiency on the statewide assessments that are part of the SEA's differentiated recognition, accountability, and support system, combined, and has demonstrated a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Title I-participating or Title I-eligible high school with a graduation rate that is less than 60 percent over a number of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Tier I or Tier II school under the School Improvement Grant (SIG) program that is using SIG funds to implement a school intervention model.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an LEA that is eligible under the Small Rural School Achievement (SRSA) program or the Rural and Low-Income School (RLIS) program authorized under Title VI, Part B of the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and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There are at least two studies of the effectiveness of the process, product, </w:t>
      </w:r>
      <w:r>
        <w:rPr>
          <w:rFonts w:ascii="arial" w:eastAsia="arial" w:hAnsi="arial" w:cs="arial"/>
          <w:b/>
          <w:i w:val="0"/>
          <w:strike w:val="0"/>
          <w:noProof w:val="0"/>
          <w:color w:val="000000"/>
          <w:position w:val="0"/>
          <w:sz w:val="20"/>
          <w:u w:val="none"/>
          <w:vertAlign w:val="baseline"/>
        </w:rPr>
        <w:t> [*93675] </w:t>
      </w:r>
      <w:r>
        <w:rPr>
          <w:rFonts w:ascii="arial" w:eastAsia="arial" w:hAnsi="arial" w:cs="arial"/>
          <w:b w:val="0"/>
          <w:i w:val="0"/>
          <w:strike w:val="0"/>
          <w:noProof w:val="0"/>
          <w:color w:val="000000"/>
          <w:position w:val="0"/>
          <w:sz w:val="20"/>
          <w:u w:val="none"/>
          <w:vertAlign w:val="baseline"/>
        </w:rPr>
        <w:t xml:space="preserve"> strategy, or practice being proposed, each of which: Meets the What Works Clearinghouse Evidence Standards with reservations, found a statistically significant favorable impact on a Relevant Outcome (with no statistically significant and overriding unfavorable impacts on that outcome for relevant populations in the studies or in other studies of the intervention reviewed by and reported on by the What Works Clearinghouse), includes a sample that overlaps with the populations and settings proposed to receive the process, product, strategy, or practice, and includes a Large Sample and a Multi-site Sample.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tested grades and subjects: (1) A student's score on the State's assessments under the ESEA; and, as appropriate, (2) other measures of student learning, such as those described in paragraph (b) of this definition, provided they are rigorous and comparable across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non-tested grades and subjects: alternative measures of student learning and performance, such as student scores on pre-tests and end-of-course tests; student performance on English language proficiency assessments; and other measures of Student Achievement that are rigorous and comparable across schools.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applicant may also include other measures that are rigorous and comparable across classrooms.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Title I school that has been identified as in improvement, corrective action, or restructuring under section 1116 of the ESEA and that is identified by the SEA under paragraph (a)(1) of the definition of "Persistently Lowest Achieving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elementary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ESEA in reading/language arts and mathematics combined; and (2) Is no higher achieving than the highest-achieving school identified by the SEA under paragraph (a)(1)(i) of the definition of "Persistently Lowest Achieving School."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II School</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secondary school that is eligible for, but does not receive, Title I, Part A funds and is identified by the State educational agency (SEA) under paragraph (a)(2) of the definition of "Persistently Lowest Achieving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secondary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Is no higher achieving than the highest-achieving school identified by the SEA under paragraph (a)(2)(i) of the definition of "Persistently Lowest Achieving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4"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6"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Division H, Title III.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SEED NFP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(e) The Supplemental Priorities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$ 40,000,000.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$ 8,000,000-$ 15,000,000.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$ 12,000,000.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3-4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will provide each selected project with a single award for a multi-year grant period. The Department is not bound by any estimates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Period: Up to 36 months.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subsequent fiscal years, under </w:t>
      </w:r>
      <w:hyperlink r:id="rId1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Department may offer SEED grantees the option of extending their SEED-related data collection and evaluation activities beyond the 36-month project period, and could choose to provide additional funding, for the purposes of data collection, analysis, and reporting, pending Congressional appropriations. This flexibility is not guaranteed and is contingent on available funding in subsequent fiscal years. The Department has discretion in deciding which, if any, SEED projects will receive additional time and funding for the purposes of data collection, analysis, and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As established in the SEED NFP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to be eligible for a SEED program grant, an entity must be a National Not-for-Profit Organization. Each applicant must provide in its application documentation that it is a National Not-for-Profit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meet </w:t>
      </w:r>
      <w:r>
        <w:rPr>
          <w:rFonts w:ascii="arial" w:eastAsia="arial" w:hAnsi="arial" w:cs="arial"/>
          <w:b w:val="0"/>
          <w:i/>
          <w:strike w:val="0"/>
          <w:noProof w:val="0"/>
          <w:color w:val="000000"/>
          <w:position w:val="0"/>
          <w:sz w:val="20"/>
          <w:u w:val="none"/>
          <w:vertAlign w:val="baseline"/>
        </w:rPr>
        <w:t>Absolute Priority 1: Supporting Practices and Strategies for Which There Is Moderate Evidence of Effectiveness,</w:t>
      </w:r>
      <w:r>
        <w:rPr>
          <w:rFonts w:ascii="arial" w:eastAsia="arial" w:hAnsi="arial" w:cs="arial"/>
          <w:b w:val="0"/>
          <w:i w:val="0"/>
          <w:strike w:val="0"/>
          <w:noProof w:val="0"/>
          <w:color w:val="000000"/>
          <w:position w:val="0"/>
          <w:sz w:val="20"/>
          <w:u w:val="none"/>
          <w:vertAlign w:val="baseline"/>
        </w:rPr>
        <w:t xml:space="preserve"> each applicant must provide in its application documentation that its proposed project is supported by at least Moderate Evidence of Effectiveness. All applicants must respond to Absolute Priority 1, and one or more of Absolute Priorities 2 through 4, in order to be eligible to receive funding. An applicant that also responds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Supporting Practices and Strategies for Which There Is Strong Evidence of Effectiveness</w:t>
      </w:r>
      <w:r>
        <w:rPr>
          <w:rFonts w:ascii="arial" w:eastAsia="arial" w:hAnsi="arial" w:cs="arial"/>
          <w:b w:val="0"/>
          <w:i w:val="0"/>
          <w:strike w:val="0"/>
          <w:noProof w:val="0"/>
          <w:color w:val="000000"/>
          <w:position w:val="0"/>
          <w:sz w:val="20"/>
          <w:u w:val="none"/>
          <w:vertAlign w:val="baseline"/>
        </w:rPr>
        <w:t xml:space="preserve"> must provide documentation that its proposed project is supported by Strong Evidence of Effectiveness. An applicant must ensure that all evidence is available to the Department from publically available sources and provide links or references to, or copies of, the evidence in the application. If the Department determines that an applicant has provided insufficient evidence that its proposed project meets the definition of "Moderate Evidence of Effectiveness" or "Strong Evidence of Effectiveness," the applicant will not have an opportunity to provide additional evidence to support its application. </w:t>
      </w:r>
      <w:r>
        <w:rPr>
          <w:rFonts w:ascii="arial" w:eastAsia="arial" w:hAnsi="arial" w:cs="arial"/>
          <w:b/>
          <w:i w:val="0"/>
          <w:strike w:val="0"/>
          <w:noProof w:val="0"/>
          <w:color w:val="000000"/>
          <w:position w:val="0"/>
          <w:sz w:val="20"/>
          <w:u w:val="none"/>
          <w:vertAlign w:val="baseline"/>
        </w:rPr>
        <w:t> [*93676]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Evaluations:</w:t>
      </w:r>
      <w:r>
        <w:rPr>
          <w:rFonts w:ascii="arial" w:eastAsia="arial" w:hAnsi="arial" w:cs="arial"/>
          <w:b w:val="0"/>
          <w:i w:val="0"/>
          <w:strike w:val="0"/>
          <w:noProof w:val="0"/>
          <w:color w:val="000000"/>
          <w:position w:val="0"/>
          <w:sz w:val="20"/>
          <w:u w:val="none"/>
          <w:vertAlign w:val="baseline"/>
        </w:rPr>
        <w:t xml:space="preserve"> As established in the SEED NFP, an applicant receiving funds under this program must comply with the requirements of any evaluation of the program conducted by the Department. In addition, an applicant receiving funds under this program must make broadly available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mechanisms, in print or electronically, the results of any evaluations it conducts of its funded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Margarita Melendez, U.S. Department of Education, 400 Maryland Avenue SW., Room 4W115, Washington, DC 20202-5960 or by email: </w:t>
      </w:r>
      <w:hyperlink r:id="rId18"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January 20, 2017.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Department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The Department requests that this email notification be sent to the SEED program inbox at: </w:t>
      </w:r>
      <w:hyperlink r:id="rId18"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entities that fail to provide this email notification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limit the application narrative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for titles, headings, footnotes, quotations, references, captions,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or letters of support. However, the page limit does apply to all of the application narrative section [Part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SEED program, your application may include business information that you consider proprietary. In </w:t>
      </w:r>
      <w:hyperlink r:id="rId19"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19"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January 20,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Informational Webinar:</w:t>
      </w:r>
      <w:r>
        <w:rPr>
          <w:rFonts w:ascii="arial" w:eastAsia="arial" w:hAnsi="arial" w:cs="arial"/>
          <w:b w:val="0"/>
          <w:i w:val="0"/>
          <w:strike w:val="0"/>
          <w:noProof w:val="0"/>
          <w:color w:val="000000"/>
          <w:position w:val="0"/>
          <w:sz w:val="20"/>
          <w:u w:val="none"/>
          <w:vertAlign w:val="baseline"/>
        </w:rPr>
        <w:t xml:space="preserve"> The SEED program intends to hold a Webinar designed to provide technical assistance to interested applicants. Detailed information regarding this Webinar will be provided on the SEED Web site at </w:t>
      </w:r>
      <w:hyperlink r:id="rId8" w:history="1">
        <w:r>
          <w:rPr>
            <w:rFonts w:ascii="arial" w:eastAsia="arial" w:hAnsi="arial" w:cs="arial"/>
            <w:b w:val="0"/>
            <w:i/>
            <w:strike w:val="0"/>
            <w:noProof w:val="0"/>
            <w:color w:val="0077CC"/>
            <w:position w:val="0"/>
            <w:sz w:val="20"/>
            <w:u w:val="single"/>
            <w:vertAlign w:val="baseline"/>
          </w:rPr>
          <w:t>http://innovation.ed.gov/what-we-do/teacher-quality/supporting-effective-educator-development-grant-program/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 can obtain a DUNS number from Dun and Bradstreet at the following Web site: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none"/>
          <w:vertAlign w:val="baseline"/>
        </w:rPr>
        <w:t> [*93677] </w:t>
      </w:r>
      <w:r>
        <w:rPr>
          <w:rFonts w:ascii="arial" w:eastAsia="arial" w:hAnsi="arial" w:cs="arial"/>
          <w:b w:val="0"/>
          <w:i w:val="0"/>
          <w:strike w:val="0"/>
          <w:noProof w:val="0"/>
          <w:color w:val="000000"/>
          <w:position w:val="0"/>
          <w:sz w:val="20"/>
          <w:u w:val="none"/>
          <w:vertAlign w:val="baseline"/>
        </w:rPr>
        <w:t xml:space="preserve">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1"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2"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SEED program, CFDA number 84.367D,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SEED program at </w:t>
      </w:r>
      <w:hyperlink r:id="rId2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84.367, not 84.367D).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6"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w:t>
      </w:r>
      <w:r>
        <w:rPr>
          <w:rFonts w:ascii="arial" w:eastAsia="arial" w:hAnsi="arial" w:cs="arial"/>
          <w:b/>
          <w:i w:val="0"/>
          <w:strike w:val="0"/>
          <w:noProof w:val="0"/>
          <w:color w:val="000000"/>
          <w:position w:val="0"/>
          <w:sz w:val="20"/>
          <w:u w:val="none"/>
          <w:vertAlign w:val="baseline"/>
        </w:rPr>
        <w:t> [*93678] </w:t>
      </w:r>
      <w:r>
        <w:rPr>
          <w:rFonts w:ascii="arial" w:eastAsia="arial" w:hAnsi="arial" w:cs="arial"/>
          <w:b w:val="0"/>
          <w:i w:val="0"/>
          <w:strike w:val="0"/>
          <w:noProof w:val="0"/>
          <w:color w:val="000000"/>
          <w:position w:val="0"/>
          <w:sz w:val="20"/>
          <w:u w:val="none"/>
          <w:vertAlign w:val="baseline"/>
        </w:rPr>
        <w:t xml:space="preserve">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Deadline Date Extension in Case of Technical Issues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Margarita Melendez, U.S. Department of Education, 400 Maryland Avenue SW., Room 4W115, Washington, DC 20202-5960.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84.367D),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84.367D),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grant application. If you do not receive this notification within 15 business days from the application </w:t>
      </w:r>
      <w:r>
        <w:rPr>
          <w:rFonts w:ascii="arial" w:eastAsia="arial" w:hAnsi="arial" w:cs="arial"/>
          <w:b/>
          <w:i w:val="0"/>
          <w:strike w:val="0"/>
          <w:noProof w:val="0"/>
          <w:color w:val="000000"/>
          <w:position w:val="0"/>
          <w:sz w:val="20"/>
          <w:u w:val="none"/>
          <w:vertAlign w:val="baseline"/>
        </w:rPr>
        <w:t> [*93679] </w:t>
      </w:r>
      <w:r>
        <w:rPr>
          <w:rFonts w:ascii="arial" w:eastAsia="arial" w:hAnsi="arial" w:cs="arial"/>
          <w:b w:val="0"/>
          <w:i w:val="0"/>
          <w:strike w:val="0"/>
          <w:noProof w:val="0"/>
          <w:color w:val="000000"/>
          <w:position w:val="0"/>
          <w:sz w:val="20"/>
          <w:u w:val="none"/>
          <w:vertAlign w:val="baseline"/>
        </w:rPr>
        <w:t xml:space="preserve">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SEED NFP and from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score for all the selection criteria is 100 points. The maximum score for each criterion is indicated in parentheses.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each criterion, applicants are encouraged to make explicit connections to relevant aspects of responses to other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(10 points).</w:t>
      </w:r>
      <w:r>
        <w:rPr>
          <w:rFonts w:ascii="arial" w:eastAsia="arial" w:hAnsi="arial" w:cs="arial"/>
          <w:b w:val="0"/>
          <w:i w:val="0"/>
          <w:strike w:val="0"/>
          <w:noProof w:val="0"/>
          <w:color w:val="000000"/>
          <w:position w:val="0"/>
          <w:sz w:val="20"/>
          <w:u w:val="none"/>
          <w:vertAlign w:val="baseline"/>
        </w:rPr>
        <w:t xml:space="preserve"> The Secretary considers the significance of the proposed project. In determining the significance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significance of the proposed project on a National Level.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contribution of the proposed project to the development and advancement of teacher and school leadership theory, knowledge, and practices.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importance or magnitude of the results or outcomes likely to be attained by the proposed project, especially improvements in teaching and Student Achievement.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 and Services (35 points).</w:t>
      </w:r>
      <w:r>
        <w:rPr>
          <w:rFonts w:ascii="arial" w:eastAsia="arial" w:hAnsi="arial" w:cs="arial"/>
          <w:b w:val="0"/>
          <w:i w:val="0"/>
          <w:strike w:val="0"/>
          <w:noProof w:val="0"/>
          <w:color w:val="000000"/>
          <w:position w:val="0"/>
          <w:sz w:val="20"/>
          <w:u w:val="none"/>
          <w:vertAlign w:val="baseline"/>
        </w:rPr>
        <w:t xml:space="preserve"> The Secretary considers the quality of the design and services of the proposed project. In determining the quality of the design and services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aligned, and measurable.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part of a comprehensive effort to improve teaching and learning and support rigorous academic standards for students.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training or professional development services to be provided by the proposed project will be of sufficient quality, intensity, and duration to lead to improvements in practice among the recipients of those services. (SEED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will prepare personnel for fields in which shortages have been demonstrated.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proposed project will focus on serving or otherwise addressing the needs of disadvantaged individuals.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 and Personnel (20 points).</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for the proposed project and of the personnel who will carry out the proposed project. In determining the quality of the management plan and the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key project personnel, and project consultants or subcontractors.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management plan includes sufficient and reasonable resources to effectively carry out the proposed project, including the project evaluation.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Sustainability (15 points).</w:t>
      </w:r>
      <w:r>
        <w:rPr>
          <w:rFonts w:ascii="arial" w:eastAsia="arial" w:hAnsi="arial" w:cs="arial"/>
          <w:b w:val="0"/>
          <w:i w:val="0"/>
          <w:strike w:val="0"/>
          <w:noProof w:val="0"/>
          <w:color w:val="000000"/>
          <w:position w:val="0"/>
          <w:sz w:val="20"/>
          <w:u w:val="none"/>
          <w:vertAlign w:val="baseline"/>
        </w:rPr>
        <w:t xml:space="preserve"> The Secretary considers the adequacy of resources to continue the proposed project after the grant period ends. In determining the adequacy of resources and the potential for utility of the proposed project's activities and products by other organizations,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is designed to build capacity and yield results that will extend beyond the period of Federal financial assistance.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likely to yield findings and products (such as information, materials, processes, or techniques) that may be used by other agencies and organizations.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will disseminate information about results and outcomes of the proposed project in ways that will enable others, including the public, to use the information or strategies.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 (20 points).</w:t>
      </w:r>
      <w:r>
        <w:rPr>
          <w:rFonts w:ascii="arial" w:eastAsia="arial" w:hAnsi="arial" w:cs="arial"/>
          <w:b w:val="0"/>
          <w:i w:val="0"/>
          <w:strike w:val="0"/>
          <w:noProof w:val="0"/>
          <w:color w:val="000000"/>
          <w:position w:val="0"/>
          <w:sz w:val="20"/>
          <w:u w:val="none"/>
          <w:vertAlign w:val="baseline"/>
        </w:rPr>
        <w:t xml:space="preserve">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includes the use of objective performance measures that are clearly related to the intended outcomes of the project and will produce quantitative and qualitative data. (SEED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provide performance feedback and permit periodic assessment of progress toward achieving intended outcomes. (SEED NFP)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if well-implemented, produce evidence about the project's effectiveness that would meet What Works Clearinghouse Evidence Standards without reservations.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 encourage applicants to review the following technical assistance resources on evaluation:</w:t>
      </w:r>
      <w:r>
        <w:rPr>
          <w:rFonts w:ascii="arial" w:eastAsia="arial" w:hAnsi="arial" w:cs="arial"/>
          <w:b w:val="0"/>
          <w:i w:val="0"/>
          <w:strike w:val="0"/>
          <w:noProof w:val="0"/>
          <w:color w:val="000000"/>
          <w:position w:val="0"/>
          <w:sz w:val="20"/>
          <w:u w:val="none"/>
          <w:vertAlign w:val="baseline"/>
        </w:rPr>
        <w:t xml:space="preserve"> (1) WWC Procedures and Standards Handbook: </w:t>
      </w:r>
      <w:hyperlink r:id="rId28"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9"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30"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and discussed strategies for designing and executing studies that meet WWC evidence standards without reservations. This Webinar is available at: </w:t>
      </w:r>
      <w:hyperlink r:id="rId31"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2"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3"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8"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current </w:t>
      </w:r>
      <w:hyperlink r:id="rId39"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circumstances, high-risk conditions on a </w:t>
      </w:r>
      <w:r>
        <w:rPr>
          <w:rFonts w:ascii="arial" w:eastAsia="arial" w:hAnsi="arial" w:cs="arial"/>
          <w:b/>
          <w:i w:val="0"/>
          <w:strike w:val="0"/>
          <w:noProof w:val="0"/>
          <w:color w:val="000000"/>
          <w:position w:val="0"/>
          <w:sz w:val="20"/>
          <w:u w:val="none"/>
          <w:vertAlign w:val="baseline"/>
        </w:rPr>
        <w:t> [*93680] </w:t>
      </w:r>
      <w:r>
        <w:rPr>
          <w:rFonts w:ascii="arial" w:eastAsia="arial" w:hAnsi="arial" w:cs="arial"/>
          <w:b w:val="0"/>
          <w:i w:val="0"/>
          <w:strike w:val="0"/>
          <w:noProof w:val="0"/>
          <w:color w:val="000000"/>
          <w:position w:val="0"/>
          <w:sz w:val="20"/>
          <w:u w:val="none"/>
          <w:vertAlign w:val="baseline"/>
        </w:rPr>
        <w:t xml:space="preserve">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8"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0"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1"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2"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17"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SEED program is to support projects by National Not-for-Profit organizations that are supported by at least Moderate Evidence of Effectiveness to recruit, select, and prepare or provide professional enhancement activities for teachers, principals, or both. We have established the following performance measures for the SEED program: (a) The percentage of teacher and principal participants who serve concentrations of High-Need Students; (b) the percentage of participants who serve concentrations of High-Need Students and are highly effective; (c) the percentage of participants who serve concentrations of High-Need Students, are highly effective, and serve for at least two years; and (d) the cost per such participant. Grantees will report annually on each measure.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Margarita Melendez, U.S. Department of Education, 400 Maryland Avenue SW., Room 4W115, Washington, DC 20202-5960. Telephone: (202) 260-3548, or by email: </w:t>
      </w:r>
      <w:hyperlink r:id="rId18"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16,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2016-30751 Filed 12-20-16;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93671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R6-6DC0-006W-82W3-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s://advance.lexis.com/api/document?collection=administrative-codes&amp;id=urn:contentItem:5P25-NG20-008H-02V3-00000-00&amp;context=" TargetMode="External" /><Relationship Id="rId15" Type="http://schemas.openxmlformats.org/officeDocument/2006/relationships/hyperlink" Target="https://advance.lexis.com/api/document?collection=administrative-codes&amp;id=urn:contentItem:5F87-5G40-006W-82FN-00000-00&amp;context=" TargetMode="External" /><Relationship Id="rId16" Type="http://schemas.openxmlformats.org/officeDocument/2006/relationships/hyperlink" Target="http://ies.ed.gov/ncee/wwc/DocumentSum.aspx?sid=19" TargetMode="External" /><Relationship Id="rId17" Type="http://schemas.openxmlformats.org/officeDocument/2006/relationships/hyperlink" Target="https://advance.lexis.com/api/document?collection=administrative-codes&amp;id=urn:contentItem:5GMB-DPB0-008H-0272-00000-00&amp;context=" TargetMode="External" /><Relationship Id="rId18" Type="http://schemas.openxmlformats.org/officeDocument/2006/relationships/hyperlink" Target="mailto:SEED@ed.gov" TargetMode="External" /><Relationship Id="rId19" Type="http://schemas.openxmlformats.org/officeDocument/2006/relationships/hyperlink" Target="https://advance.lexis.com/api/document?collection=administrative-codes&amp;id=urn:contentItem:5G9C-N1H0-008H-002J-00000-00&amp;context=" TargetMode="External" /><Relationship Id="rId2" Type="http://schemas.openxmlformats.org/officeDocument/2006/relationships/webSettings" Target="webSettings.xml" /><Relationship Id="rId20" Type="http://schemas.openxmlformats.org/officeDocument/2006/relationships/hyperlink" Target="http://fedgov.dnb.com/webform" TargetMode="External" /><Relationship Id="rId21" Type="http://schemas.openxmlformats.org/officeDocument/2006/relationships/hyperlink" Target="http://www.SAM.gov" TargetMode="External" /><Relationship Id="rId22" Type="http://schemas.openxmlformats.org/officeDocument/2006/relationships/hyperlink" Target="http://www2.ed.gov/fund/grant/apply/sam-faqs.html" TargetMode="External" /><Relationship Id="rId23" Type="http://schemas.openxmlformats.org/officeDocument/2006/relationships/hyperlink" Target="http://www.grants.gov/web/grants/register.html" TargetMode="External" /><Relationship Id="rId24" Type="http://schemas.openxmlformats.org/officeDocument/2006/relationships/hyperlink" Target="http://www.Grants.gov" TargetMode="External" /><Relationship Id="rId25" Type="http://schemas.openxmlformats.org/officeDocument/2006/relationships/hyperlink" Target="http://www.G5.gov" TargetMode="External" /><Relationship Id="rId26" Type="http://schemas.openxmlformats.org/officeDocument/2006/relationships/hyperlink" Target="http://www.grants.gov/web/grants/applicants/apply-for-grants.html"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ies.ed.gov/ncee/wwc/references/idocviewer/doc.aspx?docid=19&amp;tocid=1" TargetMode="External" /><Relationship Id="rId29" Type="http://schemas.openxmlformats.org/officeDocument/2006/relationships/hyperlink" Target="http://ies.ed.gov/ncee/tech_methods/" TargetMode="External" /><Relationship Id="rId3" Type="http://schemas.openxmlformats.org/officeDocument/2006/relationships/fontTable" Target="fontTable.xml" /><Relationship Id="rId30" Type="http://schemas.openxmlformats.org/officeDocument/2006/relationships/hyperlink" Target="http://ies.ed.gov/ncee/wwc/Multimedia.aspx?sid=23" TargetMode="External" /><Relationship Id="rId31" Type="http://schemas.openxmlformats.org/officeDocument/2006/relationships/hyperlink" Target="http://ies.ed.gov/ncee/wwc/Multimedia.aspx?sid=18" TargetMode="External" /><Relationship Id="rId32" Type="http://schemas.openxmlformats.org/officeDocument/2006/relationships/hyperlink" Target="https://advance.lexis.com/api/document?collection=administrative-codes&amp;id=urn:contentItem:5GMB-DPB0-008H-02GP-00000-00&amp;context=" TargetMode="External" /><Relationship Id="rId33" Type="http://schemas.openxmlformats.org/officeDocument/2006/relationships/hyperlink" Target="https://advance.lexis.com/api/document?collection=administrative-codes&amp;id=urn:contentItem:5KS0-F5W0-008H-023P-00000-00&amp;context=" TargetMode="External" /><Relationship Id="rId34" Type="http://schemas.openxmlformats.org/officeDocument/2006/relationships/hyperlink" Target="https://advance.lexis.com/api/document?collection=administrative-codes&amp;id=urn:contentItem:5R5H-J1H0-008H-043K-00000-00&amp;context=" TargetMode="External" /><Relationship Id="rId35" Type="http://schemas.openxmlformats.org/officeDocument/2006/relationships/hyperlink" Target="https://advance.lexis.com/api/document?collection=administrative-codes&amp;id=urn:contentItem:5KS0-F5W0-008H-024V-00000-00&amp;context=" TargetMode="External" /><Relationship Id="rId36" Type="http://schemas.openxmlformats.org/officeDocument/2006/relationships/hyperlink" Target="https://advance.lexis.com/api/document?collection=administrative-codes&amp;id=urn:contentItem:5KS0-F600-008H-02PT-00000-00&amp;context=" TargetMode="External" /><Relationship Id="rId37" Type="http://schemas.openxmlformats.org/officeDocument/2006/relationships/hyperlink" Target="https://advance.lexis.com/api/document?collection=administrative-codes&amp;id=urn:contentItem:5KS0-F5W0-008H-025B-00000-00&amp;context=" TargetMode="External" /><Relationship Id="rId38" Type="http://schemas.openxmlformats.org/officeDocument/2006/relationships/hyperlink" Target="https://advance.lexis.com/api/document?collection=administrative-codes&amp;id=urn:contentItem:5HDM-DHF0-008G-Y2NJ-00000-00&amp;context=" TargetMode="External" /><Relationship Id="rId39" Type="http://schemas.openxmlformats.org/officeDocument/2006/relationships/hyperlink" Target="https://advance.lexis.com/api/document?collection=administrative-codes&amp;id=urn:contentItem:5F34-Y1R0-008G-Y1F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2R-48P0-008G-Y31V-00000-00&amp;context=" TargetMode="External" /><Relationship Id="rId41" Type="http://schemas.openxmlformats.org/officeDocument/2006/relationships/hyperlink" Target="https://advance.lexis.com/api/document?collection=administrative-codes&amp;id=urn:contentItem:5GMB-DPC0-008H-02S7-00000-00&amp;context=" TargetMode="External" /><Relationship Id="rId42" Type="http://schemas.openxmlformats.org/officeDocument/2006/relationships/hyperlink" Target="https://advance.lexis.com/api/document?collection=administrative-codes&amp;id=urn:contentItem:5GMB-DPC0-008H-02SK-00000-00&amp;context=" TargetMode="External" /><Relationship Id="rId43" Type="http://schemas.openxmlformats.org/officeDocument/2006/relationships/hyperlink" Target="http://www.ed.gov/fund/grant/apply/appforms/appforms.html" TargetMode="External" /><Relationship Id="rId44" Type="http://schemas.openxmlformats.org/officeDocument/2006/relationships/hyperlink" Target="http://www.gpo.gov/fdsys" TargetMode="External" /><Relationship Id="rId45" Type="http://schemas.openxmlformats.org/officeDocument/2006/relationships/hyperlink" Target="http://www.federalregister.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F-97G0-006W-806G-00000-00&amp;context=" TargetMode="External" /><Relationship Id="rId8" Type="http://schemas.openxmlformats.org/officeDocument/2006/relationships/hyperlink" Target="http://innovation.ed.gov/what-we-do/teacher-quality/supporting-effective-educator-development-grant-program/" TargetMode="External" /><Relationship Id="rId9" Type="http://schemas.openxmlformats.org/officeDocument/2006/relationships/hyperlink" Target="https://advance.lexis.com/api/document?collection=administrative-codes&amp;id=urn:contentItem:5P5K-6FW0-008H-034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