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95213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248, Tuesday, December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95213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the Exchange Data Fees at Rule 7052</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34-79617; File No. SR-NASDAQ-2016-168]</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12, 2016,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w:t>
        </w:r>
      </w:hyperlink>
      <w:r>
        <w:rPr>
          <w:rFonts w:ascii="arial" w:eastAsia="arial" w:hAnsi="arial" w:cs="arial"/>
          <w:b w:val="0"/>
          <w:i w:val="0"/>
          <w:strike w:val="0"/>
          <w:noProof w:val="0"/>
          <w:color w:val="000000"/>
          <w:position w:val="0"/>
          <w:sz w:val="20"/>
          <w:u w:val="none"/>
          <w:vertAlign w:val="baseline"/>
        </w:rPr>
        <w:t>(b)(1).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Exchange's data fees at Rule 7052 to replace the current $ 500 per month fee for both internal and external distribution of short sale data with two separate fees: (1) A $ 750 monthly fee for the distribution of short sale data to internal users, and (2) a $ 1,250 monthly fee for the distribution of short sale data to external users, as described further below. </w:t>
      </w:r>
      <w:r>
        <w:rPr>
          <w:rFonts w:ascii="arial" w:eastAsia="arial" w:hAnsi="arial" w:cs="arial"/>
          <w:b/>
          <w:i w:val="0"/>
          <w:strike w:val="0"/>
          <w:noProof w:val="0"/>
          <w:color w:val="000000"/>
          <w:position w:val="0"/>
          <w:sz w:val="20"/>
          <w:u w:val="none"/>
          <w:vertAlign w:val="baseline"/>
        </w:rPr>
        <w:t> [*95214]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amendments are effective upon filing, the Exchange has designated the proposed amendments to be operative on January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replace the current $ 500 per month fee for both internal and external distribution of short sale data with two separate fees: (1) A $ 750 monthly fee for the distribution of short sale data to internal users, and (2) a $ 1,250 monthly fee for the distribution of short sale data to external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and Monthly Short Sale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distributes two types of short sale data: (1) Daily Short Sale Volume files, and (2) Monthly Short Sale Transaction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Short Sale Volume files reflect the aggregate number of shares executed on the Nasdaq market during regular trading hours on a daily basis. At the security level, these files show the volume for executed short sales and the total trading volume for the Nasdaq market. The files include data for Nasdaq, NYSE and regional exchange-listed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Monthly Short Sale Transaction files provide a trade-by-trade record of all short sales executed on the Nasdaq execution system and reported to a consolidated tape in Nasdaq, NYSE and regional exchange-listed securities. The records include the transaction time, price and number of shares for every short sale transaction. The files are provided on a monthly basis, separated into daily files. Historical files are available from August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fee for internal and external distribution of the Daily Short Sale Volume and Monthly Short Sale Transaction files is $ 500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replace the current $ 500 per month fee for both internal and external distribution of short sale data with two separate fees: (1) a $ 750 monthly fee for the distribution of short sale data to internal users, and (2) a $ 1,250 monthly fee for the distribution of short sale data to external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create a pricing system that better reflects the value of the product to our customers. External Distributors, unlike Internal Distributors, are typically compensated for the distribution of short sale data through subscription fees or other mechanisms. Some External Distributors incorporate short sale data into their own proprietary products, which they sell to downstream users. These distributors may not charge separately for the Nasdaq short sale data, but nevertheless gain value from the data by incorporating it into their product. The price increase for External Distributors reflects the additional value these distributors gain from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value of the short sale data has increased over time for all distributors that have purchased short sale data over a long period of time. Short sale data is frequently used to develop trading models, conduct analyses and assess long-term risks. As time passes, long-term distributors are able to accrue a larger database, rendering the data more valuable. The proposed price increases reflect the growing value of the data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Purchases of the Daily Short Sale Volume and Monthly Short Sale Transaction files are entirely optional. These reports are not necessary to execute trades, but rather are typically used to develop trading models, conduct analyses and assess long-term risks. This type of activity is entirely at the discretion of the subscriber.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do not impact or raise the cost of any other Nasdaq product. Short sale reports from the Nasdaq BX and PSX Exchanges will continue to be provided free of charge, as they have been since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n3 in general, and furthers the objectives of Sections 6(b)(4) and 6(b)(5) of the Act, n4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1"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(b)(4)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Securities Exchange Act Release No. 51808 (June 9, 2005), </w:t>
      </w:r>
      <w:hyperlink r:id="rId12"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Securities and Exchange Commission </w:t>
      </w:r>
      <w:r>
        <w:rPr>
          <w:rFonts w:ascii="arial" w:eastAsia="arial" w:hAnsi="arial" w:cs="arial"/>
          <w:b w:val="0"/>
          <w:i w:val="0"/>
          <w:strike w:val="0"/>
          <w:noProof w:val="0"/>
          <w:color w:val="000000"/>
          <w:position w:val="0"/>
          <w:sz w:val="20"/>
          <w:u w:val="none"/>
          <w:vertAlign w:val="baseline"/>
        </w:rPr>
        <w:t xml:space="preserve"> n6 ("NetCoalition") the D.C. Circuit upheld the Commission's use of a market-based approach in evaluating the fairness of market data fees against a challenge claiming that Congress mandated a cost-based approach. n7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3"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3"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4"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proposal to replace the current fee of $ 500 per month for the internal and </w:t>
      </w:r>
      <w:r>
        <w:rPr>
          <w:rFonts w:ascii="arial" w:eastAsia="arial" w:hAnsi="arial" w:cs="arial"/>
          <w:b/>
          <w:i w:val="0"/>
          <w:strike w:val="0"/>
          <w:noProof w:val="0"/>
          <w:color w:val="000000"/>
          <w:position w:val="0"/>
          <w:sz w:val="20"/>
          <w:u w:val="none"/>
          <w:vertAlign w:val="baseline"/>
        </w:rPr>
        <w:t> [*95215] </w:t>
      </w:r>
      <w:r>
        <w:rPr>
          <w:rFonts w:ascii="arial" w:eastAsia="arial" w:hAnsi="arial" w:cs="arial"/>
          <w:b w:val="0"/>
          <w:i w:val="0"/>
          <w:strike w:val="0"/>
          <w:noProof w:val="0"/>
          <w:color w:val="000000"/>
          <w:position w:val="0"/>
          <w:sz w:val="20"/>
          <w:u w:val="none"/>
          <w:vertAlign w:val="baseline"/>
        </w:rPr>
        <w:t xml:space="preserve"> external distribution of short sale data with a monthly fee of $ 750 per month for the distribution of short sale data to internal users, and a monthly fee of $ 1,250 for the distribution of short sale data to external users, is fair and equitable in accordance with Section 6(b)(4) of the Act, and not unreasonably discriminatory in accordance with Section 6(b)(5) of the Act. As described above, it is reasonable for external distributors to bear a higher proportion of the cost because they receive greater value from the product, and it is reasonable for Nasdaq to increase a fee for a product that has become more valuable over time. Moreover, short sale data fees, like all proprietary data fees, are constrained by the Exchange's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and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products, such as the short sale data products produced by NYSE and BATS.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change is an equitable allocation and is not unfairly discriminatory because the Exchange will apply the same fee to all similarly-situated distributors.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or rebate opportunities available at other venues to be more favorable.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fees replace the current fee of $ 500 per month for the internal and external distribution of short sale data with a monthly fee of $ 750 per month for distribution to internal users, and a monthly fee of $ 1,250 for distribution to external users. If the changes proposed herein are unattractive to market participants, it is likely that the Exchange will lose market share as a result. Accordingly, the Exchange does not believe that the proposed changes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market forces constrain fees for Daily Short Sale Volume files and Monthly Short Sale Transaction files in three respects. First, all fees related to short sale data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attracting order flow. Firms make decisions regarding short sale data and other proprietary data based on the total cost of interacting with the Exchange, and order flow would be harmed by the supracompetitive pricing of any proprietary data product. Second, prices for short sale data are constrained by the sale of short sale data by other exchanges. Third,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will constrain the cost of short sale data.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Fees related to short sale data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seeking to attract order flow. Order flow is the "life blood" of the exchanges. Broker-dealers currently have numerous alternative venues for their order flow, including self-regulatory organization ("SRO") markets, as well as internalizing broker-dealers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Trade Reporting Facilities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which may readily reduce costs by directing orders toward the lowest-cost trading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for order flow is demonstrated by the numerous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 For a variety of reasons,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especially for order execution, has increased dramatically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SRO, TRF, ATS, and BD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order flow is permitted to produce proprietary data products. Many currently do or have announced plans to do so, including NYSE, NYSE Amex, NYSE Arca, BATS, and IEX. This is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deregulated the market for proprietary data. While BDs had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Order routers and market data vendors can facilitate production of proprietary data products for single or multiple BDs.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 for order flow and proprietary data are inextricably linked: a trading platform cannot generate market information unless it receives trade orders. As a result,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constrains the prices that platforms can charge for proprietary data products. Firms make decisions on how much and what types of data to consume based on the total cost of interacting with Nasdaq and other exchanges. Data fees are but one factor in a total platform analysis. If the cost of the product exceeds its expected value, the broker-dealer will choose not to buy it. A supracompetitive increase in the fees charged for either transactions or proprietary data has the potential to impair revenues from both products. In this manner,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will constrain prices for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short sale data from Nasdaq is constrained by the availability of short sale data from other exchanges, such as NYSE and BATS. Short sale data is used to support various analytical tools, and Distributors would not pay an excessive price for such data when similar information is available from other sources.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Distributors provide another form of price discipline for proprietary data products. Distributors are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users, and can simply refuse to purchase any proprietary data product that fails to provide sufficient value for the price. If the price of short sale data were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Distributors purchasing such data would be at a disadvantage relative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would therefore either purchase a substitute or </w:t>
      </w:r>
      <w:r>
        <w:rPr>
          <w:rFonts w:ascii="arial" w:eastAsia="arial" w:hAnsi="arial" w:cs="arial"/>
          <w:b/>
          <w:i w:val="0"/>
          <w:strike w:val="0"/>
          <w:noProof w:val="0"/>
          <w:color w:val="000000"/>
          <w:position w:val="0"/>
          <w:sz w:val="20"/>
          <w:u w:val="none"/>
          <w:vertAlign w:val="baseline"/>
        </w:rPr>
        <w:t> [*95216] </w:t>
      </w:r>
      <w:r>
        <w:rPr>
          <w:rFonts w:ascii="arial" w:eastAsia="arial" w:hAnsi="arial" w:cs="arial"/>
          <w:b w:val="0"/>
          <w:i w:val="0"/>
          <w:strike w:val="0"/>
          <w:noProof w:val="0"/>
          <w:color w:val="000000"/>
          <w:position w:val="0"/>
          <w:sz w:val="20"/>
          <w:u w:val="none"/>
          <w:vertAlign w:val="baseline"/>
        </w:rPr>
        <w:t xml:space="preserve"> forego the product altogether.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provides another check on the price for short sale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market forces constrain the price of short sale data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substitute products, and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for customers. For these reasons, the Exchange has provided a substantial basis demonstrating that the fee is equitable, fair, reasonable, and not unreasonably discriminatory, and therefore consistent with and in furtherance of the purposes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8" w:history="1">
        <w:r>
          <w:rPr>
            <w:rFonts w:ascii="arial" w:eastAsia="arial" w:hAnsi="arial" w:cs="arial"/>
            <w:b w:val="0"/>
            <w:i/>
            <w:strike w:val="0"/>
            <w:noProof w:val="0"/>
            <w:color w:val="0077CC"/>
            <w:position w:val="0"/>
            <w:sz w:val="20"/>
            <w:u w:val="single"/>
            <w:vertAlign w:val="baseline"/>
          </w:rPr>
          <w:t>15 U.S.C. 78s</w:t>
        </w:r>
      </w:hyperlink>
      <w:r>
        <w:rPr>
          <w:rFonts w:ascii="arial" w:eastAsia="arial" w:hAnsi="arial" w:cs="arial"/>
          <w:b w:val="0"/>
          <w:i w:val="0"/>
          <w:strike w:val="0"/>
          <w:noProof w:val="0"/>
          <w:color w:val="000000"/>
          <w:position w:val="0"/>
          <w:sz w:val="20"/>
          <w:u w:val="none"/>
          <w:vertAlign w:val="baseline"/>
        </w:rPr>
        <w:t>(b)(3)(A)(ii).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SR-NASDAQ-2016-168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SR-NASDAQ-2016-168. This file number should be included on the subject line if email is used. To help the Commission process and review your comments more efficiently, please use only one method. The Commission will post all comments on the Commission's Internet Web site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SR-NASDAQ-2016-168 and should be submitted on or before January 17,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2016-31109 Filed 12-23-16;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95213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statutes-legislation&amp;id=urn:contentItem:4YF7-GPC1-NRF4-4309-00000-00&amp;context=" TargetMode="External" /><Relationship Id="rId12" Type="http://schemas.openxmlformats.org/officeDocument/2006/relationships/hyperlink" Target="https://advance.lexis.com/api/document?collection=administrative-codes&amp;id=urn:contentItem:4GH9-4PB0-014W-D1VJ-00000-00&amp;context=" TargetMode="External" /><Relationship Id="rId13" Type="http://schemas.openxmlformats.org/officeDocument/2006/relationships/hyperlink" Target="https://advance.lexis.com/api/document?collection=cases&amp;id=urn:contentItem:803V-DT30-YB0V-T01B-00000-00&amp;context=" TargetMode="External" /><Relationship Id="rId14" Type="http://schemas.openxmlformats.org/officeDocument/2006/relationships/hyperlink" Target="https://advance.lexis.com/api/document?collection=administrative-codes&amp;id=urn:contentItem:4V3T-8BP0-006W-834G-00000-00&amp;context=" TargetMode="External" /><Relationship Id="rId15" Type="http://schemas.openxmlformats.org/officeDocument/2006/relationships/hyperlink" Target="http://www.sec.gov/rules/sro.shtml" TargetMode="External" /><Relationship Id="rId16" Type="http://schemas.openxmlformats.org/officeDocument/2006/relationships/hyperlink" Target="mailto:rule-comments@sec.gov" TargetMode="External" /><Relationship Id="rId17" Type="http://schemas.openxmlformats.org/officeDocument/2006/relationships/hyperlink" Target="https://advance.lexis.com/api/document?collection=administrative-codes&amp;id=urn:contentItem:5SPP-2120-008G-Y2ND-00000-00&amp;context="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GR-4DB0-006W-80V7-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4092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71569687</vt:lpwstr>
  </property>
  <property fmtid="{D5CDD505-2E9C-101B-9397-08002B2CF9AE}" pid="3" name="LADocCount">
    <vt:lpwstr>1</vt:lpwstr>
  </property>
  <property fmtid="{D5CDD505-2E9C-101B-9397-08002B2CF9AE}" pid="4" name="UserPermID">
    <vt:lpwstr>urn:user:PA185916758</vt:lpwstr>
  </property>
</Properties>
</file>