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96507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251, Friday, December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96507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Clear Channel Outdoor Holdings,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Asset Preservation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Clear Channel Outdoor Holdings, Inc.,</w:t>
      </w:r>
      <w:r>
        <w:rPr>
          <w:rFonts w:ascii="arial" w:eastAsia="arial" w:hAnsi="arial" w:cs="arial"/>
          <w:b w:val="0"/>
          <w:i w:val="0"/>
          <w:strike w:val="0"/>
          <w:noProof w:val="0"/>
          <w:color w:val="000000"/>
          <w:position w:val="0"/>
          <w:sz w:val="20"/>
          <w:u w:val="none"/>
          <w:vertAlign w:val="baseline"/>
        </w:rPr>
        <w:t xml:space="preserve"> Civil Action No. 1:16-cv-02497. On December 22, 2016, the United States filed a Complaint alleging that a proposed transaction between Clear Channel Outdoor Holdings, Inc. and Fairway Media Group, LLC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resolves the case by requiring Clear Channel and Fairway to divest certain billboards in Atlanta, Georgia, and Indianapolis,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Owen M. Kendler, Acting Chief, Litigation III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4000, Washington, DC 20530 (telephone: 202-305-8376).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Clear Channel Outdoor Holdings, Inc., 200 East Basse Road, Suite 100, San Antonio, TX 78209,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Fairway Media Group, LLC, 3801 Capital City Blvd., Lansing, MI 48906,</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12/22/2016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("Plaintiff"), acting under the direction of the Attorney General of the United States, brings this civil action to enjoin the transaction between Defendants Clear Channel Outdoor Holdings, Inc. ("Clear Channel") and Fairway Media Group, LLC ("Fairway") and to obtain other equitable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Clear Channel and Fairway sell outdoor advertising on billboards to local and national customers in numerous metropolitan areas throughout the United States. Among other metropolitan areas,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to sell advertising on billboards that are located in Indianapolis, Indiana and Atlanta, Georgia (collectively, the "Metropolitan Markets"). Within each of the Metropolitan Markets, Clear Channel and Fairway own and operate billboards that are located in close proximity to each other and therefore constitute attractive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for advertisers that seek to advertise on billboards in those specific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March 3, 2016, Clear Channel and Fairway entered into an asset exchange pursuant to which Clear Channel would acquire certain Fairway billboards located in Atlanta and Fairway would acquire certain Clear Channel billboards located in Indianapolis, along with billboards in other metropolitan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If consummated, the proposed transaction would eliminate the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within each of the Metropolitan Markets.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billboards that are located in close proximity to each other in each of the Metropolitan Markets has benefitted advertisers through lower prices and better services. The proposed transaction threatens to end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these areas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Defendants are engaged in interstate commerce and in activities substantially affecting interstate commerce. They each own and operate billboards in various locations throughout the United States and sell outdoor advertising in the geographic areas where their billboards are located. Their sale of advertising on billboards has had a substantial effect upon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Defendants have consented to venue and personal jurisdiction in this district. Venue is also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Clear Channel is a Delaware corporation, with its corporate headquarters in San Antonio, Texas. Clear Channel is one of the largest outdoor advertising companies in the United States. Clear Channel reported consolidated revenues of over $ 2.8 billion in 2015. As of December 31, 2015, Clear Channel owned or operated more than 650,000 outdoor advertising displays worldwide. It owns and operates billboards in each of the Metropolitan Markets. </w:t>
      </w:r>
      <w:r>
        <w:rPr>
          <w:rFonts w:ascii="arial" w:eastAsia="arial" w:hAnsi="arial" w:cs="arial"/>
          <w:b/>
          <w:i w:val="0"/>
          <w:strike w:val="0"/>
          <w:noProof w:val="0"/>
          <w:color w:val="000000"/>
          <w:position w:val="0"/>
          <w:sz w:val="20"/>
          <w:u w:val="none"/>
          <w:vertAlign w:val="baseline"/>
        </w:rPr>
        <w:t> [*96508]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Fairway is a Delaware limited liability company with its headquarters in Duncan, South Carolina. Fairway owns or operates outdoor advertising displays in fifteen states. Fairway had revenues of approximately $ 110 million in 2015. Fairway also owns and operates billboards in each of the Metropolitan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Pursuant to an Asset Purchase and Exchange Agreement dated March 3, 2016, Clear Channel and Fairway agreed to exchange billboards in a transaction valued at $ 150 million. Specifically, the parties agreed that Clear Channel would acquire certain Fairway billboards located in Atlanta and Fairway would acquire certain Clear Channel billboards located in Indianapolis and Sherman/Denison, Texas. Although the Asset Purchase and Exchange Agreement originally provided that Fairway would acquire certain Clear Channel billboards in Rochester, Minnesota, and that Clear Channel would acquire additional Fairway billboards in Atlanta, the parties subsequently amended their agreement to remove the Rochester assets and the additional Atlanta assets from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relevant markets for purposes of Section 7 of the Clayton Act are the sale of outdoor advertising on billboards to advertisers targeting consumers located in areas no larger than the Metropolitan Markets, and likely smaller areas within each of the Metropolitan Markets where the parties own and operate billboards in close proximity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Clear Channel and Fairway generate revenue from the sale of outdoor advertising to local and national businesses that want to promote their products and services. Outdoor advertising is available in a variety of sizes and forms for advertising campaigns of differing styles and duration. Outdoor advertising sales include selling space on billboards and posters, public transportation, such as subways and buses, and other public spaces, such as bus stops, kiosks, and benches.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Outdoor advertising has prices and characteristics that are distinct from other advertising media platforms like radio, television, the Internet, newspapers, and magazines. Outdoor advertising is suitable for highly visual, limited-information advertising, because consumers are exposed to an outdoor advertisement for only a brief period of time as they travel through specific geographic areas. Outdoor advertisements typically are less expensive and more cost-efficient when compared to other media at reaching an advertiser's target audience. Many advertisers use outdoor advertisements when they want a large number of exposures to consumers at a low cost per exposure. Such advertisers do not view other advertising mediums or platforms as close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Advertisers often choose a particular form of outdoor advertising over other outdoor advertising forms based upon the purpose of an advertising campaign, the target demographic group, and the geographic area where that campaign is to occur. For this reason, some outdoor advertising forms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closely with each other when compared to other outdoor advertising forms. And certain outdoor advertising forms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closely with each other depending upon their specific geographic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With respect to outdoor advertising forms, billboards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most closely with other billboards located in the same geographic area. Advertisers select billboards over other outdoor advertising forms based upon a number of factors. These include the size and demographic of the target audience (individuals most likely to purchase the advertiser's products or services), the traffic and commuting patterns of the audience, and other audience characteristics. Additionally, in certain geographic areas, other forms of outdoor advertising are not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precise geographic location of a particular billboard is also important to advertisers. Many advertisers need to reach consumers in a particular city, part of a city, metropolitan area, or part of a metropolitan area. They also seek to reach certain demographic categories of consumers within a city or metropolitan area. Consequently, many advertisers select billboards that are located on highways, roads and streets where the vehicle and pedestrian traffic of that target audience is high, or where that traffic is close to the advertiser's commercial locations. By selecting billboards in these locations, advertisers can ensure that their target audience will frequently view billboards that contain their advertisements. If different firms own billboards that are located in close proximity to each other that would efficiently reach an advertiser's target audience, the advertiser would benefit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those billboard firms to offer better prices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At a minimum, billboard companies could profitably impose a small but significant and non-transitory increase in price ("SSNIP") to those advertisers who view billboards in certain geographic locations either as their sole method of advertising or as a necessary advertising complement to other media, including other outdoor advertising forms. Consequently, for many advertisers who want to advertise on billboards in each of the Metropolitan Markets or in certain smaller areas within each of the Metropolitan Markets, the imposition of a SSNIP would not cause these advertisers to switch some of their advertising to other media, other outdoor advertising forms, or to billboards located outside each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For all of the above reasons, for purposes of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transaction, the relevant product market is outdoor advertising on billboards and the relevant geographic markets are no larger than each of the Metropolitan Markets, and may consist of considerably smaller areas within each of those Metropolitan Markets where the parties own and operate billboards in close proximity to each 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Market concentration is often one useful indicator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transaction. Concentration in each of the Metropolitan Markets and in certain smaller areas within each of the Metropolitan Markets would increase significantly as a result of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As articulated in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Department of Justice and the Federal Trade Commission, the Herfindahl-Hirschman Index ("HHI") is a standard measure of market concentration (defined and explained in Appendix A). The more concentrated a market, and the more a transaction would increase concentration in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harming consumers. Mergers resulting in highly concentrated markets (with an HHI in excess of 2,500) that involve an increase in the HHI of more than 200 points are presumed to be likely to enhance market power under the </w:t>
      </w:r>
      <w:r>
        <w:rPr>
          <w:rFonts w:ascii="arial" w:eastAsia="arial" w:hAnsi="arial" w:cs="arial"/>
          <w:b w:val="0"/>
          <w:i/>
          <w:strike w:val="0"/>
          <w:noProof w:val="0"/>
          <w:color w:val="000000"/>
          <w:position w:val="0"/>
          <w:sz w:val="20"/>
          <w:u w:val="none"/>
          <w:vertAlign w:val="baseline"/>
        </w:rPr>
        <w:t>Horizontal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 each of the Metropolitan Markets, and in certain smaller areas within each of the Metropolitan Markets, the market for outdoor advertising on billboards is highly concentrated. The proposed transaction between Clear Channel and Fairway would result in HHIs in excess of 2,500 in each of the Metropolitan Markets and in certain areas within each Metropolitan Market. These post-transaction HHIs, which reflect </w:t>
      </w:r>
      <w:r>
        <w:rPr>
          <w:rFonts w:ascii="arial" w:eastAsia="arial" w:hAnsi="arial" w:cs="arial"/>
          <w:b/>
          <w:i w:val="0"/>
          <w:strike w:val="0"/>
          <w:noProof w:val="0"/>
          <w:color w:val="000000"/>
          <w:position w:val="0"/>
          <w:sz w:val="20"/>
          <w:u w:val="none"/>
          <w:vertAlign w:val="baseline"/>
        </w:rPr>
        <w:t> [*96509] </w:t>
      </w:r>
      <w:r>
        <w:rPr>
          <w:rFonts w:ascii="arial" w:eastAsia="arial" w:hAnsi="arial" w:cs="arial"/>
          <w:b w:val="0"/>
          <w:i w:val="0"/>
          <w:strike w:val="0"/>
          <w:noProof w:val="0"/>
          <w:color w:val="000000"/>
          <w:position w:val="0"/>
          <w:sz w:val="20"/>
          <w:u w:val="none"/>
          <w:vertAlign w:val="baseline"/>
        </w:rPr>
        <w:t xml:space="preserve"> increases of more than 200 points in each Metropolitan Market and in certain areas within each Metropolitan Market, are well above the 2,500 threshold at which a transaction is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addition to increasing concentration, the proposed transaction will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by bringing under the control of one firm billboards that are close substitutes, based on their geographic locations, in areas with limited alternatives. In some of the areas within each of the Metropolitan Markets, there are no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billboards that would be attractive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to Clear Channel's and Fairway's billboards. In other areas within each of the Metropolitan Markets, there are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present, but the number of billboards or their quality is insufficient to preclude the exercise of market power by Clear Channel or Fairway post-transaction.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In each of the Metropolitan Markets, there are significant barriers to entry, including governmental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new billboard construction. Therefore, it is unlikely that any new entry or repositioning from existing firms would be sufficient or timely to defeat Clear Channel or Fairway from profitably imposing a SSNIP on their billboards in the Metropolitan Markets and in certain smaller areas within the Metropolitan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United States hereby repeats and realleges the allegations of paragraphs 1 through 23 as if fully set forth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Clear Channel's proposed transaction with Fairway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the relevant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Unless enjoined, the proposed transaction likely would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outdoor advertising on billboards in each of the Metropolitan Markets and in certain areas within each of the Metropolitan Markets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in the sale of outdoor advertising on billboards in each of the Metropolitan Markets and in certain areas within each of the Metropolitan Markets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outdoor advertising on billboards in each of the Metropolitan Market and in certain areas within each of the Metropolitan Markets would likely increase, and the quality of services would likely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United States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the proposed transaction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the Court permanently enjoin and restrain Defendants from carrying out the proposed transaction, or entering into any other agreement, understanding, or plan by which Clear Channel and Fairway would exchange billboards in each of the Metropolitan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award the United States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award such other relief to the United States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 Sallet,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M. Kendler,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Chief, Litigation III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 * (D.C. Bar #451743),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III Section, 450 Fifth Street NW., Suite 4000, Washington, DC 20530, Phone: 202-616-1398, Facsimile: 202-514-7308, Email: </w:t>
      </w:r>
      <w:hyperlink r:id="rId16" w:history="1">
        <w:r>
          <w:rPr>
            <w:rFonts w:ascii="arial" w:eastAsia="arial" w:hAnsi="arial" w:cs="arial"/>
            <w:b w:val="0"/>
            <w:i/>
            <w:strike w:val="0"/>
            <w:noProof w:val="0"/>
            <w:color w:val="0077CC"/>
            <w:position w:val="0"/>
            <w:sz w:val="20"/>
            <w:u w:val="single"/>
            <w:vertAlign w:val="baseline"/>
          </w:rPr>
          <w:t>Mark.Merva@usdoj.gov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FTC,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Department of Justice and the Federal Trade Commission.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Clear Channel Outdoor Holdings, Inc., and Fairway Media Group,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12/22/2016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3, 2016, Defendants Clear Channel Outdoor Holdings, Inc. ("Clear Channel") and Fairway Media Group, LLC ("Fairway") entered into an asset exchange pursuant to which Clear Channel would acquire certain Fairway billboards located in Atlanta, Georgia, and Fairway would acquire certain Clear Channel billboards located in Indianapolis, Indiana (collectively Atlanta and Indianapolis are the "Metropolitan Markets"), along with billboards in other metropolitan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December 22, 2016, seeking to enjoin the proposed transaction. The Complaint alleges that the proposed transaction likely would eliminate the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within each of the Metropolitan Markets.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billboards that are located in close proximity to each other in each of the Metropolitan Markets has benefitted advertisers through lower prices and </w:t>
      </w:r>
      <w:r>
        <w:rPr>
          <w:rFonts w:ascii="arial" w:eastAsia="arial" w:hAnsi="arial" w:cs="arial"/>
          <w:b/>
          <w:i w:val="0"/>
          <w:strike w:val="0"/>
          <w:noProof w:val="0"/>
          <w:color w:val="000000"/>
          <w:position w:val="0"/>
          <w:sz w:val="20"/>
          <w:u w:val="none"/>
          <w:vertAlign w:val="baseline"/>
        </w:rPr>
        <w:t> [*96510] </w:t>
      </w:r>
      <w:r>
        <w:rPr>
          <w:rFonts w:ascii="arial" w:eastAsia="arial" w:hAnsi="arial" w:cs="arial"/>
          <w:b w:val="0"/>
          <w:i w:val="0"/>
          <w:strike w:val="0"/>
          <w:noProof w:val="0"/>
          <w:color w:val="000000"/>
          <w:position w:val="0"/>
          <w:sz w:val="20"/>
          <w:u w:val="none"/>
          <w:vertAlign w:val="baseline"/>
        </w:rPr>
        <w:t xml:space="preserve"> better services. These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an Asset Preservation Stipulation and Order ("Asset Preservation Order") and proposed Final Judgment, which are designed to eliminate the likely anticompetitive effects of the transaction. The proposed Final Judgment, which is explained more fully below, requires Defendants to divest their interests in 57 identified outdoor billboard assets in the Metropolitan Markets to acquirers approved by the United States in a manner that preserves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Asset Preservation Order requires Defendants to take certain steps to ensure that each of the divested assets continues to be operated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economically viable, and ongoing outdoor advertising asset, uninfluenced by the consummation of the transaction so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until the required divestitures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Channel is a Delaware corporation with its headquarters in San Antonio, Texas. Clear Channel is one of the largest outdoor advertising companies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Fairway is a Delaware limited liability company with its headquarters in Duncan, South Carolina. Fairway owns and operates outdoor advertising displays in fifteen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Asset Purchase and Exchange Agreement dated March 3, 2016, Clear Channel and Fairway agreed to exchange billboards in a transaction valued at $ 150 million. Specifically, the parties agreed that Clear Channel would acquire certain Fairway billboards located in Atlanta and Fairway would acquire certain Clear Channel billboards located in Indianapolis and Sherman/Denison, Texas. Although the Asset Purchase and Exchange Agreement originally provided that Fairway would acquire certain Clear Channel billboards in Rochester, Minnesota, and that Clear Channel would acquire additional Fairway billboards in Atlanta, the parties subsequently amended their agreement to remove the Rochester assets and additional Atlanta assets from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as agreed to by Defendants,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within each of the Metropolitan Markets. This transaction is the subject of the Complaint and proposed Final Judgment filed today by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Transaction's Likely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the sale of outdoor advertising on billboards to advertisers that seek to target consumers located in geographic areas no larger than each of the Metropolitan Markets, and likely smaller areas within each of those market where the parties own and operate billboards in close proximity to each other, constitute relevant markets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Channel and Fairway sell outdoor advertising to local and national businesses that seek to promote their products and services to consumers in each of the Metropolitan Markets and in certain smaller areas within each of the Metropolitan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Outdoor advertising possesses a unique combination of attributes that sets it apart from advertising using other types of media, like radio, television, the Internet, newspapers and magazines. Outdoor advertising is suitable for highly visual, limited-information advertising, because consumers are exposed to an outdoor advertisement for only a brief period of time as they travel through specific geographic areas. Outdoor advertisements typically are less expensive and more cost-efficient when compared to other media at reaching an advertiser's target audience. Many advertisers use outdoor advertisements when they want a large number of exposures to consumers at a low cost per exposure. Such advertisers do not view other advertising mediums or platforms as close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Outdoor advertising is available in a variety of sizes and forms for advertising campaigns of differing styles and duration. Outdoor advertising sales include selling space on billboards and posters, public transportation, such as subways and buses, and other public spaces, such as bus stops, kiosks, and benches. Advertisers often choose a particular form of outdoor advertising over other outdoor advertising forms based upon the purpose of an advertising campaign, the target demographic group, and the geographic area where that campaign is to occur. For this reason, some outdoor advertising forms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closely with each other when compared to other outdoor advertising forms. And certain outdoor advertising forms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closely with each other depending upon their specific geographic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outdoor advertising forms, billboards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most closely with other billboards located in the same geographic area. Advertisers select billboards over other outdoor advertising forms based upon a number of factors. These include the size and demographic of the target audience (individuals most likely to purchase the advertiser's products or services), the traffic and commuting patterns of the audience, and other audience characteristics. Additionally, in certain geographic areas, other forms of outdoor advertising are not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precise geographic location of a particular billboard is also important to advertisers. Many advertisers need to reach consumers in a particular city, part of a city, metropolitan area, or part of a metropolitan area. They also seek to reach certain demographic categories of consumers within a city or metropolitan area. Consequently, many advertisers select billboards that are located on highways, roads and streets where the vehicle and pedestrian traffic of that target audience is high, or where that traffic is close to the advertiser's commercial locations. By selecting billboards in these locations, advertisers can ensure that their target audience will frequently view billboards that contain their advertisements. If different firms own billboards that are located in close proximity to each other that would efficiently reach an advertiser's target audience, the advertiser would benefit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those billboard firms to offer better prices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minimum, billboard companies could profitably impose a small but significant and non-transitory increase in price ("SSNIP") to those advertisers who view billboards in certain geographic locations either as their sole method of advertising or as a necessary advertising complement to other media, including other outdoor advertising forms. Consequently, for many advertisers who want to advertise on billboards in each of the Metropolitan Markets or in certain smaller areas within each of the Metropolitan </w:t>
      </w:r>
      <w:r>
        <w:rPr>
          <w:rFonts w:ascii="arial" w:eastAsia="arial" w:hAnsi="arial" w:cs="arial"/>
          <w:b/>
          <w:i w:val="0"/>
          <w:strike w:val="0"/>
          <w:noProof w:val="0"/>
          <w:color w:val="000000"/>
          <w:position w:val="0"/>
          <w:sz w:val="20"/>
          <w:u w:val="none"/>
          <w:vertAlign w:val="baseline"/>
        </w:rPr>
        <w:t> [*96511] </w:t>
      </w:r>
      <w:r>
        <w:rPr>
          <w:rFonts w:ascii="arial" w:eastAsia="arial" w:hAnsi="arial" w:cs="arial"/>
          <w:b w:val="0"/>
          <w:i w:val="0"/>
          <w:strike w:val="0"/>
          <w:noProof w:val="0"/>
          <w:color w:val="000000"/>
          <w:position w:val="0"/>
          <w:sz w:val="20"/>
          <w:u w:val="none"/>
          <w:vertAlign w:val="baseline"/>
        </w:rPr>
        <w:t xml:space="preserve"> Markets, the imposition of a SSNIP would not cause these advertisers to switch some of their advertising to other media, other outdoor advertising forms, or to billboards located outside each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above reasons, for purposes of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transaction, the relevant product market is outdoor advertising on billboards and the relevant geographic markets are no larger than each of the Metropolitan Markets, and may consist of considerably smaller areas within each of those Metropolitan Markets where the parties own and operate billboards in close proximity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Each of the Metropolitan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outdoor advertising on billboards in each of the Metropolitan Markets and in certain smaller areas within each of the Metropolitan Markets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in the sale of outdoor advertising on billboards in each of the Metropolitan Markets and in certain areas within each of the Metropolitan Markets would be substantially lessened;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outdoor advertising on billboards in each of the Metropolitan Markets and in certain areas within each of the Metropolitan Markets would likely increase, and the quality of services would likely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in each of the Metropolitan Markets and in certain areas within each of the Metropolitan Markets, the market for outdoor advertising on billboards is highly concentrated and the proposed transaction would substantially increase that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Herfindahl-Hirschman Index ("HHI"), a standard measure of market concentration, the proposed transaction between Clear Channel and Fairway would result in HHIs in excess of 2,500 in each of the Metropolitan Markets and in certain areas within each Metropolitan Market. These post-transaction HHIs reflect increases of more than 200 points in each Metropolitan Market and in certain areas within each Metropolitan Market. As a result, the proposed transaction in those Metropolitan Markets is presumed likely to enhance market power under the Horizontal Merger Guidelines issued by the Department of Justice and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in addition to increasing concentration, the proposed transaction will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 Channel and Fairway by bringing under the control of one firm billboards that are close substitutes, based on their geographic locations, in areas with limited alternatives. In some of the areas within each of the Metropolitan Markets, there are no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billboards that would be attractive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to Clear Channel's and Fairway's billboards. In other areas within each of the Metropolitan Markets, there are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present, but the number of billboards or their quality is insufficient to preclude the exercise of market power by Clear Channel or Fairway post-transaction. Because a significant number of advertisers would likely be unable to reach their desired audiences as effectively unless they advertise on billboards that Clear Channel or Fairway would control after the proposed transaction, those advertisers' bargaining positions would be weaker, and the advertising rates they pay would likely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entry or expansion in outdoor advertising on billboards in each of the Metropolitan Markets would not be timely, likely, or sufficient to prevent any anticompetitive effects. In each of the Metropolitan Markets, there are significant barriers to entry including those due to governmental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new billboard construction. Therefore, it is unlikely that any new entry or repositioning from existing firms would be sufficient or timely to defeat Clear Channel or Fairway from profitably imposing a SSNIP on their billboards in the Metropolitan Markets and certain areas within the Metropolitan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likely anticompetitive effects of the transaction in each of the Metropolitan Markets by maintaining the Divestiture Assets as independent, economically viable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 proposed Final Judgment requires Clear Channel and Fairway to divest the Divestiture Assets to the following Acquirers: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Divestiture Assets located in the Indianapolis Metropolitan Market to Circle City Outdoor, LLC;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Divestiture Assets located in the Atlanta Metropolitan Market to Link Media Georgia,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approved each of these Acquirers as suitable divestiture buyers. The United States required Clear Channel and Fairway to identify each Acquirer of a Divestiture Asset in order to provide greater certainty and efficiency in the divestiture process. If, for any reason, Defendants are unable to complete the divestitures to either of these Acquirers, Defendants must divest the remaining Divestiture Assets to one or more alternative Acquirers approved by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are defined in Paragraph II.F of the proposed Final Judgment to include all assets set forth in Schedules A and B to the proposed Final Judgment, tangible or intangible, relating to each outdoor advertising display face, including all real property (owned or leased), all licenses, permits and authorizations issued by any governmental organization relating to the operation of the asset, and all contracts, agreements, leases, licenses, commitments and understandings pertaining to the sale of outdoor advertising on each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Divestiture Assets are operated independently from Clear Channel and Fairway after the divestitures, Section XII of the proposed Final Judgment prohibits Defendants from reacquiring any part of the Divestiture Assets during the term of the Final Judgment and Section VII prohibits Defendants from financing all or any part of the Acquirers' purchase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are required to take all steps reasonably necessary to accomplish the divestitures quickly and to cooperate with prospective purchasers. Pursuant to Paragraph IV.A of the proposed Final Judgment, divestiture of each of the Divestiture Assets must occur within ten calendar days after the Court's signing of the Asset Preservation Order or consummation of the Transaction, whichever is later. The United States, in its sole discretion, may agree to one or more extensions of this time period not to exceed 60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Defendants do not accomplish all of the divestitures within the periods prescribed in the proposed Final Judgment, Section V of the proposed Final Judgment provides that the Court, upon application of the United States, will appoint a trustee selected by the United States to effect any remaining divestitures. If a trustee </w:t>
      </w:r>
      <w:r>
        <w:rPr>
          <w:rFonts w:ascii="arial" w:eastAsia="arial" w:hAnsi="arial" w:cs="arial"/>
          <w:b/>
          <w:i w:val="0"/>
          <w:strike w:val="0"/>
          <w:noProof w:val="0"/>
          <w:color w:val="000000"/>
          <w:position w:val="0"/>
          <w:sz w:val="20"/>
          <w:u w:val="none"/>
          <w:vertAlign w:val="baseline"/>
        </w:rPr>
        <w:t> [*96512] </w:t>
      </w:r>
      <w:r>
        <w:rPr>
          <w:rFonts w:ascii="arial" w:eastAsia="arial" w:hAnsi="arial" w:cs="arial"/>
          <w:b w:val="0"/>
          <w:i w:val="0"/>
          <w:strike w:val="0"/>
          <w:noProof w:val="0"/>
          <w:color w:val="000000"/>
          <w:position w:val="0"/>
          <w:sz w:val="20"/>
          <w:u w:val="none"/>
          <w:vertAlign w:val="baseline"/>
        </w:rPr>
        <w:t xml:space="preserve"> is appointed, the proposed Final Judgment provides that Clear Channel and Fairway will pay all costs and expenses of the trustee. The trustee's commission will be structured to provide an incentive for the trustee based on the price obtained and the speed with which the divestitures are accomplished. After his or her appointment becomes effective, the trustee will file monthly reports with the Court and the United States describing his or her efforts to accomplish the divestiture of any remaining stations. If the divestiture has not been accomplished after 6 months, the trustee and the United States will make recommendations to the Court, which shall enter such orders as appropriate, to carry out the purpose of the trust, including extending the trust or the term of the trustee's appointment.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 of the proposed Final Judgment requires Defendants to provide advance notification of certain future proposed acquisitions not otherwise subject to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Specifically, Fairway must provide at least thirty days advance written notice to the United States before it acquires, directly or indirectly, any interest in any outdoor advertising asset in the form of a billboard or any outdoor advertising business that owns billboards in the metropolitan statistical areas associated with Rochester, Minnesota and Indianapolis; and Clear Channel must provide at least thirty days advance written notice to the United States before it (a) acquires any assets located in the Atlanta metropolitan statistical area that were included in, but later removed from, the original transaction agreement between Clear Channel and Fairway; and (b) directly or indirectly acquires any outdoor advertising assets in the form of billboards or any interest, including any financial, security, loan, equity or management interest, in any outdoor advertising business that owns billboards in the Atlanta metropolitan statistical area where the assets or interests acquired have annual revenues for the last twelve months in excess of $ 5 million. Section XI then provides for waiting periods and opportunities for the United States to obtain additional information similar to the provisions of the HSR Act before acquisitions in these geographic areas may be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geographic areas that Section XI applies to include one metropolitan area not subject to divestitures: Rochester, Minnesota. Although, as discussed above, Rochester billboard assets were ultimately excluded from the Defendants' asset swap transaction, given the highly concentrated market for outdoor advertising on billboards in Rochester and the fact that the Rochester billboard assets originally were part of the transaction, the United States sought to ensure that it would have the opportunity to review future acquisitions in that area so that it can seek effective relief, if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the Court's entry of judgment. The comments and the response of the United States, if any, will be filed with the Court. In addition, comments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M. Kendler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Chief, Litigation III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 Suite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Defendants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the transaction between Clear Channel and Fairway.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outdoor advertising on billboards in each of the Metropolitan Markets and the affected smaller areas within each Metropolitan Market.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w:t>
      </w:r>
      <w:r>
        <w:rPr>
          <w:rFonts w:ascii="arial" w:eastAsia="arial" w:hAnsi="arial" w:cs="arial"/>
          <w:b/>
          <w:i w:val="0"/>
          <w:strike w:val="0"/>
          <w:noProof w:val="0"/>
          <w:color w:val="000000"/>
          <w:position w:val="0"/>
          <w:sz w:val="20"/>
          <w:u w:val="none"/>
          <w:vertAlign w:val="baseline"/>
        </w:rPr>
        <w:t> [*96513] </w:t>
      </w:r>
      <w:r>
        <w:rPr>
          <w:rFonts w:ascii="arial" w:eastAsia="arial" w:hAnsi="arial" w:cs="arial"/>
          <w:b w:val="0"/>
          <w:i w:val="0"/>
          <w:strike w:val="0"/>
          <w:noProof w:val="0"/>
          <w:color w:val="000000"/>
          <w:position w:val="0"/>
          <w:sz w:val="20"/>
          <w:u w:val="none"/>
          <w:vertAlign w:val="baseline"/>
        </w:rPr>
        <w:t xml:space="preserve">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w:t>
      </w:r>
      <w:r>
        <w:rPr>
          <w:rFonts w:ascii="arial" w:eastAsia="arial" w:hAnsi="arial" w:cs="arial"/>
          <w:b/>
          <w:i w:val="0"/>
          <w:strike w:val="0"/>
          <w:noProof w:val="0"/>
          <w:color w:val="000000"/>
          <w:position w:val="0"/>
          <w:sz w:val="20"/>
          <w:u w:val="none"/>
          <w:vertAlign w:val="baseline"/>
        </w:rPr>
        <w:t> [*96514] </w:t>
      </w:r>
      <w:r>
        <w:rPr>
          <w:rFonts w:ascii="arial" w:eastAsia="arial" w:hAnsi="arial" w:cs="arial"/>
          <w:b w:val="0"/>
          <w:i w:val="0"/>
          <w:strike w:val="0"/>
          <w:noProof w:val="0"/>
          <w:color w:val="000000"/>
          <w:position w:val="0"/>
          <w:sz w:val="20"/>
          <w:u w:val="none"/>
          <w:vertAlign w:val="baseline"/>
        </w:rPr>
        <w:t xml:space="preserve">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 (D.C. Bar #451743),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III Section, 450 Fifth Street NW., Suite 4000, Washington, D.C. 20530, Phone: 202-616-1398, Facsimile: 202-514-7308, E-mail: </w:t>
      </w:r>
      <w:hyperlink r:id="rId16" w:history="1">
        <w:r>
          <w:rPr>
            <w:rFonts w:ascii="arial" w:eastAsia="arial" w:hAnsi="arial" w:cs="arial"/>
            <w:b w:val="0"/>
            <w:i/>
            <w:strike w:val="0"/>
            <w:noProof w:val="0"/>
            <w:color w:val="0077CC"/>
            <w:position w:val="0"/>
            <w:sz w:val="20"/>
            <w:u w:val="single"/>
            <w:vertAlign w:val="baseline"/>
          </w:rPr>
          <w:t>Mark.Merva@usdoj.gov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Mark A. Merva,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do hereby certify that true copies of the Complaint,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Asset Preservation Stipulation and Order, Proposed Final Judgment, and Plaintiff's Explanation of Consent Decree Procedures were served this 22 day of December, 2016, by email, to the following: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Defendant Clear Channel Outdoor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DeRita (D.C. Bar No. 1032126),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 Boney (D.C. Bar No. 990336),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Kirkland &amp; Ellis LLP, 655 Fifteenth Street NW., Washington, D.C. 20005, Phone: 202-879-5122, </w:t>
      </w:r>
      <w:hyperlink r:id="rId31" w:history="1">
        <w:r>
          <w:rPr>
            <w:rFonts w:ascii="arial" w:eastAsia="arial" w:hAnsi="arial" w:cs="arial"/>
            <w:b w:val="0"/>
            <w:i/>
            <w:strike w:val="0"/>
            <w:noProof w:val="0"/>
            <w:color w:val="0077CC"/>
            <w:position w:val="0"/>
            <w:sz w:val="20"/>
            <w:u w:val="single"/>
            <w:vertAlign w:val="baseline"/>
          </w:rPr>
          <w:t>Michael.derita@kirkland.com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G. John,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Kirkland &amp; Ellis LLP, 601 Lexington Avenue, New York, NY 10022-4611, Phone: 212-446-4665, </w:t>
      </w:r>
      <w:hyperlink r:id="rId32" w:history="1">
        <w:r>
          <w:rPr>
            <w:rFonts w:ascii="arial" w:eastAsia="arial" w:hAnsi="arial" w:cs="arial"/>
            <w:b w:val="0"/>
            <w:i/>
            <w:strike w:val="0"/>
            <w:noProof w:val="0"/>
            <w:color w:val="0077CC"/>
            <w:position w:val="0"/>
            <w:sz w:val="20"/>
            <w:u w:val="single"/>
            <w:vertAlign w:val="baseline"/>
          </w:rPr>
          <w:t>Ian.john@kirkland.com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Defendant Fairway Media Group,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D. Cruise (D.C. Bar No. 497565),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Farrell J. Malone (D.C. Bar No. 983746),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Latham &amp; Watkins LLP, 555 Eleventh Street NW., Suite 1000, Washington, DC 20004, Phone: 202-637-2200, </w:t>
      </w:r>
      <w:hyperlink r:id="rId33" w:history="1">
        <w:r>
          <w:rPr>
            <w:rFonts w:ascii="arial" w:eastAsia="arial" w:hAnsi="arial" w:cs="arial"/>
            <w:b w:val="0"/>
            <w:i/>
            <w:strike w:val="0"/>
            <w:noProof w:val="0"/>
            <w:color w:val="0077CC"/>
            <w:position w:val="0"/>
            <w:sz w:val="20"/>
            <w:u w:val="single"/>
            <w:vertAlign w:val="baseline"/>
          </w:rPr>
          <w:t>jason.cruise@lw.com</w:t>
        </w:r>
      </w:hyperlink>
      <w:r>
        <w:rPr>
          <w:rFonts w:ascii="arial" w:eastAsia="arial" w:hAnsi="arial" w:cs="arial"/>
          <w:b w:val="0"/>
          <w:i/>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farrell.malone@lw.com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N. Holian,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Latham &amp; Watkins LLP, 505 Montgomery Street, Suite 2000, San Francisco, CA 94111, Phone: 415-646-8343, </w:t>
      </w:r>
      <w:hyperlink r:id="rId35" w:history="1">
        <w:r>
          <w:rPr>
            <w:rFonts w:ascii="arial" w:eastAsia="arial" w:hAnsi="arial" w:cs="arial"/>
            <w:b w:val="0"/>
            <w:i/>
            <w:strike w:val="0"/>
            <w:noProof w:val="0"/>
            <w:color w:val="0077CC"/>
            <w:position w:val="0"/>
            <w:sz w:val="20"/>
            <w:u w:val="single"/>
            <w:vertAlign w:val="baseline"/>
          </w:rPr>
          <w:t>joshua.holian@lw.com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/s/_Mark A. Merva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Clear Channel Outdoor Holdings, Inc., and Fairway Media Group, LLC, 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12/22/2016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the United States of America, filed its Complaint on December 22, 2016, and Defendant Clear Channel Outdoor Holdings, Inc. ("Clear Channel") and Defendant Fairway Media Group, LLC ("Fairway"),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 Channel" means Defendant Clear Channel Outdoor Holdings, Inc., a Delaware corporation headquartered in San Antonio, Texas,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"Fairway" means Defendant Fairway Media Group, LLC, a Delaware limited liability company headquartered in Duncan, South Carolina,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"Circle City" means Circle City Outdoor, LLC, a Washington limited liability company headquartered in Spokane, Washington,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"Link Media" means Link Media Georgia, LLC, a Georgia limited liability company headquartered in Wichita, Kansas, its successor and assigns, parents, subsidiaries, divisions, groups, affiliates, partnerships, and joint ventures, including Link Media Holdings, LLC and Boston Omaha Corporation,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"Acquirer" means Circle City, Link Media, or another entity or entities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"Atlanta Divestiture Assets" means all of Defendants' interests in the assets set forth in Schedule A, including all assets, tangible or intangible, relating to each outdoor advertising display face, including all real property (owned or leased), all licenses, permits and authorizations issued by any governmental organization relating to the operation of the assets, and all contracts, agreements, leases, licenses, commitments and understandings pertaining to the sale of outdoor advertising on the assets. </w:t>
      </w:r>
      <w:r>
        <w:rPr>
          <w:rFonts w:ascii="arial" w:eastAsia="arial" w:hAnsi="arial" w:cs="arial"/>
          <w:b/>
          <w:i w:val="0"/>
          <w:strike w:val="0"/>
          <w:noProof w:val="0"/>
          <w:color w:val="000000"/>
          <w:position w:val="0"/>
          <w:sz w:val="20"/>
          <w:u w:val="none"/>
          <w:vertAlign w:val="baseline"/>
        </w:rPr>
        <w:t> [*96515]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"Indianapolis Divestiture Assets" means all of Defendants' interests in the assets set forth in Schedule B, including all assets, tangible or intangible, relating to each outdoor advertising display face, including all real property (owned or leased), all licenses, permits and authorizations issued by any governmental organization relating to the operation of the assets, and all contracts, agreements, leases, licenses, commitments and understandings pertaining to the sale of outdoor advertising on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"Divestiture Assets" means the Indianapolis Divestiture Assets and the Atlanta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"Transaction" means the Asset Purchase and Exchange Agreement, dated March 3, 2016, between Clear Channel and Fairway.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Clear Channel and Fairway,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ten (10) calendar days after (i) the Court's signing of the Asset Preservation Stipulation and Order in this matter or (ii) consummation of the Transaction, whichever is later, to divest in a manner consistent with this Final Judgment the Indianapolis Divestiture Assets to Circle City and the Atlanta Divestiture Assets to Link Media or another Acquirer(s)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Indianapolis Divestiture Assets and the Atlanta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that Defendants are attempting to divest the Indianapolis Divestiture Assets to an Acquirer other than Circle City, or the Atlanta Divestiture Assets to an Acquirer other than Link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Defendants promptly shall make known, by usual and customary means, the availability of the Divestiture Assets to be divested;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Defendants shall inform any person making an inquiry regarding a possible purchase of the relevant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offer to furnish to all prospective Acquirers, subject to customary confidentiality assurances, all information and documents relating to the relevant Divestiture Assets customarily provided in a due diligence process except such information or documents subject to the attorney-client privilege or work-product doctrine; and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Divestiture Assets to have reasonable access to make inspections of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the Acquirers that each Divestiture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warrant to the Acquirer(s) that there are no material defects in the environmental, zoning, or other permits pertaining to the operation of each Divestiture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Unless the United States otherwise consents in writing, the divestitures pursuant to Section IV, or by a Divestiture Trustee appointed pursuant to Section V of this Final Judgment, shall include the entire Divestiture Assets and be accomplished in such a way as to satisfy the United States, in its sole discretion, that the Divestiture Assets can and will be used by the Acquirers as part of a viable, ongoing outdoor advertising business. Divestiture of the Divestiture Assets may be made to one or more Acquirers, provided that in each instance it is demonstrated to the sole satisfaction of the United States that the Divestiture Assets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Acquirers that, in the United States' sole judgment, have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outdoor advertising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the Acquirers and Defendants gives Defendants the ability unreasonably to raise the costs of the Acquirers, to lower the efficiency of the Acquirers, or otherwise to interfere in the ability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specifically identifying the Divestiture Assets that have not been divested. Upon application of the United States, the Court shall appoint a Divestiture Trustee selected by the United States and approved by the Court to effect the divestiture of the Divestiture Assets that have not yet been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After the appointment of a Divestiture Trustee becomes effective, only the Divestiture Trustee shall have the right to sell the relevant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w:t>
      </w:r>
      <w:r>
        <w:rPr>
          <w:rFonts w:ascii="arial" w:eastAsia="arial" w:hAnsi="arial" w:cs="arial"/>
          <w:b/>
          <w:i w:val="0"/>
          <w:strike w:val="0"/>
          <w:noProof w:val="0"/>
          <w:color w:val="000000"/>
          <w:position w:val="0"/>
          <w:sz w:val="20"/>
          <w:u w:val="none"/>
          <w:vertAlign w:val="baseline"/>
        </w:rPr>
        <w:t> [*96516] </w:t>
      </w:r>
      <w:r>
        <w:rPr>
          <w:rFonts w:ascii="arial" w:eastAsia="arial" w:hAnsi="arial" w:cs="arial"/>
          <w:b w:val="0"/>
          <w:i w:val="0"/>
          <w:strike w:val="0"/>
          <w:noProof w:val="0"/>
          <w:color w:val="000000"/>
          <w:position w:val="0"/>
          <w:sz w:val="20"/>
          <w:u w:val="none"/>
          <w:vertAlign w:val="baseline"/>
        </w:rPr>
        <w:t xml:space="preserve">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relevant Divestiture Assets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subject to sale by the Divestiture Trustee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relevant divestitures ordered under this Final Judgment. To the extent such reports contain information that the Divestiture Trustee deems confidential, such report shall not be filed in the public docket of the Court. Such report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relevant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divestitures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divestitures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Acquirers.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shall not finance all or any part of any purchase made pursuant </w:t>
      </w:r>
      <w:r>
        <w:rPr>
          <w:rFonts w:ascii="arial" w:eastAsia="arial" w:hAnsi="arial" w:cs="arial"/>
          <w:b/>
          <w:i w:val="0"/>
          <w:strike w:val="0"/>
          <w:noProof w:val="0"/>
          <w:color w:val="000000"/>
          <w:position w:val="0"/>
          <w:sz w:val="20"/>
          <w:u w:val="none"/>
          <w:vertAlign w:val="baseline"/>
        </w:rPr>
        <w:t> [*96517] </w:t>
      </w:r>
      <w:r>
        <w:rPr>
          <w:rFonts w:ascii="arial" w:eastAsia="arial" w:hAnsi="arial" w:cs="arial"/>
          <w:b w:val="0"/>
          <w:i w:val="0"/>
          <w:strike w:val="0"/>
          <w:noProof w:val="0"/>
          <w:color w:val="000000"/>
          <w:position w:val="0"/>
          <w:sz w:val="20"/>
          <w:u w:val="none"/>
          <w:vertAlign w:val="baseline"/>
        </w:rPr>
        <w:t xml:space="preserve">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ASSET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required by this Final Judgment have been accomplished, Defendants shall take all steps necessary to comply with the Asset Preservation Stipulation and Order entered by this Court. Defendants shall take no action that would jeopardize the divestitures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of this Final Judgment, Defendants shall deliver to the United States an affidavit as to the fact and manner of their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limitations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Asset Preservation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copies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(1) Fairway, without providing advance notification to DOJ, shall not directly or indirectly acquire any outdoor advertising assets in the form of billboards or any interest, including any financial, security, loan, equity or management interest, in any outdoor advertising business that owns billboards in the metropolitan statistical areas associated with Rochester, Minnesota and Indianapolis, Indiana; and (2) Clear Channel, without providing advance notification to DOJ, shall not (a) acquire any outdoor advertising assets located in the Atlanta metropolitan statistical area that were originally included in, but later removed from, the Transaction; and (b) directly or indirectly acquire any outdoor advertising assets in the form of billboards or any interest, including any financial, security, loan, equity or management interest, in any outdoor advertising business that owns billboards in the metropolitan statistical area associated with Atlanta, Georgia where the assets or interests to be acquired have annual revenues for the last twelve months in excess of $ 5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Such notification shall be provided to the DOJ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5 through 8 of the instructions must be provided only about outdoor advertising. Notification shall be provided at least thirty (30) calendar days prior to acquiring any such interest, and shall include, beyond what may be required by the applicable instructions, the names of the principal representatives of the parties to the agreement who negotiated the agreement, and any management or strategic plans discussing the proposed transaction. If within the 30-day period after notification,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 a written request for additional information, Defendants shall not consummate the </w:t>
      </w:r>
      <w:r>
        <w:rPr>
          <w:rFonts w:ascii="arial" w:eastAsia="arial" w:hAnsi="arial" w:cs="arial"/>
          <w:b/>
          <w:i w:val="0"/>
          <w:strike w:val="0"/>
          <w:noProof w:val="0"/>
          <w:color w:val="000000"/>
          <w:position w:val="0"/>
          <w:sz w:val="20"/>
          <w:u w:val="none"/>
          <w:vertAlign w:val="baseline"/>
        </w:rPr>
        <w:t> [*96518] </w:t>
      </w:r>
      <w:r>
        <w:rPr>
          <w:rFonts w:ascii="arial" w:eastAsia="arial" w:hAnsi="arial" w:cs="arial"/>
          <w:b w:val="0"/>
          <w:i w:val="0"/>
          <w:strike w:val="0"/>
          <w:noProof w:val="0"/>
          <w:color w:val="000000"/>
          <w:position w:val="0"/>
          <w:sz w:val="20"/>
          <w:u w:val="none"/>
          <w:vertAlign w:val="baseline"/>
        </w:rPr>
        <w:t xml:space="preserve"> proposed transaction or agreement until thirty (30) calendar days after submitting all such additional information. Early termination of the waiting periods in this paragraph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Metropolitan area</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Structure 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FWY184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CCO000059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CCO000179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CCO000935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FWY5115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CCO000335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CCO000612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CCO000266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CCO000395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CCO000049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CCO000277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CCO000091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CCO000278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CCO001993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CCO001276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CCO001274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CCO000860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CCO000861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CCO000175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CCO001763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CCO001417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CCO001501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CCO000009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CCO000904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CCO000905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FWY194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FWY271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CCO000367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CCO001132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 B</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Metropolitan area</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Structure 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IN2008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IN2009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IN2036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IN2088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IN2089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IN2165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CCO000915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CCO000665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CCO000668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CCO000687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CCO000318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CCO000322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2016-31653 Filed 12-29-16;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96507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Mark.Merva@usdoj.gov" TargetMode="External" /><Relationship Id="rId17" Type="http://schemas.openxmlformats.org/officeDocument/2006/relationships/hyperlink" Target="https://advance.lexis.com/api/document?collection=statutes-legislation&amp;id=urn:contentItem:4YF7-GNJ1-NRF4-451X-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hyperlink" Target="mailto:Michael.derita@kirkland.com" TargetMode="External" /><Relationship Id="rId32" Type="http://schemas.openxmlformats.org/officeDocument/2006/relationships/hyperlink" Target="mailto:Ian.john@kirkland.com" TargetMode="External" /><Relationship Id="rId33" Type="http://schemas.openxmlformats.org/officeDocument/2006/relationships/hyperlink" Target="mailto:jason.cruise@lw.com" TargetMode="External" /><Relationship Id="rId34" Type="http://schemas.openxmlformats.org/officeDocument/2006/relationships/hyperlink" Target="mailto:farrell.malone@lw.com" TargetMode="External" /><Relationship Id="rId35" Type="http://schemas.openxmlformats.org/officeDocument/2006/relationships/hyperlink" Target="mailto:joshua.holian@lw.com"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HC-2WT0-006W-81MR-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73212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