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9822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038, Friday, February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9822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Alaska Native and Native Hawaiian-Serving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Alaska Native and Native Hawaiian-Serving Institutions (ANNH)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Numbers:</w:t>
      </w:r>
      <w:r>
        <w:rPr>
          <w:rFonts w:ascii="arial" w:eastAsia="arial" w:hAnsi="arial" w:cs="arial"/>
          <w:b w:val="0"/>
          <w:i w:val="0"/>
          <w:strike w:val="0"/>
          <w:noProof w:val="0"/>
          <w:color w:val="000000"/>
          <w:position w:val="0"/>
          <w:sz w:val="20"/>
          <w:u w:val="none"/>
          <w:vertAlign w:val="baseline"/>
        </w:rPr>
        <w:t xml:space="preserve"> 84.031R and 84.031V.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ANNH Program provides grants to eligible institutions of higher education (IHEs) that have an undergraduate enrollment of at least 20 percent Alaska Native or 10 percent Native Hawaiian students to allow such institutions to plan, develop, undertake, and carry out activities to improve and expand their capacity to serve Alaska Native and Native Hawaiians. Examples of authorized activities for the ANNH Program are in section 317(c) of the Higher Education Act of 1965, as amended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In accordance with </w:t>
      </w:r>
      <w:hyperlink r:id="rId9"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Projects that are designed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Learning environments;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Disconnected youth or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Low-skilled adults.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Applicants may address only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must clearly indicate in their application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they are addressing. Applicants that apply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but whose applications do not meet the moderate evidence of effectiveness standard, may still be considered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to determine whether their applications meet the evidence of promise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relevance of the research cited to the proposed project, the Secretary will consider, among other factors, the portion of the requested funds that will be dedicated to the evidence-based strategies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(One additional point) Applications supported by evidence of effectiveness that meets the conditions set out in the definition of "evidence of promise."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(Three additional points) Applications supported by evidence of effectiveness that meets the conditions set out in the definition of "moderate evidence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9"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activities that strengthen Native language preservation and revitalization.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not enrolled in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w:t>
      </w:r>
      <w:r>
        <w:rPr>
          <w:rFonts w:ascii="arial" w:eastAsia="arial" w:hAnsi="arial" w:cs="arial"/>
          <w:b/>
          <w:i w:val="0"/>
          <w:strike w:val="0"/>
          <w:noProof w:val="0"/>
          <w:color w:val="000000"/>
          <w:position w:val="0"/>
          <w:sz w:val="20"/>
          <w:u w:val="none"/>
          <w:vertAlign w:val="baseline"/>
        </w:rPr>
        <w:t> [*9823] </w:t>
      </w:r>
      <w:r>
        <w:rPr>
          <w:rFonts w:ascii="arial" w:eastAsia="arial" w:hAnsi="arial" w:cs="arial"/>
          <w:b w:val="0"/>
          <w:i w:val="0"/>
          <w:strike w:val="0"/>
          <w:noProof w:val="0"/>
          <w:color w:val="000000"/>
          <w:position w:val="0"/>
          <w:sz w:val="20"/>
          <w:u w:val="none"/>
          <w:vertAlign w:val="baseline"/>
        </w:rPr>
        <w:t xml:space="preserve"> Act of 1965, as amended.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Low-skilled adult</w:t>
      </w:r>
      <w:r>
        <w:rPr>
          <w:rFonts w:ascii="arial" w:eastAsia="arial" w:hAnsi="arial" w:cs="arial"/>
          <w:b w:val="0"/>
          <w:i w:val="0"/>
          <w:strike w:val="0"/>
          <w:noProof w:val="0"/>
          <w:color w:val="000000"/>
          <w:position w:val="0"/>
          <w:sz w:val="20"/>
          <w:u w:val="none"/>
          <w:vertAlign w:val="baseline"/>
        </w:rPr>
        <w:t xml:space="preserve"> means an adult with low literacy and numeracy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50 States, the Commonwealth of Puerto Rico, the District of Columbia, Guam, American Samoa, the Virgin Islands, the Northern Mariana Islands, or the Trust Territory of the Pacific Islands.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2"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1059d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$ 3,588,546.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$ 500,000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any application that proposes a budget exceeding $ 500,000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An IHE is eligible to receive funds under the ANNH Program if it qualifies as an Alaska Native or Native Hawaiian-Serving Institution. At the time of application, an Alaska Native-Serving Institution must have an enrollment of undergraduate students that is at least 20 percent Alaska Native (</w:t>
      </w:r>
      <w:hyperlink r:id="rId14" w:history="1">
        <w:r>
          <w:rPr>
            <w:rFonts w:ascii="arial" w:eastAsia="arial" w:hAnsi="arial" w:cs="arial"/>
            <w:b w:val="0"/>
            <w:i/>
            <w:strike w:val="0"/>
            <w:noProof w:val="0"/>
            <w:color w:val="0077CC"/>
            <w:position w:val="0"/>
            <w:sz w:val="20"/>
            <w:u w:val="single"/>
            <w:vertAlign w:val="baseline"/>
          </w:rPr>
          <w:t>34 CFR 607.2(e)</w:t>
        </w:r>
      </w:hyperlink>
      <w:r>
        <w:rPr>
          <w:rFonts w:ascii="arial" w:eastAsia="arial" w:hAnsi="arial" w:cs="arial"/>
          <w:b w:val="0"/>
          <w:i w:val="0"/>
          <w:strike w:val="0"/>
          <w:noProof w:val="0"/>
          <w:color w:val="000000"/>
          <w:position w:val="0"/>
          <w:sz w:val="20"/>
          <w:u w:val="none"/>
          <w:vertAlign w:val="baseline"/>
        </w:rPr>
        <w:t>); and a Native Hawaiian-Serving Institution must have an enrollment of undergraduate students that is at least 10 percent Native Hawaiian (</w:t>
      </w:r>
      <w:hyperlink r:id="rId14" w:history="1">
        <w:r>
          <w:rPr>
            <w:rFonts w:ascii="arial" w:eastAsia="arial" w:hAnsi="arial" w:cs="arial"/>
            <w:b w:val="0"/>
            <w:i/>
            <w:strike w:val="0"/>
            <w:noProof w:val="0"/>
            <w:color w:val="0077CC"/>
            <w:position w:val="0"/>
            <w:sz w:val="20"/>
            <w:u w:val="single"/>
            <w:vertAlign w:val="baseline"/>
          </w:rPr>
          <w:t>34 CFR 607.2(f)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submission of their applications, applicants must certify their total undergraduate headcount enrollment and that either 20 percent of the IHE's enrollment is Alaska Native or 10 percent is Native Hawaiian. An assurance form, which is included in the application materials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must be signed by an official for the applicant and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institution under the ANNH Program, an institution must also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Accredited or preaccredited by a nationally recognized accrediting </w:t>
      </w:r>
      <w:r>
        <w:rPr>
          <w:rFonts w:ascii="arial" w:eastAsia="arial" w:hAnsi="arial" w:cs="arial"/>
          <w:b/>
          <w:i w:val="0"/>
          <w:strike w:val="0"/>
          <w:noProof w:val="0"/>
          <w:color w:val="000000"/>
          <w:position w:val="0"/>
          <w:sz w:val="20"/>
          <w:u w:val="none"/>
          <w:vertAlign w:val="baseline"/>
        </w:rPr>
        <w:t> [*9824] </w:t>
      </w:r>
      <w:r>
        <w:rPr>
          <w:rFonts w:ascii="arial" w:eastAsia="arial" w:hAnsi="arial" w:cs="arial"/>
          <w:b w:val="0"/>
          <w:i w:val="0"/>
          <w:strike w:val="0"/>
          <w:noProof w:val="0"/>
          <w:color w:val="000000"/>
          <w:position w:val="0"/>
          <w:sz w:val="20"/>
          <w:u w:val="none"/>
          <w:vertAlign w:val="baseline"/>
        </w:rPr>
        <w:t xml:space="preserve">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Legally authorized by the State in which it is located to be a junior college or to provide an educational program for which it awards a bachelor's degree;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Designated as an "eligible institution" by demonstrating that it: (1) Has an enrollment of needy students as described in </w:t>
      </w:r>
      <w:hyperlink r:id="rId15" w:history="1">
        <w:r>
          <w:rPr>
            <w:rFonts w:ascii="arial" w:eastAsia="arial" w:hAnsi="arial" w:cs="arial"/>
            <w:b w:val="0"/>
            <w:i/>
            <w:strike w:val="0"/>
            <w:noProof w:val="0"/>
            <w:color w:val="0077CC"/>
            <w:position w:val="0"/>
            <w:sz w:val="20"/>
            <w:u w:val="single"/>
            <w:vertAlign w:val="baseline"/>
          </w:rPr>
          <w:t>34 CFR 607.3</w:t>
        </w:r>
      </w:hyperlink>
      <w:r>
        <w:rPr>
          <w:rFonts w:ascii="arial" w:eastAsia="arial" w:hAnsi="arial" w:cs="arial"/>
          <w:b w:val="0"/>
          <w:i w:val="0"/>
          <w:strike w:val="0"/>
          <w:noProof w:val="0"/>
          <w:color w:val="000000"/>
          <w:position w:val="0"/>
          <w:sz w:val="20"/>
          <w:u w:val="none"/>
          <w:vertAlign w:val="baseline"/>
        </w:rPr>
        <w:t xml:space="preserve">; and (2) has low average educational and general expenditures per full-time equivalent (FTE) undergraduate student, as described in </w:t>
      </w:r>
      <w:hyperlink r:id="rId16" w:history="1">
        <w:r>
          <w:rPr>
            <w:rFonts w:ascii="arial" w:eastAsia="arial" w:hAnsi="arial" w:cs="arial"/>
            <w:b w:val="0"/>
            <w:i/>
            <w:strike w:val="0"/>
            <w:noProof w:val="0"/>
            <w:color w:val="0077CC"/>
            <w:position w:val="0"/>
            <w:sz w:val="20"/>
            <w:u w:val="single"/>
            <w:vertAlign w:val="baseline"/>
          </w:rPr>
          <w:t>34 CFR 607.4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announcing the FY 2016 process for designation of eligible institutions, and inviting applications for waiver of eligibility requirements,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2015 </w:t>
      </w:r>
      <w:r>
        <w:rPr>
          <w:rFonts w:ascii="arial" w:eastAsia="arial" w:hAnsi="arial" w:cs="arial"/>
          <w:b w:val="0"/>
          <w:i/>
          <w:strike w:val="0"/>
          <w:noProof w:val="0"/>
          <w:color w:val="000000"/>
          <w:position w:val="0"/>
          <w:sz w:val="20"/>
          <w:u w:val="none"/>
          <w:vertAlign w:val="baseline"/>
        </w:rPr>
        <w:t>(80 FR 72422).</w:t>
      </w:r>
      <w:r>
        <w:rPr>
          <w:rFonts w:ascii="arial" w:eastAsia="arial" w:hAnsi="arial" w:cs="arial"/>
          <w:b w:val="0"/>
          <w:i w:val="0"/>
          <w:strike w:val="0"/>
          <w:noProof w:val="0"/>
          <w:color w:val="000000"/>
          <w:position w:val="0"/>
          <w:sz w:val="20"/>
          <w:u w:val="none"/>
          <w:vertAlign w:val="baseline"/>
        </w:rPr>
        <w:t xml:space="preserve"> Only institutions that the Department determines are eligible, or are granted a waiver, may apply for a grant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Robyn Wood or Don Crews, Office of Postsecondary Education, U.S. Department of Education, 400 Maryland Avenue SW., Room 7E311, Washington, DC 20202. You may contact these individuals at the following email addresses or telephone numbers: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Robyn.Wood@ed.gov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502-7437</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an application via the Internet using the following address: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one of the program contact people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the absolute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invitational priority that reviewers use to evaluate your application. We have established mandatory page limits. 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to no more than 50 pages.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absolute priority to no more than three pages.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no more than three pages, if you address one.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invitational priority to no more than two pages, if you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58 pages. Include a separate heading for each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and captions and all text in charts, tables, figures, and graphs. These items may be single-spaced. Charts, tables, figures, and graphs in the application narrative count toward the page limits.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Application for Federal Assistance (SF 424); the Supplemental Information for SF 424 Form; the Budget Information Summary Form (ED Form 524) and Budget Narrative; and the assurances and certifications. The page limit also does not apply to the table of contents, the one-page abstract, the resumes, the bibliography, the letters of support, program profile, or the studies. If you include any attachments or appendices, these items will be counted as part of the application narrative for purposes of the page-limit requirement. You must include your complete response to the selection criteria and priorities in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program contact persons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by the Department and, if you are </w:t>
      </w:r>
      <w:r>
        <w:rPr>
          <w:rFonts w:ascii="arial" w:eastAsia="arial" w:hAnsi="arial" w:cs="arial"/>
          <w:b/>
          <w:i w:val="0"/>
          <w:strike w:val="0"/>
          <w:noProof w:val="0"/>
          <w:color w:val="000000"/>
          <w:position w:val="0"/>
          <w:sz w:val="20"/>
          <w:u w:val="none"/>
          <w:vertAlign w:val="baseline"/>
        </w:rPr>
        <w:t> [*9825] </w:t>
      </w:r>
      <w:r>
        <w:rPr>
          <w:rFonts w:ascii="arial" w:eastAsia="arial" w:hAnsi="arial" w:cs="arial"/>
          <w:b w:val="0"/>
          <w:i w:val="0"/>
          <w:strike w:val="0"/>
          <w:noProof w:val="0"/>
          <w:color w:val="000000"/>
          <w:position w:val="0"/>
          <w:sz w:val="20"/>
          <w:u w:val="none"/>
          <w:vertAlign w:val="baseline"/>
        </w:rPr>
        <w:t xml:space="preserv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Alaska Native-Serving Institutions Program (CFDA number 84.031N) and the Native Hawaiian-Serving Institutions Program (CFDA number 84.031W)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ANNH Program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84.031R or 84.031V).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Grants.gov an automatic notification of receipt that contains a Grants.gov tracking number. This notification indicates receipt by Grants.gov only, not receipt by the Department. Grants.gov </w:t>
      </w:r>
      <w:r>
        <w:rPr>
          <w:rFonts w:ascii="arial" w:eastAsia="arial" w:hAnsi="arial" w:cs="arial"/>
          <w:b/>
          <w:i w:val="0"/>
          <w:strike w:val="0"/>
          <w:noProof w:val="0"/>
          <w:color w:val="000000"/>
          <w:position w:val="0"/>
          <w:sz w:val="20"/>
          <w:u w:val="none"/>
          <w:vertAlign w:val="baseline"/>
        </w:rPr>
        <w:t> [*9826] </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one of the program contact people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Robyn Wood, Office of Postsecondary Education, U.S. Department of Education, 400 Maryland Avenue SW., Room 7E311, Washington, DC 20202. Fax: (202) 205-0063.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84.031R or 84.031V),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84.031R or 84.031V),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w:t>
      </w:r>
      <w:r>
        <w:rPr>
          <w:rFonts w:ascii="arial" w:eastAsia="arial" w:hAnsi="arial" w:cs="arial"/>
          <w:b/>
          <w:i w:val="0"/>
          <w:strike w:val="0"/>
          <w:noProof w:val="0"/>
          <w:color w:val="000000"/>
          <w:position w:val="0"/>
          <w:sz w:val="20"/>
          <w:u w:val="none"/>
          <w:vertAlign w:val="baseline"/>
        </w:rPr>
        <w:t> [*9827] </w:t>
      </w:r>
      <w:r>
        <w:rPr>
          <w:rFonts w:ascii="arial" w:eastAsia="arial" w:hAnsi="arial" w:cs="arial"/>
          <w:b w:val="0"/>
          <w:i w:val="0"/>
          <w:strike w:val="0"/>
          <w:noProof w:val="0"/>
          <w:color w:val="000000"/>
          <w:position w:val="0"/>
          <w:sz w:val="20"/>
          <w:u w:val="none"/>
          <w:vertAlign w:val="baseline"/>
        </w:rPr>
        <w:t xml:space="preserve">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5" w:history="1">
        <w:r>
          <w:rPr>
            <w:rFonts w:ascii="arial" w:eastAsia="arial" w:hAnsi="arial" w:cs="arial"/>
            <w:b w:val="0"/>
            <w:i/>
            <w:strike w:val="0"/>
            <w:noProof w:val="0"/>
            <w:color w:val="0077CC"/>
            <w:position w:val="0"/>
            <w:sz w:val="20"/>
            <w:u w:val="single"/>
            <w:vertAlign w:val="baseline"/>
          </w:rPr>
          <w:t>34 CFR 607.22(a)</w:t>
        </w:r>
      </w:hyperlink>
      <w:r>
        <w:rPr>
          <w:rFonts w:ascii="arial" w:eastAsia="arial" w:hAnsi="arial" w:cs="arial"/>
          <w:b w:val="0"/>
          <w:i w:val="0"/>
          <w:strike w:val="0"/>
          <w:noProof w:val="0"/>
          <w:color w:val="000000"/>
          <w:position w:val="0"/>
          <w:sz w:val="20"/>
          <w:u w:val="none"/>
          <w:vertAlign w:val="baseline"/>
        </w:rPr>
        <w:t xml:space="preserve"> through (g). We will award up to 100 points to an application under the selection criteria; the total possible points for each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(Maximum 25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(Maximum 15 points). 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rationale for the implementation strategy for each activity is clearly described and is supported by the results of relevant studies or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(Maximum 7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(Maximum 10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(Maximum 15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(Maximum 8 points). The extent to which the proposed costs are necessary and reasonable in relation to the project's objectives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Awards will be made in rank order according to the average score received from a panel of three readers.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6"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 for Development Grants.</w:t>
      </w:r>
      <w:r>
        <w:rPr>
          <w:rFonts w:ascii="arial" w:eastAsia="arial" w:hAnsi="arial" w:cs="arial"/>
          <w:b w:val="0"/>
          <w:i w:val="0"/>
          <w:strike w:val="0"/>
          <w:noProof w:val="0"/>
          <w:color w:val="000000"/>
          <w:position w:val="0"/>
          <w:sz w:val="20"/>
          <w:u w:val="none"/>
          <w:vertAlign w:val="baseline"/>
        </w:rPr>
        <w:t xml:space="preserve"> To resolve ties in the reader scores of applications for grants, the Department will award one additional point to an application from an IHE that has an endowment fund for which the current market value, per Full Time Equivalent (FTE) enrolled student, is less than the average current market value of the endowment funds, per FTE enrolled student at comparable institutions that offer similar instruction. In addition, to resolve ties in the reader scores of applications for grants, the Department will award one additional point to an application from an IHE that has expenditures for library materials per FTE enrolled student that are less than the average expenditures for library materials per FTE enrolled student at comparable institutions that offer similar instruction. We also will add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will use the most recent complete data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FY 2016, we will use 2013-2014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to applicants that have the lowest endowment values per FTE enrolled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2"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3"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 </w:t>
      </w:r>
      <w:r>
        <w:rPr>
          <w:rFonts w:ascii="arial" w:eastAsia="arial" w:hAnsi="arial" w:cs="arial"/>
          <w:b/>
          <w:i w:val="0"/>
          <w:strike w:val="0"/>
          <w:noProof w:val="0"/>
          <w:color w:val="000000"/>
          <w:position w:val="0"/>
          <w:sz w:val="20"/>
          <w:u w:val="none"/>
          <w:vertAlign w:val="baseline"/>
        </w:rPr>
        <w:t> [*9828]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5"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6"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7"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8"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ANNH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period, of the number of full-time degree-seeking undergraduates enrolled at ANNHs. Note that this is a long-term measure, which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ANNHs who were in their first year of postsecondary enrollment in the previous year and are enrolled in the current year at the same ANNH;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ANNHs who were in their first year of postsecondary enrollment in the previous year and are enrolled in the current year at the same ANNH;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ANNHs who graduate within six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degree-seeking undergraduate students enrolled at two-year ANNHs who graduate within three years of enrollment.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7"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Robyn Wood or Don Crews, Office of Postsecondary Education, U.S. Department of Education, 400 Mary1and Avenue SW., Room 7E311, Washington, DC 20202. You may contact these individuals at the following email addresses or telephone numbers: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Robyn.Wood@ed.gov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502-7437</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2016-04226 Filed 2-25-16;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9822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ies.ed.gov/ncee/wwc/DocumentSum.aspx?sid=19" TargetMode="External" /><Relationship Id="rId13" Type="http://schemas.openxmlformats.org/officeDocument/2006/relationships/hyperlink" Target="https://advance.lexis.com/api/document?collection=statutes-legislation&amp;id=urn:contentItem:4YF7-GS01-NRF4-42X2-00000-00&amp;context=" TargetMode="External" /><Relationship Id="rId14" Type="http://schemas.openxmlformats.org/officeDocument/2006/relationships/hyperlink" Target="https://advance.lexis.com/api/document?collection=administrative-codes&amp;id=urn:contentItem:5RWB-NH10-008H-04GP-00000-00&amp;context=" TargetMode="External" /><Relationship Id="rId15" Type="http://schemas.openxmlformats.org/officeDocument/2006/relationships/hyperlink" Target="https://advance.lexis.com/api/document?collection=administrative-codes&amp;id=urn:contentItem:5RWB-NH10-008H-04GR-00000-00&amp;context=" TargetMode="External" /><Relationship Id="rId16" Type="http://schemas.openxmlformats.org/officeDocument/2006/relationships/hyperlink" Target="https://advance.lexis.com/api/document?collection=administrative-codes&amp;id=urn:contentItem:5RWB-NH00-008H-040N-00000-00&amp;context=" TargetMode="External" /><Relationship Id="rId17" Type="http://schemas.openxmlformats.org/officeDocument/2006/relationships/hyperlink" Target="mailto:Robyn.Wood@ed.gov" TargetMode="External" /><Relationship Id="rId18" Type="http://schemas.openxmlformats.org/officeDocument/2006/relationships/hyperlink" Target="mailto:Don.Crews@ed.gov"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RWB-NH20-008H-04W1-00000-00&amp;context=" TargetMode="External" /><Relationship Id="rId26" Type="http://schemas.openxmlformats.org/officeDocument/2006/relationships/hyperlink" Target="https://advance.lexis.com/api/document?collection=administrative-codes&amp;id=urn:contentItem:5GMB-DPB0-008H-02GP-00000-00&amp;context=" TargetMode="External" /><Relationship Id="rId27" Type="http://schemas.openxmlformats.org/officeDocument/2006/relationships/hyperlink" Target="https://advance.lexis.com/api/document?collection=administrative-codes&amp;id=urn:contentItem:5KS0-F5W0-008H-023P-00000-00&amp;context=" TargetMode="External" /><Relationship Id="rId28" Type="http://schemas.openxmlformats.org/officeDocument/2006/relationships/hyperlink" Target="https://advance.lexis.com/api/document?collection=administrative-codes&amp;id=urn:contentItem:5R5H-J1H0-008H-043K-00000-00&amp;context=" TargetMode="External" /><Relationship Id="rId29" Type="http://schemas.openxmlformats.org/officeDocument/2006/relationships/hyperlink" Target="https://advance.lexis.com/api/document?collection=administrative-codes&amp;id=urn:contentItem:5KS0-F5W0-008H-024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600-008H-02PT-00000-00&amp;context=" TargetMode="External" /><Relationship Id="rId31" Type="http://schemas.openxmlformats.org/officeDocument/2006/relationships/hyperlink" Target="https://advance.lexis.com/api/document?collection=administrative-codes&amp;id=urn:contentItem:5KS0-F5W0-008H-025B-00000-00&amp;context=" TargetMode="External" /><Relationship Id="rId32" Type="http://schemas.openxmlformats.org/officeDocument/2006/relationships/hyperlink" Target="https://advance.lexis.com/api/document?collection=administrative-codes&amp;id=urn:contentItem:5HDM-DHF0-008G-Y2NJ-00000-00&amp;context=" TargetMode="External" /><Relationship Id="rId33" Type="http://schemas.openxmlformats.org/officeDocument/2006/relationships/hyperlink" Target="https://advance.lexis.com/api/document?collection=administrative-codes&amp;id=urn:contentItem:5F34-Y1R0-008G-Y1F9-00000-00&amp;context=" TargetMode="External" /><Relationship Id="rId34" Type="http://schemas.openxmlformats.org/officeDocument/2006/relationships/hyperlink" Target="https://advance.lexis.com/api/document?collection=administrative-codes&amp;id=urn:contentItem:5F2R-48P0-008G-Y31V-00000-00&amp;context=" TargetMode="External" /><Relationship Id="rId35" Type="http://schemas.openxmlformats.org/officeDocument/2006/relationships/hyperlink" Target="https://advance.lexis.com/api/document?collection=administrative-codes&amp;id=urn:contentItem:5GMB-DPC0-008H-02S7-00000-00&amp;context=" TargetMode="External" /><Relationship Id="rId36" Type="http://schemas.openxmlformats.org/officeDocument/2006/relationships/hyperlink" Target="https://advance.lexis.com/api/document?collection=administrative-codes&amp;id=urn:contentItem:5GMB-DPC0-008H-02SK-00000-00&amp;context=" TargetMode="External" /><Relationship Id="rId37" Type="http://schemas.openxmlformats.org/officeDocument/2006/relationships/hyperlink" Target="http://www.ed.gov/fund/grant/apply/appforms/appforms.html" TargetMode="External" /><Relationship Id="rId38" Type="http://schemas.openxmlformats.org/officeDocument/2006/relationships/hyperlink" Target="https://advance.lexis.com/api/document?collection=administrative-codes&amp;id=urn:contentItem:5GMB-DPB0-008H-0272-00000-00&amp;context=" TargetMode="External" /><Relationship Id="rId39" Type="http://schemas.openxmlformats.org/officeDocument/2006/relationships/hyperlink" Target="https://advance.lexis.com/api/document?collection=administrative-codes&amp;id=urn:contentItem:5GMB-DPB0-008H-02K8-00000-00&amp;context="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5P-3MS0-006W-82YB-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