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10348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027, Friday, February 10,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10348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February 10,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Upward Bound Math and Science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Upward Bound Math and Science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84.047M.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computer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this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6,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Linda Byrd-Johnson,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Deputy Assistant Secretary, Higher Education Programs, and Senior Director, Student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2017-02714 Filed 2-9-17;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10,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22,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May 22,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Upward Bound (UB) Program is one of the seven programs known as the Federal TRIO Programs. The UB Program is a discretionary grant program that supports projects designed to provide students with the skills and motivation necessary to complete a program of secondary education and to enter into, and succeed in, a program of postsecondary education. There are three types of grants under the UB Program: UB; Veterans UB; and UB Math and Science (UBMS)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notice we invite applications for UBMS grants only. The invitation to apply for UB grants has been announced and we will invite applications for Veterans UB grants in a forthcoming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UBMS Program supports projects designed to prepare high school students for postsecondary education programs that lead to careers in the fields of math and science.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UBMS grantees are required to provide the services listed in sections 402C(b) and (c) of the Higher Education Act of 1965, as amended (HEA) </w:t>
      </w:r>
      <w:hyperlink r:id="rId10" w:history="1">
        <w:r>
          <w:rPr>
            <w:rFonts w:ascii="arial" w:eastAsia="arial" w:hAnsi="arial" w:cs="arial"/>
            <w:b w:val="0"/>
            <w:i/>
            <w:strike w:val="0"/>
            <w:noProof w:val="0"/>
            <w:color w:val="0077CC"/>
            <w:position w:val="0"/>
            <w:sz w:val="20"/>
            <w:u w:val="single"/>
            <w:vertAlign w:val="baseline"/>
          </w:rPr>
          <w:t>(20 U.S.C. 1070a-13).</w:t>
        </w:r>
      </w:hyperlink>
      <w:r>
        <w:rPr>
          <w:rFonts w:ascii="arial" w:eastAsia="arial" w:hAnsi="arial" w:cs="arial"/>
          <w:b w:val="0"/>
          <w:i w:val="0"/>
          <w:strike w:val="0"/>
          <w:noProof w:val="0"/>
          <w:color w:val="000000"/>
          <w:position w:val="0"/>
          <w:sz w:val="20"/>
          <w:u w:val="none"/>
          <w:vertAlign w:val="baseline"/>
        </w:rPr>
        <w:t xml:space="preserve"> Grantees may also provide the permissible services in section 402C(d) of the HEA. UBMS Program grantees must also provide the services listed in 34 CFR 645.14(a) and may provide the services listed in 34 CFR 645.14(b).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TRIO programs, including the UBMS Program, represent a national commitment to education for all students regardless of race, ethnic background, disability status, or economic circumstances. The Department has a strong interest in ensuring that groups traditionally underrepresented in postsecondary education, such as low-income students, first-generation college students, students with limited English proficiency, students with disabilities, homeless students, students who are in foster care or aging out of foster care, and other disconnected students, receive services provided by the UBMS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UBMS Program is a critical component of the Department's efforts to improve college readiness, access and completion for students who have been traditionally underrepresented in postsecondary education. To more strategically align UBMS grants with broader reform strategies intended to improve postsecondary access and completion, this notice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that encourages applicants to propose activities that are supported by moderate evidence of effectiveness (as defined in this notice). The Department </w:t>
      </w:r>
      <w:r>
        <w:rPr>
          <w:rFonts w:ascii="arial" w:eastAsia="arial" w:hAnsi="arial" w:cs="arial"/>
          <w:b/>
          <w:i w:val="0"/>
          <w:strike w:val="0"/>
          <w:noProof w:val="0"/>
          <w:color w:val="000000"/>
          <w:position w:val="0"/>
          <w:sz w:val="20"/>
          <w:u w:val="none"/>
          <w:vertAlign w:val="baseline"/>
        </w:rPr>
        <w:t> [*10349] </w:t>
      </w:r>
      <w:r>
        <w:rPr>
          <w:rFonts w:ascii="arial" w:eastAsia="arial" w:hAnsi="arial" w:cs="arial"/>
          <w:b w:val="0"/>
          <w:i w:val="0"/>
          <w:strike w:val="0"/>
          <w:noProof w:val="0"/>
          <w:color w:val="000000"/>
          <w:position w:val="0"/>
          <w:sz w:val="20"/>
          <w:u w:val="none"/>
          <w:vertAlign w:val="baseline"/>
        </w:rPr>
        <w:t xml:space="preserve"> is particularly interested in receiving applications that include plans to provide services for students, supported by evidence, that increase the likelihood that students will complete high school and enroll in and complete a program of postsecondary education. The Department is not specifying a particular service, such as tutoring or mentoring, that is tied to evidence, but is providing an opportunity for the applicant to decide which statutorily authorized service the project will implement based on available evidence of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this notice includes an invitational priority encouraging applicants to focus on increasing opportunities for students to earn postsecondary credits while in high school. Some of these opportunities for postsecondary coursework may be available through dual enrollment programs. Dual enrollment programs allow high school students to enroll in credit-bearing college courses while enrolled in high school. In various forms and under different names, dual enrollment programs exist in all 50 States and the District of Columbia.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Education Commission of the States, "Individual State Profile," </w:t>
      </w:r>
      <w:hyperlink r:id="rId11" w:history="1">
        <w:r>
          <w:rPr>
            <w:rFonts w:ascii="arial" w:eastAsia="arial" w:hAnsi="arial" w:cs="arial"/>
            <w:b w:val="0"/>
            <w:i/>
            <w:strike w:val="0"/>
            <w:noProof w:val="0"/>
            <w:color w:val="0077CC"/>
            <w:position w:val="0"/>
            <w:sz w:val="20"/>
            <w:u w:val="single"/>
            <w:vertAlign w:val="baseline"/>
          </w:rPr>
          <w:t>http://ecs.force.com/mbdata/mbprofallRT?Rep=DE15A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research n2 suggests that participation in dual enrollment programs can lead to improved academic outcomes, especially for students from low-income households and first generation college students. Such participation can lead to better grades in high school, increased enrollment in college following high school, greater college credit accumulation, and higher rates of persistence in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An, B.P. (2012). "The Impact of Dual Enrollment on College Degree Attainment: Do Low-SES Students Benefit?" Educational Evaluation and Policy Analysis, 35, 57-75.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one invitational priority. In accordance with 34 CFR 75.105(b)(2)(ii),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from 34 CFR 75.226. Applicants must include in the one-page abstract submitted with the application a statement indicating if they addressed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and/or the invitational priority.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34 CFR 75.105(c)(2)(i), we award three additional points to an application that meets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r>
        <w:rPr>
          <w:rFonts w:ascii="arial" w:eastAsia="arial" w:hAnsi="arial" w:cs="arial"/>
          <w:b w:val="0"/>
          <w:i w:val="0"/>
          <w:strike w:val="0"/>
          <w:noProof w:val="0"/>
          <w:color w:val="000000"/>
          <w:position w:val="0"/>
          <w:sz w:val="20"/>
          <w:u w:val="none"/>
          <w:vertAlign w:val="baseline"/>
        </w:rPr>
        <w:t xml:space="preserve">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supported by evidence of effectiveness that meets the conditions set out in the definition of "moderate evidence of effectiveness" in 34 CFR 77.1(c).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34 CFR 75.105(c)(1),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encourages applicants to propose projects designed to increase opportunities for participants to earn postsecondary credits in high school, such as through providing connections to dual enrollment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These definitions are from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r>
        <w:rPr>
          <w:rFonts w:ascii="arial" w:eastAsia="arial" w:hAnsi="arial" w:cs="arial"/>
          <w:b w:val="0"/>
          <w:i w:val="0"/>
          <w:strike w:val="0"/>
          <w:noProof w:val="0"/>
          <w:color w:val="000000"/>
          <w:position w:val="0"/>
          <w:sz w:val="20"/>
          <w:u w:val="none"/>
          <w:vertAlign w:val="baseline"/>
        </w:rPr>
        <w:t xml:space="preserve"> means one of the following conditions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of the effectiveness of the process, product, strategy, or practice being proposed that meets the What Works Clearinghouse (WWC) Evidence Standards without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WWC), and includes a sample that overlaps with the populations or settings proposed to receive the process, product, strategy,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There is at least one study of the effectiveness of the process, product, strategy, or practice being proposed that meets the WWC Evidence Standards with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WWC), includes a sample that overlaps with the populations or settings proposed to receive the process, product, strategy, or practice, and includes a large sample and a multisite sample.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Multiple studies can cumulatively meet the large and multisite sample requirements as long as each study meets the other requirements in this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 local educational agency, locality, or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Standards</w:t>
      </w:r>
      <w:r>
        <w:rPr>
          <w:rFonts w:ascii="arial" w:eastAsia="arial" w:hAnsi="arial" w:cs="arial"/>
          <w:b w:val="0"/>
          <w:i w:val="0"/>
          <w:strike w:val="0"/>
          <w:noProof w:val="0"/>
          <w:color w:val="000000"/>
          <w:position w:val="0"/>
          <w:sz w:val="20"/>
          <w:u w:val="none"/>
          <w:vertAlign w:val="baseline"/>
        </w:rPr>
        <w:t xml:space="preserve"> means the standards set forth in the WWC Procedures and Standards Handbook (Version 3.0, March 2014), which can be found at the following link: </w:t>
      </w:r>
      <w:hyperlink r:id="rId12"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20 U.S.C. 1070a-11</w:t>
        </w:r>
      </w:hyperlink>
      <w:r>
        <w:rPr>
          <w:rFonts w:ascii="arial" w:eastAsia="arial" w:hAnsi="arial" w:cs="arial"/>
          <w:b w:val="0"/>
          <w:i w:val="0"/>
          <w:strike w:val="0"/>
          <w:noProof w:val="0"/>
          <w:color w:val="000000"/>
          <w:position w:val="0"/>
          <w:sz w:val="20"/>
          <w:u w:val="none"/>
          <w:vertAlign w:val="baseline"/>
        </w:rPr>
        <w:t xml:space="preserve"> and 1070a-13.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(except for 75.215 through 75.221), 77, 79,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645.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$ 900,000,000 for the Federal TRIO Program for FY 2017, of which we intend to use an estimated $ 44,000,000 for UBMS awards.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$ 257,500-$ 382,896. </w:t>
      </w:r>
      <w:r>
        <w:rPr>
          <w:rFonts w:ascii="arial" w:eastAsia="arial" w:hAnsi="arial" w:cs="arial"/>
          <w:b/>
          <w:i w:val="0"/>
          <w:strike w:val="0"/>
          <w:noProof w:val="0"/>
          <w:color w:val="000000"/>
          <w:position w:val="0"/>
          <w:sz w:val="20"/>
          <w:u w:val="none"/>
          <w:vertAlign w:val="baseline"/>
        </w:rPr>
        <w:t> [*10350]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$ 266,511.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the applicable maximum award amount listed immediately following this paragraph for a single budget period of 12 months. We will also reject any application for new applicants that proposes a budget to serve fewer than 60 participants or, for applicants that are current grantees, any application with a proposed budget to serve fewer than the number of participants the applicant was approved to serve in FY 2016.</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applicant that is not currently receiving a UBMS Program grant, the maximum award amount is $ 257,500, to serve a minimum of 60 participants.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applicant that is currently receiving a UBMS Program grant, the maximum award amount is an amount equal to the applicant's base award amount for FY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162.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Institutions of higher education, public and private agencies, and organizations including community-based organizations with experience in serving disadvantaged youth, combinations of such institutions, agencies and organizations, and secondary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An applicant may submit more than one application for a UBMS Program grant so long as each application describes a project that serves a different target area or target school (34 CFR 645.20(a)). The Secretary is not designating any additional populations for which an applicant may submit a separate application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(34 CFR 645.20(b)).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Sharon Easterling, U.S. Department of Education, 400 Maryland Avenue SW., Room 5E235, Washington, DC 20202. Telephone: (202) 453-7425 or by email: </w:t>
      </w:r>
      <w:hyperlink r:id="rId14" w:history="1">
        <w:r>
          <w:rPr>
            <w:rFonts w:ascii="arial" w:eastAsia="arial" w:hAnsi="arial" w:cs="arial"/>
            <w:b w:val="0"/>
            <w:i/>
            <w:strike w:val="0"/>
            <w:noProof w:val="0"/>
            <w:color w:val="0077CC"/>
            <w:position w:val="0"/>
            <w:sz w:val="20"/>
            <w:u w:val="single"/>
            <w:vertAlign w:val="baseline"/>
          </w:rPr>
          <w:t>Sharon.Easterling@ed.gov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You must limit the application narrative, which includes the budget narrative, to no more than 65 pages using the following standards: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 Page numbers and an identifier may be within the 1" margin.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page on which there is text or graphics will be counted as one full page.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charts, tables, figures, and graphs. Titles, headings, footnotes, quotations, references, and captions may be single spaced.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and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Application for Federal Assistance Face Sheet (SF 424); Part II, the Budget Information Summary form (ED Form 524); Part III, the UBMS Program Profile form; Part III, the one-page Project Abstract form; and Part IV, the Assurances and Certifications. The page limit also does not apply to a table of contents, which you should include in the application narrative. If you include any attachments or appendices, these items will be counted as part of Part III, the application narrative, for purpose of the page-limit requirement. You must include your complete response to the selection criteria in Part III, the application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application addressing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may include up to four additional pages for the priority. These additional pages must be used to discuss how the application meets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Any application addressing the invitational priority may include up to two additional pages for the priority. These additional pages must be used to discuss how the application meets the invitational priority. The additional pages allotted to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the invitational priority cannot be used for or transferred to the application narrative or any other section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apply these standards; or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10,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22,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in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May 22,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specify unallowable costs in 34 CFR 645.41. 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 </w:t>
      </w:r>
      <w:r>
        <w:rPr>
          <w:rFonts w:ascii="arial" w:eastAsia="arial" w:hAnsi="arial" w:cs="arial"/>
          <w:b/>
          <w:i w:val="0"/>
          <w:strike w:val="0"/>
          <w:noProof w:val="0"/>
          <w:color w:val="000000"/>
          <w:position w:val="0"/>
          <w:sz w:val="20"/>
          <w:u w:val="none"/>
          <w:vertAlign w:val="baseline"/>
        </w:rPr>
        <w:t> [*10351]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5"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6"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17"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UBMS Program, CFDA number 84.047M,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1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UBMS Program at </w:t>
      </w:r>
      <w:hyperlink r:id="rId1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84.047, not 84.047M).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program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19"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0"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Application for Federal Assistance (SF 424), the Department of Education Supplemental Information for SF 424, Budget Information--Non-Construction Programs (ED 524), and all necessary assurances and certifications.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t>
      </w:r>
      <w:r>
        <w:rPr>
          <w:rFonts w:ascii="arial" w:eastAsia="arial" w:hAnsi="arial" w:cs="arial"/>
          <w:b/>
          <w:i w:val="0"/>
          <w:strike w:val="0"/>
          <w:noProof w:val="0"/>
          <w:color w:val="000000"/>
          <w:position w:val="0"/>
          <w:sz w:val="20"/>
          <w:u w:val="none"/>
          <w:vertAlign w:val="baseline"/>
        </w:rPr>
        <w:t> [*10352] </w:t>
      </w:r>
      <w:r>
        <w:rPr>
          <w:rFonts w:ascii="arial" w:eastAsia="arial" w:hAnsi="arial" w:cs="arial"/>
          <w:b w:val="0"/>
          <w:i w:val="0"/>
          <w:strike w:val="0"/>
          <w:noProof w:val="0"/>
          <w:color w:val="000000"/>
          <w:position w:val="0"/>
          <w:sz w:val="20"/>
          <w:u w:val="none"/>
          <w:vertAlign w:val="baseline"/>
        </w:rPr>
        <w:t xml:space="preserve"> will not convert material from other formats to PDF.</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then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because--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Gaby Watts, U.S. Department of Education, 400 Maryland Avenue SW., Room 5E119, Washington, DC 20202. Fax: (202) 260-7464.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84.047M),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84.047M),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 </w:t>
      </w:r>
      <w:r>
        <w:rPr>
          <w:rFonts w:ascii="arial" w:eastAsia="arial" w:hAnsi="arial" w:cs="arial"/>
          <w:b/>
          <w:i w:val="0"/>
          <w:strike w:val="0"/>
          <w:noProof w:val="0"/>
          <w:color w:val="000000"/>
          <w:position w:val="0"/>
          <w:sz w:val="20"/>
          <w:u w:val="none"/>
          <w:vertAlign w:val="baseline"/>
        </w:rPr>
        <w:t> [*10353]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grant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in 34 CFR 645.31 and listed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panel of non-Federal reviewers will review each application in accordance with the selection criteria in 34 CFR 645.31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The individual scores of the reviewers will be added and the sum divided by the number of reviewers to determine the average peer reviewer score received in the review process. Additionally, in accordance with 34 CFR 645.32, the Secretary will award prior experience points to applicants that conducted a UBMS Program project during budget periods 2013-14, 2014-15, and 2015-16, based on their documented experience. Prior experience points, if any, will be added to the application's average reader score to determine the total score for each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are insufficient funds for all applications with the same total scores, the Secretary will choose among the tied applications so as to serve geographic areas and eligible populations that have been underserved by the UBMS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program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2 CFR 200.205(a)(2)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1"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Under 34 CFR 75.250(b),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success of the UBMS Program will be measured by the percentage of UBMS participants who enroll in and complete postsecondary education. The following performance measures have been developed to track progress toward achieving program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percentage of UBMS students who took two years of mathematics beyond Algebra I by the 12th 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percentage of UBMS students who graduated from secondary school with a regular secondary school diploma;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percentage of UBMS students who enrolled in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percentage of UBMS students who enrolled in a program of postsecondary education by the fall term following graduation from high school and who in the first year of postsecondary education placed into college-level math and English without need for remediation;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The percentage of former UBMS students who enrolled in a program of </w:t>
      </w:r>
      <w:r>
        <w:rPr>
          <w:rFonts w:ascii="arial" w:eastAsia="arial" w:hAnsi="arial" w:cs="arial"/>
          <w:b/>
          <w:i w:val="0"/>
          <w:strike w:val="0"/>
          <w:noProof w:val="0"/>
          <w:color w:val="000000"/>
          <w:position w:val="0"/>
          <w:sz w:val="20"/>
          <w:u w:val="none"/>
          <w:vertAlign w:val="baseline"/>
        </w:rPr>
        <w:t> [*10354] </w:t>
      </w:r>
      <w:r>
        <w:rPr>
          <w:rFonts w:ascii="arial" w:eastAsia="arial" w:hAnsi="arial" w:cs="arial"/>
          <w:b w:val="0"/>
          <w:i w:val="0"/>
          <w:strike w:val="0"/>
          <w:noProof w:val="0"/>
          <w:color w:val="000000"/>
          <w:position w:val="0"/>
          <w:sz w:val="20"/>
          <w:u w:val="none"/>
          <w:vertAlign w:val="baseline"/>
        </w:rPr>
        <w:t xml:space="preserve"> postsecondary education and graduated on time--within four years for the bachelor's degree and within two years for the associate's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percentage of UBMS participants who enrolled in a program of postsecondary education and attained either an associate's degree within three years or a bachelor's degree within six years of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percentage of UBMS students expected to graduate high school in the reporting year who complete a Free Application for Federal Student Aid (FAFSA);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 cost per successful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 recipients must collect and report data on steps they have taken toward achieving these goals. Accordingly, we request that applicants include these performance measures in conceptualizing the design, implementation, and evaluation of their proposed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management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Sharon Easterling, U.S. Department of Education, 400 Maryland Avenue SW., Room 5E235, Washington, DC 20202. Telephone: (202) 453-7425 or by email: </w:t>
      </w:r>
      <w:hyperlink r:id="rId22" w:history="1">
        <w:r>
          <w:rPr>
            <w:rFonts w:ascii="arial" w:eastAsia="arial" w:hAnsi="arial" w:cs="arial"/>
            <w:b w:val="0"/>
            <w:i/>
            <w:strike w:val="0"/>
            <w:noProof w:val="0"/>
            <w:color w:val="0077CC"/>
            <w:position w:val="0"/>
            <w:sz w:val="20"/>
            <w:u w:val="single"/>
            <w:vertAlign w:val="baseline"/>
          </w:rPr>
          <w:t>Sharon.Eastering@ed.gov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10348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91-NRF4-400H-00000-00&amp;context=" TargetMode="External" /><Relationship Id="rId11" Type="http://schemas.openxmlformats.org/officeDocument/2006/relationships/hyperlink" Target="http://ecs.force.com/mbdata/mbprofallRT?Rep=DE15A" TargetMode="External" /><Relationship Id="rId12" Type="http://schemas.openxmlformats.org/officeDocument/2006/relationships/hyperlink" Target="http://ies.ed.gov/ncee/wwc/DocumentSum.aspx?sid=19" TargetMode="External" /><Relationship Id="rId13" Type="http://schemas.openxmlformats.org/officeDocument/2006/relationships/hyperlink" Target="https://advance.lexis.com/api/document?collection=statutes-legislation&amp;id=urn:contentItem:4YF7-GJY1-NRF4-404F-00000-00&amp;context=" TargetMode="External" /><Relationship Id="rId14" Type="http://schemas.openxmlformats.org/officeDocument/2006/relationships/hyperlink" Target="mailto:Sharon.Easterling@ed.gov" TargetMode="External" /><Relationship Id="rId15" Type="http://schemas.openxmlformats.org/officeDocument/2006/relationships/hyperlink" Target="http://fedgov.dnb.com/webform" TargetMode="External" /><Relationship Id="rId16" Type="http://schemas.openxmlformats.org/officeDocument/2006/relationships/hyperlink" Target="http://www.SAM.gov" TargetMode="External" /><Relationship Id="rId17" Type="http://schemas.openxmlformats.org/officeDocument/2006/relationships/hyperlink" Target="http://www.grants.gov/web/grants/register.html" TargetMode="External" /><Relationship Id="rId18" Type="http://schemas.openxmlformats.org/officeDocument/2006/relationships/hyperlink" Target="http://www.Grants.gov" TargetMode="External" /><Relationship Id="rId19" Type="http://schemas.openxmlformats.org/officeDocument/2006/relationships/hyperlink" Target="http://www.G5.gov" TargetMode="External" /><Relationship Id="rId2" Type="http://schemas.openxmlformats.org/officeDocument/2006/relationships/webSettings" Target="webSettings.xml" /><Relationship Id="rId20" Type="http://schemas.openxmlformats.org/officeDocument/2006/relationships/hyperlink" Target="http://www.grants.gov/web/grants/applicants/apply-for-grants.html" TargetMode="External" /><Relationship Id="rId21" Type="http://schemas.openxmlformats.org/officeDocument/2006/relationships/hyperlink" Target="http://www.ed.gov/fund/grant/apply/appforms/appforms.html" TargetMode="External" /><Relationship Id="rId22" Type="http://schemas.openxmlformats.org/officeDocument/2006/relationships/hyperlink" Target="mailto:Sharon.Eastering@ed.gov" TargetMode="Externa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V9-Y3G0-006W-8098-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23791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71570011</vt:lpwstr>
  </property>
  <property fmtid="{D5CDD505-2E9C-101B-9397-08002B2CF9AE}" pid="3" name="LADocCount">
    <vt:lpwstr>1</vt:lpwstr>
  </property>
  <property fmtid="{D5CDD505-2E9C-101B-9397-08002B2CF9AE}" pid="4" name="UserPermID">
    <vt:lpwstr>urn:user:PA185916758</vt:lpwstr>
  </property>
</Properties>
</file>