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10944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031, Thursday, February 16,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10944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16,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Data Fees at Rule 7026</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34-80015; File No. SR-NASDAQ-2017-007]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January 30,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data fees at Rule 7026 to raise the monthly Enterprise License fee for distribution of an Enhanced Display Solution from $ 30,000 to $ 33,500,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amendments are effective upon filing, the Exchange has designated the proposed amendments to be operative on February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raise the monthly Enterprise License fee for distribution of an Enhanced Display Solution from $ 30,000 to $ 33,500, and to correct a cross reference to Rule 7023.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Enhanced Display Solution ("EDS") provides a display of Nasdaq depth-of-book data--data feeds with price quotations at more than one price level, such as TotalView, OpenView and Level 2--with the capability of connecting to an Application Programming Interface ("API"). The API allows Subscribers to export the depth-of-book data to a display application of their choosing, provided that the Distributor controls access to the application, monitors its use, and prevents redistribution of the data, either externally or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 License fee allows Distributors to purchase an EDS for professional subscribers at a fixed monthly per-subscriber rate. The current fee of $ 30,000 per month permits the distribution of Nasdaq depth-of-book data to an unlimited number of professional subscribers at a monthly per-subscriber rate of $ 70 for TotalView and Level 2, and a monthly per-subscriber rate of $ 6 for OpenView. The monthly per-subscriber fees for Distributors that elect not to purchase an EDS Enterprise License fee are $ 74 for TotalView and Level 2 and $ 6 for OpenView, as provided in Rule 7026(a)(1)(B). All Distributors who purchase an EDS, whether or not an Enterprise License is purchased, must pay the distributor fees set forth in Rule 7026(a)(1)(A). The Enterprise License is designed to provide a lower fee to the largest Distributors of depth-of-book data to encourage distribution of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raise the monthly EDS Enterprise License fee from $ 30,000 to $ 33,500, and to correct a cross reference to Rule 7023.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increase in the monthly EDS Enterprise License fee is reasonable in light of the value of EDS to Distributors and Subscribers, which has increased significantly due to technological advances that have occurred since EDS was introduced in January of 2012, particularly for those Distributors with sufficient volume to purchase an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feature of EDS--the capability of connecting to an API--allows the Subscriber to transfer Nasdaq data to any number of applications. When EDS was first introduced, data was transferred to relatively simple applications, such as spreadsheets. Since 2012, EDS has become more valuable as the use of the API has moved from spreadsheets to complex analytic tools, enhancing the value of EDS to both Subscribers and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Distributors that purchase EDS through the Enterprise License are among the greatest beneficiaries of EDS because they have the largest number of Subscribers. They are also in the best position to bear the cost of an increase in the price of EDS because of that larger subscriber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price increase is justified by the increasing value of EDS to Distributors that purchase an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correct a cross reference to Rule 7023 (Nasdaq Depth-of-Book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5, 2012, the Exchange filed with the Commission a proposal to amend Rule 7026 to offer an optional </w:t>
      </w:r>
      <w:r>
        <w:rPr>
          <w:rFonts w:ascii="arial" w:eastAsia="arial" w:hAnsi="arial" w:cs="arial"/>
          <w:b/>
          <w:i w:val="0"/>
          <w:strike w:val="0"/>
          <w:noProof w:val="0"/>
          <w:color w:val="000000"/>
          <w:position w:val="0"/>
          <w:sz w:val="20"/>
          <w:u w:val="none"/>
          <w:vertAlign w:val="baseline"/>
        </w:rPr>
        <w:t> [*10945] </w:t>
      </w:r>
      <w:r>
        <w:rPr>
          <w:rFonts w:ascii="arial" w:eastAsia="arial" w:hAnsi="arial" w:cs="arial"/>
          <w:b w:val="0"/>
          <w:i w:val="0"/>
          <w:strike w:val="0"/>
          <w:noProof w:val="0"/>
          <w:color w:val="000000"/>
          <w:position w:val="0"/>
          <w:sz w:val="20"/>
          <w:u w:val="none"/>
          <w:vertAlign w:val="baseline"/>
        </w:rPr>
        <w:t xml:space="preserve"> tiered fee for enhanced displays. n3 At the time of its inception, the EDS fee exemption made reference to the previous iteration of Rule 7023 (then, Nasdaq Total View), which established, under section (a)(1)(C), the Enterprise License fees available to a Distributor. Following the January 2012 rule change, on March 28 of that year, Nasdaq filed with the Commission a proposal to fully amend Rule 7023, n4 renaming the rule, and providing an expanded description of the Enterprise License fees under section (c) of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66165 (January 17, 2012), </w:t>
      </w:r>
      <w:hyperlink r:id="rId11" w:history="1">
        <w:r>
          <w:rPr>
            <w:rFonts w:ascii="arial" w:eastAsia="arial" w:hAnsi="arial" w:cs="arial"/>
            <w:b w:val="0"/>
            <w:i/>
            <w:strike w:val="0"/>
            <w:noProof w:val="0"/>
            <w:color w:val="0077CC"/>
            <w:position w:val="0"/>
            <w:sz w:val="20"/>
            <w:u w:val="single"/>
            <w:vertAlign w:val="baseline"/>
          </w:rPr>
          <w:t>77 FR 3313</w:t>
        </w:r>
      </w:hyperlink>
      <w:r>
        <w:rPr>
          <w:rFonts w:ascii="arial" w:eastAsia="arial" w:hAnsi="arial" w:cs="arial"/>
          <w:b w:val="0"/>
          <w:i w:val="0"/>
          <w:strike w:val="0"/>
          <w:noProof w:val="0"/>
          <w:color w:val="000000"/>
          <w:position w:val="0"/>
          <w:sz w:val="20"/>
          <w:u w:val="none"/>
          <w:vertAlign w:val="baseline"/>
        </w:rPr>
        <w:t xml:space="preserve"> (January 23, 2012) (SR-NASDAQ-2012-005);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73807 (December 10, 2014), </w:t>
      </w:r>
      <w:r>
        <w:rPr>
          <w:rFonts w:ascii="arial" w:eastAsia="arial" w:hAnsi="arial" w:cs="arial"/>
          <w:b w:val="0"/>
          <w:i/>
          <w:strike w:val="0"/>
          <w:noProof w:val="0"/>
          <w:color w:val="000000"/>
          <w:position w:val="0"/>
          <w:sz w:val="20"/>
          <w:u w:val="none"/>
          <w:vertAlign w:val="baseline"/>
        </w:rPr>
        <w:t>79 FR 78784</w:t>
      </w:r>
      <w:r>
        <w:rPr>
          <w:rFonts w:ascii="arial" w:eastAsia="arial" w:hAnsi="arial" w:cs="arial"/>
          <w:b w:val="0"/>
          <w:i w:val="0"/>
          <w:strike w:val="0"/>
          <w:noProof w:val="0"/>
          <w:color w:val="000000"/>
          <w:position w:val="0"/>
          <w:sz w:val="20"/>
          <w:u w:val="none"/>
          <w:vertAlign w:val="baseline"/>
        </w:rPr>
        <w:t xml:space="preserve"> [sic] (December 16, 2014) (SR-NASDAQ-2014-117) (clarifying, among other changes, that the EDS Fee exemption applies to Distributors and not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66740 (April 5, 2012), </w:t>
      </w:r>
      <w:hyperlink r:id="rId12" w:history="1">
        <w:r>
          <w:rPr>
            <w:rFonts w:ascii="arial" w:eastAsia="arial" w:hAnsi="arial" w:cs="arial"/>
            <w:b w:val="0"/>
            <w:i/>
            <w:strike w:val="0"/>
            <w:noProof w:val="0"/>
            <w:color w:val="0077CC"/>
            <w:position w:val="0"/>
            <w:sz w:val="20"/>
            <w:u w:val="single"/>
            <w:vertAlign w:val="baseline"/>
          </w:rPr>
          <w:t>77 FR 21609</w:t>
        </w:r>
      </w:hyperlink>
      <w:r>
        <w:rPr>
          <w:rFonts w:ascii="arial" w:eastAsia="arial" w:hAnsi="arial" w:cs="arial"/>
          <w:b w:val="0"/>
          <w:i w:val="0"/>
          <w:strike w:val="0"/>
          <w:noProof w:val="0"/>
          <w:color w:val="000000"/>
          <w:position w:val="0"/>
          <w:sz w:val="20"/>
          <w:u w:val="none"/>
          <w:vertAlign w:val="baseline"/>
        </w:rPr>
        <w:t xml:space="preserve"> (April 10, 2012) (SR-NASDAQ-2012-042).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Exchange has changed Rule 7026 since then, it has not yet updated the reference to the Enterprise License fees. The cross reference provided under Rule 7026(a)(1)(A), establishing that Distributors subscribing to certain enterprise depth capped fees will be exempt from paying the EDS Distributor Fee, currently points to a section under Rule 7023 which provides a definition for the TotalView data feed, and not to the Enterprise License fees that would allow a Distributor to be exempt from paying the EDS distributor fee. The Exchange therefore proposes to correct that cross reference to Rule 7023(c) (Enterprise License Fees), and to modify the language to make the reference clearer, without changing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EDS Enterprise License--and the entire EDS program--is entirely optional in that Nasdaq is not required to offer it and Distributors are not required to pay for it. Distributors and Subscribers can discontinue its use at any time and for any reason, including an assessment of the fees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does not raise the cost of any other Nasdaq product, except to the extent that it increases the total cost of purchasing depth-of-book data for those who obtain such data through an EDS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n5 in general, and furthers the objectives of Sections 6(b)(4) and 6(b)(5) of the Act, n6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Securities Exchange Act Release No. 51808 (June 9, 2005), </w:t>
      </w:r>
      <w:hyperlink r:id="rId14"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n8 ("NetCoalition"), the D.C. Circuit upheld the Commission's use of a market-based approach in evaluating the fairness of market data fees against a challenge claiming that Congress mandated a cost-based approach. n9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6"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proposal to raise the monthly EDS Enterprise License fee from $ 30,000 to $ 33,500 is fair and equitable in accordance with Section 6(b)(4) of the Act, and not unreasonably discriminatory in accordance with Section 6(b)(5) of the Act. As described above, the proposed fee increase reflects the increasing value of EDS to Distributors and Subscribers, particularly those Distributors with sufficient volume to purchase an Enterprise License. Moreover, Enterprise License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and among broker-dealers for customers. If Nasdaq is incorrect in its assessment, there is no barrier to block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from entering the market with a substantially similar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 changes are an equitable allocation and not unfairly discriminatory because the Exchange will apply the same fee to all similarly-situated Subscribers.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will raise the monthly EDS Enterprise License fee from $ 30,000 to $ 33,500. The EDS Enterprise License is used to distribute TotalView, Level 2, and OpenView, Nasdaq's depth-of-book products. The question of whether the prices of depth-of-view products are constrained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was examined in 2016 by an Administrative Law Judge in a petition filed by the Securities Industry and Financial Markets Association for a review of certain actions by Self-Regulatory </w:t>
      </w:r>
      <w:r>
        <w:rPr>
          <w:rFonts w:ascii="arial" w:eastAsia="arial" w:hAnsi="arial" w:cs="arial"/>
          <w:b/>
          <w:i w:val="0"/>
          <w:strike w:val="0"/>
          <w:noProof w:val="0"/>
          <w:color w:val="000000"/>
          <w:position w:val="0"/>
          <w:sz w:val="20"/>
          <w:u w:val="none"/>
          <w:vertAlign w:val="baseline"/>
        </w:rPr>
        <w:t> [*10946] </w:t>
      </w:r>
      <w:r>
        <w:rPr>
          <w:rFonts w:ascii="arial" w:eastAsia="arial" w:hAnsi="arial" w:cs="arial"/>
          <w:b w:val="0"/>
          <w:i w:val="0"/>
          <w:strike w:val="0"/>
          <w:noProof w:val="0"/>
          <w:color w:val="000000"/>
          <w:position w:val="0"/>
          <w:sz w:val="20"/>
          <w:u w:val="none"/>
          <w:vertAlign w:val="baseline"/>
        </w:rPr>
        <w:t xml:space="preserve"> Organizations. n12 After a four-day hearing, the Administrative Law Judge found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plays a significant role in restraining exchange pricing of depth-of-book products" n13 because "depth-of-book products from different exchanges function as substitutes for each other," n14 and therefore "the threat of substitution from depth-of-book customers constrains their depth-of-book prices." n15 As such, Nasdaq's depth-of-book fees--including those fees for the distribution of TotalView, Level 2 and OpenView--are "constrained by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n16 If the changes proposed herein are unattractive to market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forces specifically constrain the EDS Enterprise License fee in three respects. First, the EDS Enterprise License is one element of the total cost of purchasing depth-of-book data. Firms make purchasing decisions based on the total cost of interacting with the Exchange and, if the price of the EDS Enterprise License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would be harmed. Second, Distributors may elect to purchase EDS through per-subscriber fees in lieu of an Enterprise License, or may reduce their purchases of Nasdaq proprietary data. Third,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Subscribers provides another constraint on the cost of the EDS Enterprise License.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Depth-of-book data fees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The cost of EDS is one factor in this total platform analysis. A supracompetitive price for the EDS Enterprise License has the potential to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and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for order flow will constrain its price.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Enterprise License is one among several methods of purchase available to EDS Distributors. If the price of the EDS Enterprise License were to become too high, Distributors would use another purchase option, such as per-subscriber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cost of Nasdaq depth-of-book data relative to other options also functions as an effective constraint. If the total price of depth-of-book data, including the EDS Enterprise License, were to become too high, Distributors would be able to purchase similar data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such as NYSE or BATS, or curtail their purchases of other Nasdaq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alternative payment methods to purchase EDS, as well as the availability of depth-of-book data from other sources, will act as effective constraints on the price of the EDS Enterprise License.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Distributors who purchase the EDS Enterprise License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Subscribers. If the price of the Enterprise License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 Distributors that purchase that license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such, they may lower costs by paying per-subscriber fees, curtailing their purchases of Nasdaq products, or purchasing depth-of-book data from one of Nasdaq's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Subscribers therefore provides another constraint on the cost of the EDS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the EDS Enterprise License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the availability of other methods of delivery for depth-of-book data,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Subscribers.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the proposed rule change, the </w:t>
      </w:r>
      <w:r>
        <w:rPr>
          <w:rFonts w:ascii="arial" w:eastAsia="arial" w:hAnsi="arial" w:cs="arial"/>
          <w:b/>
          <w:i w:val="0"/>
          <w:strike w:val="0"/>
          <w:noProof w:val="0"/>
          <w:color w:val="000000"/>
          <w:position w:val="0"/>
          <w:sz w:val="20"/>
          <w:u w:val="none"/>
          <w:vertAlign w:val="baseline"/>
        </w:rPr>
        <w:t> [*10947] </w:t>
      </w:r>
      <w:r>
        <w:rPr>
          <w:rFonts w:ascii="arial" w:eastAsia="arial" w:hAnsi="arial" w:cs="arial"/>
          <w:b w:val="0"/>
          <w:i w:val="0"/>
          <w:strike w:val="0"/>
          <w:noProof w:val="0"/>
          <w:color w:val="000000"/>
          <w:position w:val="0"/>
          <w:sz w:val="20"/>
          <w:u w:val="none"/>
          <w:vertAlign w:val="baseline"/>
        </w:rPr>
        <w:t xml:space="preserv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SR-NASDAQ-2017-007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SR-NASDAQ-2017-007.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SR-NASDAQ-2017-007, and should be submitted on or before March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2017-03105 Filed 2-15-17;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10944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4SW-K7Y0-006W-82M8-00000-00&amp;context=" TargetMode="External" /><Relationship Id="rId12" Type="http://schemas.openxmlformats.org/officeDocument/2006/relationships/hyperlink" Target="https://advance.lexis.com/api/document?collection=administrative-codes&amp;id=urn:contentItem:55CH-48J0-006W-818X-00000-00&amp;context="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4GH9-4PB0-014W-D1VJ-00000-00&amp;context=" TargetMode="External" /><Relationship Id="rId15" Type="http://schemas.openxmlformats.org/officeDocument/2006/relationships/hyperlink" Target="https://advance.lexis.com/api/document?collection=cases&amp;id=urn:contentItem:803V-DT30-YB0V-T01B-00000-00&amp;context=" TargetMode="External" /><Relationship Id="rId16" Type="http://schemas.openxmlformats.org/officeDocument/2006/relationships/hyperlink" Target="https://advance.lexis.com/api/document?collection=administrative-codes&amp;id=urn:contentItem:4V3T-8BP0-006W-834G-00000-00&amp;context=" TargetMode="External" /><Relationship Id="rId17" Type="http://schemas.openxmlformats.org/officeDocument/2006/relationships/hyperlink" Target="https://advance.lexis.com/api/document?collection=administrative-materials&amp;id=urn:contentItem:5K44-XNM0-000Y-43WY-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WK-M8X0-006W-80XN-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58248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