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11202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033, Tuesday, February 21,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11202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February 21,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English Language Acquisition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 for New Awards; National Professional Development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English Language Acquisition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Professional Development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 (CFDA) Number:</w:t>
      </w:r>
      <w:r>
        <w:rPr>
          <w:rFonts w:ascii="arial" w:eastAsia="arial" w:hAnsi="arial" w:cs="arial"/>
          <w:b w:val="0"/>
          <w:i w:val="0"/>
          <w:strike w:val="0"/>
          <w:noProof w:val="0"/>
          <w:color w:val="000000"/>
          <w:position w:val="0"/>
          <w:sz w:val="20"/>
          <w:u w:val="none"/>
          <w:vertAlign w:val="baseline"/>
        </w:rPr>
        <w:t xml:space="preserve"> 84.365Z.</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February 21,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March 13,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April 24,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June 21, 2017. </w:t>
      </w:r>
      <w:r>
        <w:rPr>
          <w:rFonts w:ascii="arial" w:eastAsia="arial" w:hAnsi="arial" w:cs="arial"/>
          <w:b/>
          <w:i w:val="0"/>
          <w:strike w:val="0"/>
          <w:noProof w:val="0"/>
          <w:color w:val="000000"/>
          <w:position w:val="0"/>
          <w:sz w:val="20"/>
          <w:u w:val="none"/>
          <w:vertAlign w:val="baseline"/>
        </w:rPr>
        <w:t> [*11203]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National Professional Development (NPD) program, authorized by section 3131(c)(1)(C) of the Elementary and Secondary Education Act of 1965 as amended by the Every Student Succeeds Act (hereafter in this notice referred to as the ESEA), awards grants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for a period of not more than five years, to institutions of higher education (IHEs) or public or private entities with relevant experience and capacity, in consortia with State educational agencies (SEAs) or local educational agencies (LEAs). The purpose of these grants is to provide professional development activities that will improve classroom instruction for English learners (ELs) and assist educational personnel working with such children to meet high professional standards, including standards for certification and licensure as teachers who work in language instruction educational programs or serve 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Grants awarded under this program may be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For effective pre-service or inservice professional development programs that will improve the qualifications and skills of educational personnel involved in the education of ELs, including personnel who are not certified or licensed and educational paraprofessionals, and for other activities to increase teacher and school leader effectiveness in meeting the needs of 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For the development of program curricula appropriate to the needs of the consortia participants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To support strategies that strengthen and increase parent, family, and community member engagement in the education of 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 develop, share, and disseminate effective practices in the instruction of ELs and in increasing the student academic achievement of ELs, including the use of technology-based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 conjunction with other Federal need-based student financial assistance programs, for financial assistance, including costs related to tuition, fees, and books for enrolling in courses required to complete the degree involved, to meet certification or licensing requirements for teachers who work in language instruction educational programs or serve ELs;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As appropriate, to support strategies that promote school readiness of ELs and their transition from early childhood education programs, such as Head Start or State-run preschool programs, to elementary school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Educator effectiveness is the most important in-school factor affecting student achievement and success. n1 The NPD program is a Federal grant program that offers professional development specifically for educators of ELs. Through its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the NPD program intends to improve the academic achievement of ELs by supporting pre-service and inservice practices for teachers and other staff, including school leaders, working with 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Calderon, M., Slavin, R., and Sanchez, M. (2011). Effective instruction for English learners. </w:t>
      </w:r>
      <w:r>
        <w:rPr>
          <w:rFonts w:ascii="arial" w:eastAsia="arial" w:hAnsi="arial" w:cs="arial"/>
          <w:b w:val="0"/>
          <w:i/>
          <w:strike w:val="0"/>
          <w:noProof w:val="0"/>
          <w:color w:val="000000"/>
          <w:position w:val="0"/>
          <w:sz w:val="20"/>
          <w:u w:val="none"/>
          <w:vertAlign w:val="baseline"/>
        </w:rPr>
        <w:t>Future of Children,</w:t>
      </w:r>
      <w:r>
        <w:rPr>
          <w:rFonts w:ascii="arial" w:eastAsia="arial" w:hAnsi="arial" w:cs="arial"/>
          <w:b w:val="0"/>
          <w:i w:val="0"/>
          <w:strike w:val="0"/>
          <w:noProof w:val="0"/>
          <w:color w:val="000000"/>
          <w:position w:val="0"/>
          <w:sz w:val="20"/>
          <w:u w:val="none"/>
          <w:vertAlign w:val="baseline"/>
        </w:rPr>
        <w:t xml:space="preserve"> 21(1), 103-127.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previous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the NPD program has funded a range of grantees that are currently implementing 121 projects across the country. As the EL population continues to grow, it has become increasingly important to identify and support practices implemented by educators of ELs that effectively improve student learning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there are limited studies that provide evidence about how to best prepare and support educators of ELs in ways that will ultimately improve student learning and outcomes. The existing studies that the Department has identified typically do not meet the highest standards for rigor, and largely focus on professional development for in-service teachers; few focused on preparation for pre-service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Nonetheless, the body of evidence on effective language, literacy, and content instruction for ELs, including specific instructional practices for English language acquisition, is growing steadily, as documented by the 2014 What Works Clearinghouse (WWC) Practice Guide for teaching ELs, available at: </w:t>
      </w:r>
      <w:hyperlink r:id="rId8" w:history="1">
        <w:r>
          <w:rPr>
            <w:rFonts w:ascii="arial" w:eastAsia="arial" w:hAnsi="arial" w:cs="arial"/>
            <w:b w:val="0"/>
            <w:i/>
            <w:strike w:val="0"/>
            <w:noProof w:val="0"/>
            <w:color w:val="0077CC"/>
            <w:position w:val="0"/>
            <w:sz w:val="20"/>
            <w:u w:val="single"/>
            <w:vertAlign w:val="baseline"/>
          </w:rPr>
          <w:t>http://ies.ed.gov/ncee/wwc/PracticeGuide.aspx?sid=19</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encourage the use of evidence to increase the effectiveness of projects funded by NPD, the Department has included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for projects designed to improve academic outcomes for ELs using strategies supported by moderate evidence of effectiveness (as defined in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order to increase the body of evidence available to inform improved instruction for ELs, we encourage NPD applicants to propose projects that include a rigorous evaluation of proposed activities that, if well-implemented, would meet the WWC Evidence Standards with reservations. We believe that such evaluations will help ensure that projects funded under the NPD program are part of a learning agenda that expands the knowledge base on effective EL practices to ultimately enable all ELs to achieve postsecondary and career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FY 2017 NPD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is particularly interested in supporting projects that improve parental, family, and community engagement. Literature suggests that educators who involve families in their children's education can strengthen their instructional effectiveness with ELs. n2 n3 Providing professional development that enhances educators' abilities to build meaningful relationships with students' families may also support students' learning at home. Accordingly, this notice includes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related to improving parent, family, and community engagement.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Chen, C., Kyle, D.W., and McIntyre, M. (2008). Helping teachers work effectively with English language learners and their families. </w:t>
      </w:r>
      <w:r>
        <w:rPr>
          <w:rFonts w:ascii="arial" w:eastAsia="arial" w:hAnsi="arial" w:cs="arial"/>
          <w:b w:val="0"/>
          <w:i/>
          <w:strike w:val="0"/>
          <w:noProof w:val="0"/>
          <w:color w:val="000000"/>
          <w:position w:val="0"/>
          <w:sz w:val="20"/>
          <w:u w:val="none"/>
          <w:vertAlign w:val="baseline"/>
        </w:rPr>
        <w:t>The School Community Journal,</w:t>
      </w:r>
      <w:r>
        <w:rPr>
          <w:rFonts w:ascii="arial" w:eastAsia="arial" w:hAnsi="arial" w:cs="arial"/>
          <w:b w:val="0"/>
          <w:i w:val="0"/>
          <w:strike w:val="0"/>
          <w:noProof w:val="0"/>
          <w:color w:val="000000"/>
          <w:position w:val="0"/>
          <w:sz w:val="20"/>
          <w:u w:val="none"/>
          <w:vertAlign w:val="baseline"/>
        </w:rPr>
        <w:t xml:space="preserve"> 18 (1), 7-20.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Waterman, R. and Harry, B. (2008). </w:t>
      </w:r>
      <w:r>
        <w:rPr>
          <w:rFonts w:ascii="arial" w:eastAsia="arial" w:hAnsi="arial" w:cs="arial"/>
          <w:b w:val="0"/>
          <w:i/>
          <w:strike w:val="0"/>
          <w:noProof w:val="0"/>
          <w:color w:val="000000"/>
          <w:position w:val="0"/>
          <w:sz w:val="20"/>
          <w:u w:val="none"/>
          <w:vertAlign w:val="baseline"/>
        </w:rPr>
        <w:t>Building Collaboration Between Schools and Parents of English Language Learners: Transcending Barriers, Creating Opportunities.</w:t>
      </w:r>
      <w:r>
        <w:rPr>
          <w:rFonts w:ascii="arial" w:eastAsia="arial" w:hAnsi="arial" w:cs="arial"/>
          <w:b w:val="0"/>
          <w:i w:val="0"/>
          <w:strike w:val="0"/>
          <w:noProof w:val="0"/>
          <w:color w:val="000000"/>
          <w:position w:val="0"/>
          <w:sz w:val="20"/>
          <w:u w:val="none"/>
          <w:vertAlign w:val="baseline"/>
        </w:rPr>
        <w:t xml:space="preserve"> Tempe, AZ: National Center for Culturally Responsive Educational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also interested in supporting dual language acquisition approaches that are effective in developing biliteracy skills. Evidence suggests that students who are biliterate have certain cognitive and social benefits compared to their monolingual peers. Further, recent research n4 suggests that despite initial lags, students in well-implemented dual language programs eventually perform equal to or better than their counterparts in English-only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Valentino, R.A., and Reardon, S.F. (2015). Effectiveness of four instructional programs designed to serve English language learners: Variation by ethnicity and initial English proficiency. Educational Evaluation and Policy Analysis, doi: 10.3102/0162373715573310.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recognize that linguistic and cultural diversity is an asset, and that dual language approaches may also enhance the preservation of heritage languages and cultures. These approaches may be particularly impactful for diverse populations of ELs, such as immigrant children and youth and Native American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are interested in the development of the early learning workforce. In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encourage pre-service preparation for early learning educators so that they can successfully support ELs. Because the foundational knowledge of developmental learning and language </w:t>
      </w:r>
      <w:r>
        <w:rPr>
          <w:rFonts w:ascii="arial" w:eastAsia="arial" w:hAnsi="arial" w:cs="arial"/>
          <w:b/>
          <w:i w:val="0"/>
          <w:strike w:val="0"/>
          <w:noProof w:val="0"/>
          <w:color w:val="000000"/>
          <w:position w:val="0"/>
          <w:sz w:val="20"/>
          <w:u w:val="none"/>
          <w:vertAlign w:val="baseline"/>
        </w:rPr>
        <w:t> [*11204] </w:t>
      </w:r>
      <w:r>
        <w:rPr>
          <w:rFonts w:ascii="arial" w:eastAsia="arial" w:hAnsi="arial" w:cs="arial"/>
          <w:b w:val="0"/>
          <w:i w:val="0"/>
          <w:strike w:val="0"/>
          <w:noProof w:val="0"/>
          <w:color w:val="000000"/>
          <w:position w:val="0"/>
          <w:sz w:val="20"/>
          <w:u w:val="none"/>
          <w:vertAlign w:val="baseline"/>
        </w:rPr>
        <w:t xml:space="preserve"> acquisition skills applies across all levels of teaching ELs, including at the secondary level, we also encourage projects that will include this knowledge building for educators at all levels.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includes one absolute priority, two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and two invitational priorities. The absolute priority is from section 3131 of the ESEA (</w:t>
      </w:r>
      <w:hyperlink r:id="rId9" w:history="1">
        <w:r>
          <w:rPr>
            <w:rFonts w:ascii="arial" w:eastAsia="arial" w:hAnsi="arial" w:cs="arial"/>
            <w:b w:val="0"/>
            <w:i/>
            <w:strike w:val="0"/>
            <w:noProof w:val="0"/>
            <w:color w:val="0077CC"/>
            <w:position w:val="0"/>
            <w:sz w:val="20"/>
            <w:u w:val="single"/>
            <w:vertAlign w:val="baseline"/>
          </w:rPr>
          <w:t>20 U.S.C. 6861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is from </w:t>
      </w:r>
      <w:hyperlink r:id="rId10" w:history="1">
        <w:r>
          <w:rPr>
            <w:rFonts w:ascii="arial" w:eastAsia="arial" w:hAnsi="arial" w:cs="arial"/>
            <w:b w:val="0"/>
            <w:i/>
            <w:strike w:val="0"/>
            <w:noProof w:val="0"/>
            <w:color w:val="0077CC"/>
            <w:position w:val="0"/>
            <w:sz w:val="20"/>
            <w:u w:val="single"/>
            <w:vertAlign w:val="baseline"/>
          </w:rPr>
          <w:t>34 CFR 75.226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is from the Department's notice of final supplemental priorities and definitions (Supplemental Priorities),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11" w:history="1">
        <w:r>
          <w:rPr>
            <w:rFonts w:ascii="arial" w:eastAsia="arial" w:hAnsi="arial" w:cs="arial"/>
            <w:b w:val="0"/>
            <w:i/>
            <w:strike w:val="0"/>
            <w:noProof w:val="0"/>
            <w:color w:val="0077CC"/>
            <w:position w:val="0"/>
            <w:sz w:val="20"/>
            <w:u w:val="single"/>
            <w:vertAlign w:val="baseline"/>
          </w:rPr>
          <w:t>(79 FR 73425).</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absolute priority. Under </w:t>
      </w:r>
      <w:hyperlink r:id="rId12"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xml:space="preserve">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Providing Professional Development to Improve Instruction for English Learners.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we provide funding to projects that provide professional development activities that will improve classroom instruction for ELs and assist educational personnel working with ELs to meet high professional standards, including standards for certification and licensure as teachers who work in language instruction educational programs or serve ELs.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w:t>
      </w:r>
      <w:hyperlink r:id="rId12"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xml:space="preserve">, we award an additional five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and we award up to an additional five points to an application depending on how well the application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An application may be awarded up to a maximum of 10 additional points under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Applicants may address none, one, or both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 applicant must clearly identify in the project abstract and the project narrative section of its application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or priorities it wishes the Department to consider for purposes of earning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1--Moderate Evidence of Effectiveness (0 or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supported by moderate evidence of effectiveness (as defined in this notice).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2--Improving Parent, Family, and Community Engagement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designed to improve student outcomes through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Developing and implementing systemic initiatives (as defined in this notice) to improve parent and family engagement (as defined in this notice) by expanding and enhancing the skills, strategies, and knowledge (including techniques or use of technological tools needed to effectively communicate, advocate, support, and make informed decisions about the student's education) of parents and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Providing professional development that enhances the skills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of school or program leaders, principals, teachers, practitioners, or other administrative and support staff to build meaningful relationships with students' parents or families through systemic initiatives (as defined in this notice) that may also support students' learning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Implementing initiatives that improve community engagement (as defined in this notice), the relationships between parents or families and school or program staff by cultivating sustained partnerships (as defined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Priorities:</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invitational priorities. Under </w:t>
      </w:r>
      <w:hyperlink r:id="rId12" w:history="1">
        <w:r>
          <w:rPr>
            <w:rFonts w:ascii="arial" w:eastAsia="arial" w:hAnsi="arial" w:cs="arial"/>
            <w:b w:val="0"/>
            <w:i/>
            <w:strike w:val="0"/>
            <w:noProof w:val="0"/>
            <w:color w:val="0077CC"/>
            <w:position w:val="0"/>
            <w:sz w:val="20"/>
            <w:u w:val="single"/>
            <w:vertAlign w:val="baseline"/>
          </w:rPr>
          <w:t>34 CFR 75.105(c)(1)</w:t>
        </w:r>
      </w:hyperlink>
      <w:r>
        <w:rPr>
          <w:rFonts w:ascii="arial" w:eastAsia="arial" w:hAnsi="arial" w:cs="arial"/>
          <w:b w:val="0"/>
          <w:i w:val="0"/>
          <w:strike w:val="0"/>
          <w:noProof w:val="0"/>
          <w:color w:val="000000"/>
          <w:position w:val="0"/>
          <w:sz w:val="20"/>
          <w:u w:val="none"/>
          <w:vertAlign w:val="baseline"/>
        </w:rPr>
        <w:t xml:space="preserve"> we do not give an application that meets these invitational priorities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absolute preference over other applications.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 1--Dual Language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encourage applicants to propose projects to improve educator preparation and professional learning for dual language implementation models to support effective instruction for ELs. In particular, we encourage such approaches to take into account the unique needs of recently arrived limited English proficient students, immigrant children and youth, and Native American students, who are members of Federally recognized Indian tribes.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 2--Supporting the Early Learning Workforce to Serve ELs and Apply the Same Developmental Learning Content to All Levels of Teacher Preparation.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encourage applicants to propose projects that improve the quality and effectiveness of the early learning workforce, including administrators, so that they have the necessary knowledge, skills, and abilities to improve ELs' cognitive, health, social-emotional, and dual language development. Early learning programs are designed to improve early learning and development outcomes across one or more of the essential domains of school readiness (as defined in this notice) for children from birth through third grade (or for any age group within this range). Further, we encourage applicants to include in such projects these foundational professional learning domains for educators at all levels of teaching, including secondary preparation.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following definitions are from </w:t>
      </w:r>
      <w:hyperlink r:id="rId13"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34 CFR 200.6</w:t>
        </w:r>
      </w:hyperlink>
      <w:r>
        <w:rPr>
          <w:rFonts w:ascii="arial" w:eastAsia="arial" w:hAnsi="arial" w:cs="arial"/>
          <w:b w:val="0"/>
          <w:i w:val="0"/>
          <w:strike w:val="0"/>
          <w:noProof w:val="0"/>
          <w:color w:val="000000"/>
          <w:position w:val="0"/>
          <w:sz w:val="20"/>
          <w:u w:val="none"/>
          <w:vertAlign w:val="baseline"/>
        </w:rPr>
        <w:t>, the Supplemental Priorities, sections 3201 and 8101 of the ESEA (</w:t>
      </w:r>
      <w:hyperlink r:id="rId15" w:history="1">
        <w:r>
          <w:rPr>
            <w:rFonts w:ascii="arial" w:eastAsia="arial" w:hAnsi="arial" w:cs="arial"/>
            <w:b w:val="0"/>
            <w:i/>
            <w:strike w:val="0"/>
            <w:noProof w:val="0"/>
            <w:color w:val="0077CC"/>
            <w:position w:val="0"/>
            <w:sz w:val="20"/>
            <w:u w:val="single"/>
            <w:vertAlign w:val="baseline"/>
          </w:rPr>
          <w:t>20 U.S.C. 7011</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7801</w:t>
        </w:r>
      </w:hyperlink>
      <w:r>
        <w:rPr>
          <w:rFonts w:ascii="arial" w:eastAsia="arial" w:hAnsi="arial" w:cs="arial"/>
          <w:b w:val="0"/>
          <w:i w:val="0"/>
          <w:strike w:val="0"/>
          <w:noProof w:val="0"/>
          <w:color w:val="000000"/>
          <w:position w:val="0"/>
          <w:sz w:val="20"/>
          <w:u w:val="none"/>
          <w:vertAlign w:val="baseline"/>
        </w:rPr>
        <w:t>), and section 101(a) of the Higher Education Act of 1965 (HEA) (</w:t>
      </w:r>
      <w:hyperlink r:id="rId17" w:history="1">
        <w:r>
          <w:rPr>
            <w:rFonts w:ascii="arial" w:eastAsia="arial" w:hAnsi="arial" w:cs="arial"/>
            <w:b w:val="0"/>
            <w:i/>
            <w:strike w:val="0"/>
            <w:noProof w:val="0"/>
            <w:color w:val="0077CC"/>
            <w:position w:val="0"/>
            <w:sz w:val="20"/>
            <w:u w:val="single"/>
            <w:vertAlign w:val="baseline"/>
          </w:rPr>
          <w:t>20 U.S.C. 1001</w:t>
        </w:r>
      </w:hyperlink>
      <w:r>
        <w:rPr>
          <w:rFonts w:ascii="arial" w:eastAsia="arial" w:hAnsi="arial" w:cs="arial"/>
          <w:b w:val="0"/>
          <w:i w:val="0"/>
          <w:strike w:val="0"/>
          <w:noProof w:val="0"/>
          <w:color w:val="000000"/>
          <w:position w:val="0"/>
          <w:sz w:val="20"/>
          <w:u w:val="none"/>
          <w:vertAlign w:val="baseline"/>
        </w:rPr>
        <w:t>), and apply to the priorities and selection criteria in this notice. The source of each definition is noted in parentheses following the text of the definition.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Ambitious</w:t>
      </w:r>
      <w:r>
        <w:rPr>
          <w:rFonts w:ascii="arial" w:eastAsia="arial" w:hAnsi="arial" w:cs="arial"/>
          <w:b w:val="0"/>
          <w:i w:val="0"/>
          <w:strike w:val="0"/>
          <w:noProof w:val="0"/>
          <w:color w:val="000000"/>
          <w:position w:val="0"/>
          <w:sz w:val="20"/>
          <w:u w:val="none"/>
          <w:vertAlign w:val="baseline"/>
        </w:rPr>
        <w:t xml:space="preserve"> means promoting continued, meaningful improvement for program participants or for other individuals or entities affected by the grant, or representing a significant advancement in the field of education research, practices, or methodologies. When used to describe a performance target, whether a performance target is ambitious depends upon the context of the relevant performance measure and the baseline for that measure. (</w:t>
      </w:r>
      <w:hyperlink r:id="rId13"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Baseline</w:t>
      </w:r>
      <w:r>
        <w:rPr>
          <w:rFonts w:ascii="arial" w:eastAsia="arial" w:hAnsi="arial" w:cs="arial"/>
          <w:b w:val="0"/>
          <w:i w:val="0"/>
          <w:strike w:val="0"/>
          <w:noProof w:val="0"/>
          <w:color w:val="000000"/>
          <w:position w:val="0"/>
          <w:sz w:val="20"/>
          <w:u w:val="none"/>
          <w:vertAlign w:val="baseline"/>
        </w:rPr>
        <w:t xml:space="preserve"> means the starting point from which performance is measured and targets are set. (</w:t>
      </w:r>
      <w:hyperlink r:id="rId13"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Community engagement</w:t>
      </w:r>
      <w:r>
        <w:rPr>
          <w:rFonts w:ascii="arial" w:eastAsia="arial" w:hAnsi="arial" w:cs="arial"/>
          <w:b w:val="0"/>
          <w:i w:val="0"/>
          <w:strike w:val="0"/>
          <w:noProof w:val="0"/>
          <w:color w:val="000000"/>
          <w:position w:val="0"/>
          <w:sz w:val="20"/>
          <w:u w:val="none"/>
          <w:vertAlign w:val="baseline"/>
        </w:rPr>
        <w:t xml:space="preserve"> means the systematic inclusion of community organizations as partners with State educational agencies, local educational agencies, or other educational institutions, or their school or program staff to accomplish activities that may include developing a shared community vision, establishing a shared accountability agreement, participating in shared data-collection and analysis, or establishing community networks that are focused on shared community-level outcomes. These organizations may include faith- and community-based organizations, institutions of higher education (including minority-serving institutions eligible to receive aid under Title III or Title V of the </w:t>
      </w:r>
      <w:r>
        <w:rPr>
          <w:rFonts w:ascii="arial" w:eastAsia="arial" w:hAnsi="arial" w:cs="arial"/>
          <w:b/>
          <w:i w:val="0"/>
          <w:strike w:val="0"/>
          <w:noProof w:val="0"/>
          <w:color w:val="000000"/>
          <w:position w:val="0"/>
          <w:sz w:val="20"/>
          <w:u w:val="none"/>
          <w:vertAlign w:val="baseline"/>
        </w:rPr>
        <w:t> [*11205] </w:t>
      </w:r>
      <w:r>
        <w:rPr>
          <w:rFonts w:ascii="arial" w:eastAsia="arial" w:hAnsi="arial" w:cs="arial"/>
          <w:b w:val="0"/>
          <w:i w:val="0"/>
          <w:strike w:val="0"/>
          <w:noProof w:val="0"/>
          <w:color w:val="000000"/>
          <w:position w:val="0"/>
          <w:sz w:val="20"/>
          <w:u w:val="none"/>
          <w:vertAlign w:val="baseline"/>
        </w:rPr>
        <w:t xml:space="preserve"> Higher Education Act of 1965), businesses and industries, labor organizations, State and local government entities, or Federal entities other than the Department. (Supplemental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English learner</w:t>
      </w:r>
      <w:r>
        <w:rPr>
          <w:rFonts w:ascii="arial" w:eastAsia="arial" w:hAnsi="arial" w:cs="arial"/>
          <w:b w:val="0"/>
          <w:i w:val="0"/>
          <w:strike w:val="0"/>
          <w:noProof w:val="0"/>
          <w:color w:val="000000"/>
          <w:position w:val="0"/>
          <w:sz w:val="20"/>
          <w:u w:val="none"/>
          <w:vertAlign w:val="baseline"/>
        </w:rPr>
        <w:t xml:space="preserve"> means an individual who is limited English proficient (LEP), which, by statute, means an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Who is aged 3 through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Who is enrolled or preparing to enroll in an elementary school or secondary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 Who was not born in the United States or whose native language is a language other than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Who is a Native American or Alaska Native, or a Native resident of the outlying areas;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Who comes from an environment where a language other than English has had a significant impact on the individual's level of English language proficiency;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Who is migratory, whose native language is a language other than English, and who comes from an environment where a language other than English is dominant;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Whose difficulties in speaking, reading, writing, or understanding the English language may be sufficient to deny the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ability to meet challenging State academic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ability to successfully achieve in classrooms where the language of instruction is English;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opportunity to participate fully in society. (Section 8101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Essential domains of school readiness</w:t>
      </w:r>
      <w:r>
        <w:rPr>
          <w:rFonts w:ascii="arial" w:eastAsia="arial" w:hAnsi="arial" w:cs="arial"/>
          <w:b w:val="0"/>
          <w:i w:val="0"/>
          <w:strike w:val="0"/>
          <w:noProof w:val="0"/>
          <w:color w:val="000000"/>
          <w:position w:val="0"/>
          <w:sz w:val="20"/>
          <w:u w:val="none"/>
          <w:vertAlign w:val="baseline"/>
        </w:rPr>
        <w:t xml:space="preserve"> means the domains of language and literacy development, cognition and general knowledge (including early mathematics and early scientific development), approaches toward learning (including the utilization of the arts), physical well-being and motor development (including adaptive skills), and social and emotional development. (Supplemental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Immigrant children and youth</w:t>
      </w:r>
      <w:r>
        <w:rPr>
          <w:rFonts w:ascii="arial" w:eastAsia="arial" w:hAnsi="arial" w:cs="arial"/>
          <w:b w:val="0"/>
          <w:i w:val="0"/>
          <w:strike w:val="0"/>
          <w:noProof w:val="0"/>
          <w:color w:val="000000"/>
          <w:position w:val="0"/>
          <w:sz w:val="20"/>
          <w:u w:val="none"/>
          <w:vertAlign w:val="baseline"/>
        </w:rPr>
        <w:t xml:space="preserve"> means individuals who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Are aged 3 through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Were not born in any State;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Have not been attending one or more schools in any one or more States for more than 3 full academic years. (Section 3201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Institution of higher education</w:t>
      </w:r>
      <w:r>
        <w:rPr>
          <w:rFonts w:ascii="arial" w:eastAsia="arial" w:hAnsi="arial" w:cs="arial"/>
          <w:b w:val="0"/>
          <w:i w:val="0"/>
          <w:strike w:val="0"/>
          <w:noProof w:val="0"/>
          <w:color w:val="000000"/>
          <w:position w:val="0"/>
          <w:sz w:val="20"/>
          <w:u w:val="none"/>
          <w:vertAlign w:val="baseline"/>
        </w:rPr>
        <w:t xml:space="preserve"> has the meaning given that term in Section 101(a) of the Higher Education Act of 1965.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Language instruction educational program</w:t>
      </w:r>
      <w:r>
        <w:rPr>
          <w:rFonts w:ascii="arial" w:eastAsia="arial" w:hAnsi="arial" w:cs="arial"/>
          <w:b w:val="0"/>
          <w:i w:val="0"/>
          <w:strike w:val="0"/>
          <w:noProof w:val="0"/>
          <w:color w:val="000000"/>
          <w:position w:val="0"/>
          <w:sz w:val="20"/>
          <w:u w:val="none"/>
          <w:vertAlign w:val="baseline"/>
        </w:rPr>
        <w:t xml:space="preserve"> means an instruction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 which an English learner is placed for the purpose of developing and attaining English proficiency, while meeting challenging State academic standards;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That may make instructional use of both English and a child's native language to enable the child to develop and attain English proficiency, and may include the participation of English proficient children if such course is designed to enable all participating children to become proficient in English and a second language. (Section 3201 of the ESEA)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Large sample</w:t>
      </w:r>
      <w:r>
        <w:rPr>
          <w:rFonts w:ascii="arial" w:eastAsia="arial" w:hAnsi="arial" w:cs="arial"/>
          <w:b w:val="0"/>
          <w:i w:val="0"/>
          <w:strike w:val="0"/>
          <w:noProof w:val="0"/>
          <w:color w:val="000000"/>
          <w:position w:val="0"/>
          <w:sz w:val="20"/>
          <w:u w:val="none"/>
          <w:vertAlign w:val="baseline"/>
        </w:rPr>
        <w:t xml:space="preserve"> means an analytic sample of 350 or more students (or other single analysis units), or 50 or more groups (such as classrooms or schools) that contain 10 or more students (or other single analysis units). (</w:t>
      </w:r>
      <w:hyperlink r:id="rId13"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relationships among the key components and outcomes, theoretically and operationally. (</w:t>
      </w:r>
      <w:hyperlink r:id="rId13"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Moderate evidence of effectiveness</w:t>
      </w:r>
      <w:r>
        <w:rPr>
          <w:rFonts w:ascii="arial" w:eastAsia="arial" w:hAnsi="arial" w:cs="arial"/>
          <w:b w:val="0"/>
          <w:i w:val="0"/>
          <w:strike w:val="0"/>
          <w:noProof w:val="0"/>
          <w:color w:val="000000"/>
          <w:position w:val="0"/>
          <w:sz w:val="20"/>
          <w:u w:val="none"/>
          <w:vertAlign w:val="baseline"/>
        </w:rPr>
        <w:t xml:space="preserve"> means one of the following conditions is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There is at least one study of the effectiveness of the process, product, strategy, or practice being proposed that meets the What Works Clearinghouse Evidence Standards without reservations, found a statistically significant favorable impact on a relevant outcome (with no statistically significant and overriding unfavorable impacts on that outcome for relevant populations in the study or in other studies of the intervention reviewed by and reported on by the What Works Clearinghouse), and includes a sample that overlaps with the populations or settings proposed to receive the process, product, strategy, or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There is at least one study of the effectiveness of the process, product, strategy, or practice being proposed that meets the What Works Clearinghouse Evidence Standards with reservations, found a statistically significant favorable impact on a relevant outcome (with no statistically significant and overriding unfavorable impacts on that outcome for relevant populations in the study or in other studies of the intervention reviewed by and reported on by the What Works Clearinghouse), includes a sample that overlaps with the populations or settings proposed to receive the process, product, strategy, or practice, and includes a large sample and a multi-site sample. (</w:t>
      </w:r>
      <w:hyperlink r:id="rId13"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Multiple studies can cumulatively meet the large and multi-site sample requirements as long as each study meets the other requirements in this paragraph.</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Multi-site sample</w:t>
      </w:r>
      <w:r>
        <w:rPr>
          <w:rFonts w:ascii="arial" w:eastAsia="arial" w:hAnsi="arial" w:cs="arial"/>
          <w:b w:val="0"/>
          <w:i w:val="0"/>
          <w:strike w:val="0"/>
          <w:noProof w:val="0"/>
          <w:color w:val="000000"/>
          <w:position w:val="0"/>
          <w:sz w:val="20"/>
          <w:u w:val="none"/>
          <w:vertAlign w:val="baseline"/>
        </w:rPr>
        <w:t xml:space="preserve"> means more than one site, where site can be defined as an LEA, locality, or State. (</w:t>
      </w:r>
      <w:hyperlink r:id="rId13"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Parent and family engagement</w:t>
      </w:r>
      <w:r>
        <w:rPr>
          <w:rFonts w:ascii="arial" w:eastAsia="arial" w:hAnsi="arial" w:cs="arial"/>
          <w:b w:val="0"/>
          <w:i w:val="0"/>
          <w:strike w:val="0"/>
          <w:noProof w:val="0"/>
          <w:color w:val="000000"/>
          <w:position w:val="0"/>
          <w:sz w:val="20"/>
          <w:u w:val="none"/>
          <w:vertAlign w:val="baseline"/>
        </w:rPr>
        <w:t xml:space="preserve"> means the systematic inclusion of parents and families, working in partnership with SEAs, State lead agencies (under Part C of the Individuals with Disabilities Education Act (IDEA) or the State's Race to the Top-Early Learning Challenge grant), LEAs, or other educational institutions, or their staff, in their child's education, which may include strengthening the ability of (A) parents and families to support their child's education; and (B) school or program staff to work with parents and families. (Supplemental Priorities)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Recently arrived limited English proficient student</w:t>
      </w:r>
      <w:r>
        <w:rPr>
          <w:rFonts w:ascii="arial" w:eastAsia="arial" w:hAnsi="arial" w:cs="arial"/>
          <w:b w:val="0"/>
          <w:i w:val="0"/>
          <w:strike w:val="0"/>
          <w:noProof w:val="0"/>
          <w:color w:val="000000"/>
          <w:position w:val="0"/>
          <w:sz w:val="20"/>
          <w:u w:val="none"/>
          <w:vertAlign w:val="baseline"/>
        </w:rPr>
        <w:t xml:space="preserve"> is a student with limited English proficiency who has attended schools in the United States for less than twelve months. The phrase "schools in the United States" includes only schools in the 50 States and the District of Columbia. (</w:t>
      </w:r>
      <w:hyperlink r:id="rId14" w:history="1">
        <w:r>
          <w:rPr>
            <w:rFonts w:ascii="arial" w:eastAsia="arial" w:hAnsi="arial" w:cs="arial"/>
            <w:b w:val="0"/>
            <w:i/>
            <w:strike w:val="0"/>
            <w:noProof w:val="0"/>
            <w:color w:val="0077CC"/>
            <w:position w:val="0"/>
            <w:sz w:val="20"/>
            <w:u w:val="single"/>
            <w:vertAlign w:val="baseline"/>
          </w:rPr>
          <w:t>34 CFR 200.6(b)(4)(iv)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process, product, strategy, or practice is designed to improve; consistent with the specific goals of a program. (</w:t>
      </w:r>
      <w:hyperlink r:id="rId13"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 (as defined in this notice). (</w:t>
      </w:r>
      <w:hyperlink r:id="rId13"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may use resources such as the Pacific Education Laboratory's Education Logic Model Application (</w:t>
      </w:r>
      <w:hyperlink r:id="rId18" w:history="1">
        <w:r>
          <w:rPr>
            <w:rFonts w:ascii="arial" w:eastAsia="arial" w:hAnsi="arial" w:cs="arial"/>
            <w:b w:val="0"/>
            <w:i/>
            <w:strike w:val="0"/>
            <w:noProof w:val="0"/>
            <w:color w:val="0077CC"/>
            <w:position w:val="0"/>
            <w:sz w:val="20"/>
            <w:u w:val="single"/>
            <w:vertAlign w:val="baseline"/>
          </w:rPr>
          <w:t>http://relpacific.mcrel.org/resources/elm-app</w:t>
        </w:r>
      </w:hyperlink>
      <w:r>
        <w:rPr>
          <w:rFonts w:ascii="arial" w:eastAsia="arial" w:hAnsi="arial" w:cs="arial"/>
          <w:b w:val="0"/>
          <w:i w:val="0"/>
          <w:strike w:val="0"/>
          <w:noProof w:val="0"/>
          <w:color w:val="000000"/>
          <w:position w:val="0"/>
          <w:sz w:val="20"/>
          <w:u w:val="none"/>
          <w:vertAlign w:val="baseline"/>
        </w:rPr>
        <w:t>) to help design their logic models.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Student achievement</w:t>
      </w:r>
      <w:r>
        <w:rPr>
          <w:rFonts w:ascii="arial" w:eastAsia="arial" w:hAnsi="arial" w:cs="arial"/>
          <w:b w:val="0"/>
          <w:i w:val="0"/>
          <w:strike w:val="0"/>
          <w:noProof w:val="0"/>
          <w:color w:val="000000"/>
          <w:position w:val="0"/>
          <w:sz w:val="20"/>
          <w:u w:val="none"/>
          <w:vertAlign w:val="baseline"/>
        </w:rPr>
        <w:t xml:space="preserve"> means--For grades and subjects in which assessments are required under section 1111(b)(3) of the ESEA: (1) A student's score on such assessments; and, as appropriate (2) other measures of student learning, such as those described in the subsequent paragraph, provided that they are rigorous and comparable across schools within an 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grades and subjects in which assessments are not required under section 1111(b)(3) of the ESEA: (1) Alternative measures of student learning and performance, such as student results on pre-tests, end-of-course tests, and objective performance-based assessments; (2) student learning objectives; (3) student performance on </w:t>
      </w:r>
      <w:r>
        <w:rPr>
          <w:rFonts w:ascii="arial" w:eastAsia="arial" w:hAnsi="arial" w:cs="arial"/>
          <w:b/>
          <w:i w:val="0"/>
          <w:strike w:val="0"/>
          <w:noProof w:val="0"/>
          <w:color w:val="000000"/>
          <w:position w:val="0"/>
          <w:sz w:val="20"/>
          <w:u w:val="none"/>
          <w:vertAlign w:val="baseline"/>
        </w:rPr>
        <w:t> [*11206] </w:t>
      </w:r>
      <w:r>
        <w:rPr>
          <w:rFonts w:ascii="arial" w:eastAsia="arial" w:hAnsi="arial" w:cs="arial"/>
          <w:b w:val="0"/>
          <w:i w:val="0"/>
          <w:strike w:val="0"/>
          <w:noProof w:val="0"/>
          <w:color w:val="000000"/>
          <w:position w:val="0"/>
          <w:sz w:val="20"/>
          <w:u w:val="none"/>
          <w:vertAlign w:val="baseline"/>
        </w:rPr>
        <w:t xml:space="preserve"> English language proficiency assessments; and (4) other measures of student achievement that are rigorous and comparable across schools within an LEA (Supplemental Priorities). </w:t>
      </w: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ESEA's provisions on required academic assessment are, as a result of the ESEA's amendment by the Every Student Succeeds Act, found at section 1111(b)(2) rather than 1111(b)(3).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Sustained partnership</w:t>
      </w:r>
      <w:r>
        <w:rPr>
          <w:rFonts w:ascii="arial" w:eastAsia="arial" w:hAnsi="arial" w:cs="arial"/>
          <w:b w:val="0"/>
          <w:i w:val="0"/>
          <w:strike w:val="0"/>
          <w:noProof w:val="0"/>
          <w:color w:val="000000"/>
          <w:position w:val="0"/>
          <w:sz w:val="20"/>
          <w:u w:val="none"/>
          <w:vertAlign w:val="baseline"/>
        </w:rPr>
        <w:t xml:space="preserve"> means a relationship that has demonstrably adequate resources and other support to continue beyond the funding period and that consist of community organizations as partners with an LEA and one or more of its schools. These organizations may include faith- and community-based organizations, IHEs (including minority-serving institutions eligible to receive aid under title III or title V of the Higher Education Act of 1965), businesses and industries, labor organizations, State and local government entities, or Federal entities other than the Department. (Supplemental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Systemic initiative</w:t>
      </w:r>
      <w:r>
        <w:rPr>
          <w:rFonts w:ascii="arial" w:eastAsia="arial" w:hAnsi="arial" w:cs="arial"/>
          <w:b w:val="0"/>
          <w:i w:val="0"/>
          <w:strike w:val="0"/>
          <w:noProof w:val="0"/>
          <w:color w:val="000000"/>
          <w:position w:val="0"/>
          <w:sz w:val="20"/>
          <w:u w:val="none"/>
          <w:vertAlign w:val="baseline"/>
        </w:rPr>
        <w:t xml:space="preserve"> means a policy, program, or activity that includes parent and family engagement as a core component and is designed to meet critical educational goals, such as school readiness, student achievement, and school turnaround. (Supplemental Priorities)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Evidence Standards</w:t>
      </w:r>
      <w:r>
        <w:rPr>
          <w:rFonts w:ascii="arial" w:eastAsia="arial" w:hAnsi="arial" w:cs="arial"/>
          <w:b w:val="0"/>
          <w:i w:val="0"/>
          <w:strike w:val="0"/>
          <w:noProof w:val="0"/>
          <w:color w:val="000000"/>
          <w:position w:val="0"/>
          <w:sz w:val="20"/>
          <w:u w:val="none"/>
          <w:vertAlign w:val="baseline"/>
        </w:rPr>
        <w:t xml:space="preserve"> means the standards set forth in the What Works Clearinghouse Procedures and Standards Handbook (Version 3.0, March 2014), which can be found at the following link: </w:t>
      </w:r>
      <w:hyperlink r:id="rId19" w:history="1">
        <w:r>
          <w:rPr>
            <w:rFonts w:ascii="arial" w:eastAsia="arial" w:hAnsi="arial" w:cs="arial"/>
            <w:b w:val="0"/>
            <w:i/>
            <w:strike w:val="0"/>
            <w:noProof w:val="0"/>
            <w:color w:val="0077CC"/>
            <w:position w:val="0"/>
            <w:sz w:val="20"/>
            <w:u w:val="single"/>
            <w:vertAlign w:val="baseline"/>
          </w:rPr>
          <w:t>http://ies.ed.gov/ncee/wwc/DocumentSum.aspx?sid=19</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20 U.S.C. 6861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 (d) The Supplemental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IHEs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The Further Continuing and Security Assistance Appropriations Act, 2017, would provide, on an annualized basis, $ 735,998,203, of which we intend to use an estimated $ 20,000,000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actual level of funding, if any, depends on final congressional action. However, we are inviting applications to allow enough time to complete the grant process if Congress appropriated funds for this program. Contingent upon the availability of funds and the quality of applications, we may make additional awards in FY 2018 or later years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$ 350,000-550,000.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$ 450,000.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$ 550,000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44.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Entities eligible to apply for NPD grants are IHEs, or public or private entities with relevant experience and capacity, in consortia with LEAs or 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20"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21"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22"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If you request an application package from ED Pubs, be sure to identify this program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as follows:</w:t>
      </w:r>
      <w:r>
        <w:rPr>
          <w:rFonts w:ascii="arial" w:eastAsia="arial" w:hAnsi="arial" w:cs="arial"/>
          <w:b w:val="0"/>
          <w:i w:val="0"/>
          <w:strike w:val="0"/>
          <w:noProof w:val="0"/>
          <w:color w:val="000000"/>
          <w:position w:val="0"/>
          <w:sz w:val="20"/>
          <w:u w:val="none"/>
          <w:vertAlign w:val="baseline"/>
        </w:rPr>
        <w:t xml:space="preserve"> CFDA 84.365Z.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Notice of Intent to Apply:</w:t>
      </w:r>
      <w:r>
        <w:rPr>
          <w:rFonts w:ascii="arial" w:eastAsia="arial" w:hAnsi="arial" w:cs="arial"/>
          <w:b w:val="0"/>
          <w:i w:val="0"/>
          <w:strike w:val="0"/>
          <w:noProof w:val="0"/>
          <w:color w:val="000000"/>
          <w:position w:val="0"/>
          <w:sz w:val="20"/>
          <w:u w:val="none"/>
          <w:vertAlign w:val="baseline"/>
        </w:rPr>
        <w:t xml:space="preserve"> March 13,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be able to develop a more efficient process for reviewing grant applications if we know the approximate number of applicants that intend to apply for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Therefore, the Secretary strongly encourages each potential applicant to notify us of the applicant's intent to submit an application by emailing </w:t>
      </w:r>
      <w:hyperlink r:id="rId23" w:history="1">
        <w:r>
          <w:rPr>
            <w:rFonts w:ascii="arial" w:eastAsia="arial" w:hAnsi="arial" w:cs="arial"/>
            <w:b w:val="0"/>
            <w:i/>
            <w:strike w:val="0"/>
            <w:noProof w:val="0"/>
            <w:color w:val="0077CC"/>
            <w:position w:val="0"/>
            <w:sz w:val="20"/>
            <w:u w:val="single"/>
            <w:vertAlign w:val="baseline"/>
          </w:rPr>
          <w:t>NPD2017@ed.gov</w:t>
        </w:r>
      </w:hyperlink>
      <w:r>
        <w:rPr>
          <w:rFonts w:ascii="arial" w:eastAsia="arial" w:hAnsi="arial" w:cs="arial"/>
          <w:b w:val="0"/>
          <w:i w:val="0"/>
          <w:strike w:val="0"/>
          <w:noProof w:val="0"/>
          <w:color w:val="000000"/>
          <w:position w:val="0"/>
          <w:sz w:val="20"/>
          <w:u w:val="none"/>
          <w:vertAlign w:val="baseline"/>
        </w:rPr>
        <w:t xml:space="preserve"> with the subject line "Intent to Apply" and include in the content of the email the following information: (1) The applicant organization's name and address, and (2)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or priorities and invitational priority or priorities the applicant is addressing in the application. Applicants that do not provide notice of their intent to apply may still submit an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that reviewers use to evaluate your application. We recommend that you limit the application narrative to no more than 35 pages. Applicants are also strongly encouraged not to include lengthy appendices that contain information that they were unable to include within the page limits for the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must use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Use one of the following fonts:</w:t>
      </w:r>
      <w:r>
        <w:rPr>
          <w:rFonts w:ascii="arial" w:eastAsia="arial" w:hAnsi="arial" w:cs="arial"/>
          <w:b w:val="0"/>
          <w:i w:val="0"/>
          <w:strike w:val="0"/>
          <w:noProof w:val="0"/>
          <w:color w:val="000000"/>
          <w:position w:val="0"/>
          <w:sz w:val="20"/>
          <w:u w:val="none"/>
          <w:vertAlign w:val="baseline"/>
        </w:rPr>
        <w:t xml:space="preserve">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page limit for the application does not apply to Part I, the cover sheet; Part II, the budget section, including the narrative budget justification; Part IV, the assurances and certifications; or the one-page abstract, the bibliography, or the letters of support of the application. However, the page limit does apply to all of the application narrative section [Part III] of the application. </w:t>
      </w:r>
      <w:r>
        <w:rPr>
          <w:rFonts w:ascii="arial" w:eastAsia="arial" w:hAnsi="arial" w:cs="arial"/>
          <w:b/>
          <w:i w:val="0"/>
          <w:strike w:val="0"/>
          <w:noProof w:val="0"/>
          <w:color w:val="000000"/>
          <w:position w:val="0"/>
          <w:sz w:val="20"/>
          <w:u w:val="none"/>
          <w:vertAlign w:val="baseline"/>
        </w:rPr>
        <w:t> [*11207]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Proprietary Information:</w:t>
      </w:r>
      <w:r>
        <w:rPr>
          <w:rFonts w:ascii="arial" w:eastAsia="arial" w:hAnsi="arial" w:cs="arial"/>
          <w:b w:val="0"/>
          <w:i w:val="0"/>
          <w:strike w:val="0"/>
          <w:noProof w:val="0"/>
          <w:color w:val="000000"/>
          <w:position w:val="0"/>
          <w:sz w:val="20"/>
          <w:u w:val="none"/>
          <w:vertAlign w:val="baseline"/>
        </w:rPr>
        <w:t xml:space="preserve"> Given the types of projects that may be proposed in applications for the NPD program, your application may include business information that you consider proprietary. In </w:t>
      </w:r>
      <w:hyperlink r:id="rId24" w:history="1">
        <w:r>
          <w:rPr>
            <w:rFonts w:ascii="arial" w:eastAsia="arial" w:hAnsi="arial" w:cs="arial"/>
            <w:b w:val="0"/>
            <w:i/>
            <w:strike w:val="0"/>
            <w:noProof w:val="0"/>
            <w:color w:val="0077CC"/>
            <w:position w:val="0"/>
            <w:sz w:val="20"/>
            <w:u w:val="single"/>
            <w:vertAlign w:val="baseline"/>
          </w:rPr>
          <w:t>34 CFR 5.11</w:t>
        </w:r>
      </w:hyperlink>
      <w:r>
        <w:rPr>
          <w:rFonts w:ascii="arial" w:eastAsia="arial" w:hAnsi="arial" w:cs="arial"/>
          <w:b w:val="0"/>
          <w:i w:val="0"/>
          <w:strike w:val="0"/>
          <w:noProof w:val="0"/>
          <w:color w:val="000000"/>
          <w:position w:val="0"/>
          <w:sz w:val="20"/>
          <w:u w:val="none"/>
          <w:vertAlign w:val="baseline"/>
        </w:rPr>
        <w:t xml:space="preserve"> we define "business information" and describe the process we use in determining whether any of that information is proprietary and, thus, protected from disclosure under Exemption 4 of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process followed in the prior NPD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we may post the project narrative section of funded NPD applications on the Department's Web site so you may wish to request confidentiality of business information. Identifying proprietary information in the submitted application will help facilitate this public disclosure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Executive Order 12600, please designate in your application any information that you believe is exempt from disclosure under Exemption 4. In the appropriate Appendix section of your application, under "Other Attachments Form," please list the page number or numbers on which we can find this information. For additional information please see </w:t>
      </w:r>
      <w:hyperlink r:id="rId24" w:history="1">
        <w:r>
          <w:rPr>
            <w:rFonts w:ascii="arial" w:eastAsia="arial" w:hAnsi="arial" w:cs="arial"/>
            <w:b w:val="0"/>
            <w:i/>
            <w:strike w:val="0"/>
            <w:noProof w:val="0"/>
            <w:color w:val="0077CC"/>
            <w:position w:val="0"/>
            <w:sz w:val="20"/>
            <w:u w:val="single"/>
            <w:vertAlign w:val="baseline"/>
          </w:rPr>
          <w:t>34 CFR 5.11(c)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Notice of Intent to Apply:</w:t>
      </w:r>
      <w:r>
        <w:rPr>
          <w:rFonts w:ascii="arial" w:eastAsia="arial" w:hAnsi="arial" w:cs="arial"/>
          <w:b w:val="0"/>
          <w:i w:val="0"/>
          <w:strike w:val="0"/>
          <w:noProof w:val="0"/>
          <w:color w:val="000000"/>
          <w:position w:val="0"/>
          <w:sz w:val="20"/>
          <w:u w:val="none"/>
          <w:vertAlign w:val="baseline"/>
        </w:rPr>
        <w:t xml:space="preserve"> March 13, 2017.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Informational Meetings:</w:t>
      </w:r>
      <w:r>
        <w:rPr>
          <w:rFonts w:ascii="arial" w:eastAsia="arial" w:hAnsi="arial" w:cs="arial"/>
          <w:b w:val="0"/>
          <w:i w:val="0"/>
          <w:strike w:val="0"/>
          <w:noProof w:val="0"/>
          <w:color w:val="000000"/>
          <w:position w:val="0"/>
          <w:sz w:val="20"/>
          <w:u w:val="none"/>
          <w:vertAlign w:val="baseline"/>
        </w:rPr>
        <w:t xml:space="preserve"> The NPD program intends to hold Webinars designed to provide technical assistance to interested applicants. Detailed information regarding these meetings will be provided on the NPD Web site at </w:t>
      </w:r>
      <w:hyperlink r:id="rId25" w:history="1">
        <w:r>
          <w:rPr>
            <w:rFonts w:ascii="arial" w:eastAsia="arial" w:hAnsi="arial" w:cs="arial"/>
            <w:b w:val="0"/>
            <w:i/>
            <w:strike w:val="0"/>
            <w:noProof w:val="0"/>
            <w:color w:val="0077CC"/>
            <w:position w:val="0"/>
            <w:sz w:val="20"/>
            <w:u w:val="single"/>
            <w:vertAlign w:val="baseline"/>
          </w:rPr>
          <w:t>http://www2.ed.gov/programs/nfdp/applicant.html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April 24,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application site.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June 21,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6"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entered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7"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w:t>
      </w:r>
      <w:r>
        <w:rPr>
          <w:rFonts w:ascii="arial" w:eastAsia="arial" w:hAnsi="arial" w:cs="arial"/>
          <w:b w:val="0"/>
          <w:i/>
          <w:strike w:val="0"/>
          <w:noProof w:val="0"/>
          <w:color w:val="000000"/>
          <w:position w:val="0"/>
          <w:sz w:val="20"/>
          <w:u w:val="none"/>
          <w:vertAlign w:val="baseline"/>
        </w:rPr>
        <w:t>SAM.gov</w:t>
      </w:r>
      <w:r>
        <w:rPr>
          <w:rFonts w:ascii="arial" w:eastAsia="arial" w:hAnsi="arial" w:cs="arial"/>
          <w:b w:val="0"/>
          <w:i w:val="0"/>
          <w:strike w:val="0"/>
          <w:noProof w:val="0"/>
          <w:color w:val="000000"/>
          <w:position w:val="0"/>
          <w:sz w:val="20"/>
          <w:u w:val="none"/>
          <w:vertAlign w:val="baseline"/>
        </w:rPr>
        <w:t xml:space="preserve">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8"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for grants for the NPD program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NPD program, CFDA number 84.365Z,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NPD program at </w:t>
      </w:r>
      <w:hyperlink r:id="rId29"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w:t>
      </w:r>
      <w:r>
        <w:rPr>
          <w:rFonts w:ascii="arial" w:eastAsia="arial" w:hAnsi="arial" w:cs="arial"/>
          <w:b/>
          <w:i w:val="0"/>
          <w:strike w:val="0"/>
          <w:noProof w:val="0"/>
          <w:color w:val="000000"/>
          <w:position w:val="0"/>
          <w:sz w:val="20"/>
          <w:u w:val="none"/>
          <w:vertAlign w:val="baseline"/>
        </w:rPr>
        <w:t> [*11208] </w:t>
      </w:r>
      <w:r>
        <w:rPr>
          <w:rFonts w:ascii="arial" w:eastAsia="arial" w:hAnsi="arial" w:cs="arial"/>
          <w:b w:val="0"/>
          <w:i w:val="0"/>
          <w:strike w:val="0"/>
          <w:noProof w:val="0"/>
          <w:color w:val="000000"/>
          <w:position w:val="0"/>
          <w:sz w:val="20"/>
          <w:u w:val="none"/>
          <w:vertAlign w:val="baseline"/>
        </w:rPr>
        <w:t xml:space="preserve">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84.365, not 84.365Z).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30"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31"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Portable Document Format (PDF). Do not upload an interactive or fillable PDF file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If you upload a file type other than a read-only, PDF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access to the Internet; or </w:t>
      </w:r>
      <w:r>
        <w:rPr>
          <w:rFonts w:ascii="arial" w:eastAsia="arial" w:hAnsi="arial" w:cs="arial"/>
          <w:b/>
          <w:i w:val="0"/>
          <w:strike w:val="0"/>
          <w:noProof w:val="0"/>
          <w:color w:val="000000"/>
          <w:position w:val="0"/>
          <w:sz w:val="20"/>
          <w:u w:val="none"/>
          <w:vertAlign w:val="baseline"/>
        </w:rPr>
        <w:t> [*11209] </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Address and mail or fax your statement to:</w:t>
      </w:r>
      <w:r>
        <w:rPr>
          <w:rFonts w:ascii="arial" w:eastAsia="arial" w:hAnsi="arial" w:cs="arial"/>
          <w:b w:val="0"/>
          <w:i w:val="0"/>
          <w:strike w:val="0"/>
          <w:noProof w:val="0"/>
          <w:color w:val="000000"/>
          <w:position w:val="0"/>
          <w:sz w:val="20"/>
          <w:u w:val="none"/>
          <w:vertAlign w:val="baseline"/>
        </w:rPr>
        <w:t xml:space="preserve"> Patrice Swann, U.S. Department of Education, 400 Maryland Avenue SW., Room 5C144, Washington, DC 20202-6510. FAX: (202) 260-5496.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84.365Z),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84.365Z),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section </w:t>
      </w:r>
      <w:hyperlink r:id="rId32"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The maximum score for all of these criteria is 100 points (not including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points). The maximum score for each criterion is indicated in parentheses.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Quality of the project design.</w:t>
      </w:r>
      <w:r>
        <w:rPr>
          <w:rFonts w:ascii="arial" w:eastAsia="arial" w:hAnsi="arial" w:cs="arial"/>
          <w:b w:val="0"/>
          <w:i w:val="0"/>
          <w:strike w:val="0"/>
          <w:noProof w:val="0"/>
          <w:color w:val="000000"/>
          <w:position w:val="0"/>
          <w:sz w:val="20"/>
          <w:u w:val="none"/>
          <w:vertAlign w:val="baseline"/>
        </w:rPr>
        <w:t xml:space="preserve"> (up to 45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design of the proposed project. In determining the quality of the design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goals, objectives, and outcomes to be achieved by the proposed project are clearly specified and measurable.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design for implementing and evaluating the proposed project will result in information to guide possible replications of project activities or strategies including information about the effectiveness of the approach or strategies employed by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proposed project is supported by strong theory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project personnel.</w:t>
      </w:r>
      <w:r>
        <w:rPr>
          <w:rFonts w:ascii="arial" w:eastAsia="arial" w:hAnsi="arial" w:cs="arial"/>
          <w:b w:val="0"/>
          <w:i w:val="0"/>
          <w:strike w:val="0"/>
          <w:noProof w:val="0"/>
          <w:color w:val="000000"/>
          <w:position w:val="0"/>
          <w:sz w:val="20"/>
          <w:u w:val="none"/>
          <w:vertAlign w:val="baseline"/>
        </w:rPr>
        <w:t xml:space="preserve">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personnel who will carry out the proposed project. In determining the quality of project personnel,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applicant encourages applications for employment from persons who are members of groups that have traditionally been underrepresented based on race, color, national origin, gender, age, or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qualifications, including relevant training and experience, of the project director or principal investigator.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qualifications, including relevant training and experience, of key project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the management plan.</w:t>
      </w:r>
      <w:r>
        <w:rPr>
          <w:rFonts w:ascii="arial" w:eastAsia="arial" w:hAnsi="arial" w:cs="arial"/>
          <w:b w:val="0"/>
          <w:i w:val="0"/>
          <w:strike w:val="0"/>
          <w:noProof w:val="0"/>
          <w:color w:val="000000"/>
          <w:position w:val="0"/>
          <w:sz w:val="20"/>
          <w:u w:val="none"/>
          <w:vertAlign w:val="baseline"/>
        </w:rPr>
        <w:t xml:space="preserve"> (up to 25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management plan for the proposed project. In determining the quality of the management plan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adequacy of the management plan to achieve the objectives of the proposed project on time and within budget, including clearly defined responsibilities, timelines, and milestones for accomplishing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time commitment of the project director and principal investigator and other key project personnel are appropriate and adequate to meet the objectives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the project evaluation.</w:t>
      </w:r>
      <w:r>
        <w:rPr>
          <w:rFonts w:ascii="arial" w:eastAsia="arial" w:hAnsi="arial" w:cs="arial"/>
          <w:b w:val="0"/>
          <w:i w:val="0"/>
          <w:strike w:val="0"/>
          <w:noProof w:val="0"/>
          <w:color w:val="000000"/>
          <w:position w:val="0"/>
          <w:sz w:val="20"/>
          <w:u w:val="none"/>
          <w:vertAlign w:val="baseline"/>
        </w:rPr>
        <w:t xml:space="preserve"> (up to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evaluation to be conducted of the proposed project. In determining the quality of the evaluation,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methods of evaluation are thorough, feasible, and appropriate to the goals, objectives, and outcomes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methods of evaluation will, if well implemented, produce evidence about the project's effectiveness that would meet the What Works Clearinghouse Evidence Standards with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extent to which the methods of evaluation will provide performance feedback and permit periodic </w:t>
      </w:r>
      <w:r>
        <w:rPr>
          <w:rFonts w:ascii="arial" w:eastAsia="arial" w:hAnsi="arial" w:cs="arial"/>
          <w:b/>
          <w:i w:val="0"/>
          <w:strike w:val="0"/>
          <w:noProof w:val="0"/>
          <w:color w:val="000000"/>
          <w:position w:val="0"/>
          <w:sz w:val="20"/>
          <w:u w:val="none"/>
          <w:vertAlign w:val="baseline"/>
        </w:rPr>
        <w:t> [*11210] </w:t>
      </w:r>
      <w:r>
        <w:rPr>
          <w:rFonts w:ascii="arial" w:eastAsia="arial" w:hAnsi="arial" w:cs="arial"/>
          <w:b w:val="0"/>
          <w:i w:val="0"/>
          <w:strike w:val="0"/>
          <w:noProof w:val="0"/>
          <w:color w:val="000000"/>
          <w:position w:val="0"/>
          <w:sz w:val="20"/>
          <w:u w:val="none"/>
          <w:vertAlign w:val="baseline"/>
        </w:rPr>
        <w:t xml:space="preserve"> assessment of progress toward achieving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extent to which the methods of evaluation will provide valid and reliable performance data on relevant outcomes.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following are technical assistance resources on evaluation: (1) WWC Procedures and Standards Handbook: </w:t>
      </w:r>
      <w:hyperlink r:id="rId33" w:history="1">
        <w:r>
          <w:rPr>
            <w:rFonts w:ascii="arial" w:eastAsia="arial" w:hAnsi="arial" w:cs="arial"/>
            <w:b w:val="0"/>
            <w:i/>
            <w:strike w:val="0"/>
            <w:noProof w:val="0"/>
            <w:color w:val="0077CC"/>
            <w:position w:val="0"/>
            <w:sz w:val="20"/>
            <w:u w:val="single"/>
            <w:vertAlign w:val="baseline"/>
          </w:rPr>
          <w:t>http://ies.ed.gov/ncee/wwc/references/idocviewer/doc.aspx?docid=19&amp;tocid=1</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(2) IES/NCEE Technical Methods papers: </w:t>
      </w:r>
      <w:hyperlink r:id="rId34" w:history="1">
        <w:r>
          <w:rPr>
            <w:rFonts w:ascii="arial" w:eastAsia="arial" w:hAnsi="arial" w:cs="arial"/>
            <w:b w:val="0"/>
            <w:i/>
            <w:strike w:val="0"/>
            <w:noProof w:val="0"/>
            <w:color w:val="0077CC"/>
            <w:position w:val="0"/>
            <w:sz w:val="20"/>
            <w:u w:val="single"/>
            <w:vertAlign w:val="baseline"/>
          </w:rPr>
          <w:t>http://ies.ed.gov/ncee/tech_methods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invite applicants to view two Webinar recordings that were hosted by the Institute of Education Sciences. The first Webinar addresses strategies for designing and executing well-designed quasi-experimental design studies. This Webinar is available at: </w:t>
      </w:r>
      <w:hyperlink r:id="rId35" w:history="1">
        <w:r>
          <w:rPr>
            <w:rFonts w:ascii="arial" w:eastAsia="arial" w:hAnsi="arial" w:cs="arial"/>
            <w:b w:val="0"/>
            <w:i/>
            <w:strike w:val="0"/>
            <w:noProof w:val="0"/>
            <w:color w:val="0077CC"/>
            <w:position w:val="0"/>
            <w:sz w:val="20"/>
            <w:u w:val="single"/>
            <w:vertAlign w:val="baseline"/>
          </w:rPr>
          <w:t>http://ies.ed.gov/ncee/wwc/Multimedia.aspx?sid=23</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second Webinar focuses on more rigorous evaluation designees, including strategies for designing and executing randomized controlled trials. This Webinar is available at: </w:t>
      </w:r>
      <w:hyperlink r:id="rId36" w:history="1">
        <w:r>
          <w:rPr>
            <w:rFonts w:ascii="arial" w:eastAsia="arial" w:hAnsi="arial" w:cs="arial"/>
            <w:b w:val="0"/>
            <w:i/>
            <w:strike w:val="0"/>
            <w:noProof w:val="0"/>
            <w:color w:val="0077CC"/>
            <w:position w:val="0"/>
            <w:sz w:val="20"/>
            <w:u w:val="single"/>
            <w:vertAlign w:val="baseline"/>
          </w:rPr>
          <w:t>http://ies.ed.gov/ncee/wwc/Multimedia.aspx?sid=18</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The Department will screen applications that are submitted for NPD grants in accordance with the requirements in this notice and determine which applications meet the eligibility and other requirements. Peer reviewers will review all eligible applications for NPD grants that are submitted by the established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should note, however, that we may screen for eligibility at multiple points during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process, including before and after peer review; applicants that are determined to be ineligible will not receive a grant award regardless of peer reviewer scores or comments. If we determine that an NPD grant application does not meet an NPD requirement, the application will not be considered for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NPD grant applications, the Department intends to conduct a two-part review process to review and score all eligible applications. Content reviewers will review and score all eligible applications on the following three selection criteria: (a) Quality of the project design; (b) Quality of project personnel; and (c) Quality of the management plan. These reviewers will also review and score the second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Peer reviewers with evaluation expertise will review and score selection criterion (d) Quality of the project evaluation.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37"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w:t>
      </w:r>
      <w:hyperlink r:id="rId38"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43"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program the Department conducts a review of the risks posed by applicants. Under </w:t>
      </w:r>
      <w:hyperlink r:id="rId44"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w:t>
      </w:r>
      <w:hyperlink r:id="rId43" w:history="1">
        <w:r>
          <w:rPr>
            <w:rFonts w:ascii="arial" w:eastAsia="arial" w:hAnsi="arial" w:cs="arial"/>
            <w:b w:val="0"/>
            <w:i/>
            <w:strike w:val="0"/>
            <w:noProof w:val="0"/>
            <w:color w:val="0077CC"/>
            <w:position w:val="0"/>
            <w:sz w:val="20"/>
            <w:u w:val="single"/>
            <w:vertAlign w:val="baseline"/>
          </w:rPr>
          <w:t>2 CFR 200.205(a)(2)</w:t>
        </w:r>
      </w:hyperlink>
      <w:r>
        <w:rPr>
          <w:rFonts w:ascii="arial" w:eastAsia="arial" w:hAnsi="arial" w:cs="arial"/>
          <w:b w:val="0"/>
          <w:i w:val="0"/>
          <w:strike w:val="0"/>
          <w:noProof w:val="0"/>
          <w:color w:val="000000"/>
          <w:position w:val="0"/>
          <w:sz w:val="20"/>
          <w:u w:val="none"/>
          <w:vertAlign w:val="baseline"/>
        </w:rPr>
        <w:t xml:space="preserve">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45"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46"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47"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48" w:history="1">
        <w:r>
          <w:rPr>
            <w:rFonts w:ascii="arial" w:eastAsia="arial" w:hAnsi="arial" w:cs="arial"/>
            <w:b w:val="0"/>
            <w:i/>
            <w:strike w:val="0"/>
            <w:noProof w:val="0"/>
            <w:color w:val="0077CC"/>
            <w:position w:val="0"/>
            <w:sz w:val="20"/>
            <w:u w:val="single"/>
            <w:vertAlign w:val="baseline"/>
          </w:rPr>
          <w:t>http://www.ed.gov/fund/grant/apply/appforms.html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(GPRA), Federal departments and agencies must clearly describe the goals and objectives of programs, identify resources and actions needed to accomplish goals and objectives, develop a means of measuring progress made, and regularly report on achievement.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Measures.</w:t>
      </w:r>
      <w:r>
        <w:rPr>
          <w:rFonts w:ascii="arial" w:eastAsia="arial" w:hAnsi="arial" w:cs="arial"/>
          <w:b w:val="0"/>
          <w:i w:val="0"/>
          <w:strike w:val="0"/>
          <w:noProof w:val="0"/>
          <w:color w:val="000000"/>
          <w:position w:val="0"/>
          <w:sz w:val="20"/>
          <w:u w:val="none"/>
          <w:vertAlign w:val="baseline"/>
        </w:rPr>
        <w:t xml:space="preserve"> The Department has developed the following GPRA performance measures for evaluating the overall effectiveness of the NPD program: </w:t>
      </w:r>
      <w:r>
        <w:rPr>
          <w:rFonts w:ascii="arial" w:eastAsia="arial" w:hAnsi="arial" w:cs="arial"/>
          <w:b/>
          <w:i w:val="0"/>
          <w:strike w:val="0"/>
          <w:noProof w:val="0"/>
          <w:color w:val="000000"/>
          <w:position w:val="0"/>
          <w:sz w:val="20"/>
          <w:u w:val="none"/>
          <w:vertAlign w:val="baseline"/>
        </w:rPr>
        <w:t> [*11211]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Measure 1:</w:t>
      </w:r>
      <w:r>
        <w:rPr>
          <w:rFonts w:ascii="arial" w:eastAsia="arial" w:hAnsi="arial" w:cs="arial"/>
          <w:b w:val="0"/>
          <w:i w:val="0"/>
          <w:strike w:val="0"/>
          <w:noProof w:val="0"/>
          <w:color w:val="000000"/>
          <w:position w:val="0"/>
          <w:sz w:val="20"/>
          <w:u w:val="none"/>
          <w:vertAlign w:val="baseline"/>
        </w:rPr>
        <w:t xml:space="preserve"> The number and percentage of program participants who complete the preservice program. Completion is defined by the applicant in the submitted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Measure 2:</w:t>
      </w:r>
      <w:r>
        <w:rPr>
          <w:rFonts w:ascii="arial" w:eastAsia="arial" w:hAnsi="arial" w:cs="arial"/>
          <w:b w:val="0"/>
          <w:i w:val="0"/>
          <w:strike w:val="0"/>
          <w:noProof w:val="0"/>
          <w:color w:val="000000"/>
          <w:position w:val="0"/>
          <w:sz w:val="20"/>
          <w:u w:val="none"/>
          <w:vertAlign w:val="baseline"/>
        </w:rPr>
        <w:t xml:space="preserve"> The number and percentage of program participants who complete the inservice program. Completion is defined by the applicant in the submitted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Measure 3:</w:t>
      </w:r>
      <w:r>
        <w:rPr>
          <w:rFonts w:ascii="arial" w:eastAsia="arial" w:hAnsi="arial" w:cs="arial"/>
          <w:b w:val="0"/>
          <w:i w:val="0"/>
          <w:strike w:val="0"/>
          <w:noProof w:val="0"/>
          <w:color w:val="000000"/>
          <w:position w:val="0"/>
          <w:sz w:val="20"/>
          <w:u w:val="none"/>
          <w:vertAlign w:val="baseline"/>
        </w:rPr>
        <w:t xml:space="preserve"> The number and percentage of program completers, as defined by the applicant under measures 1 and 2, who are State certified, licensed, or endorsed in EL instruction.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Measure 4:</w:t>
      </w:r>
      <w:r>
        <w:rPr>
          <w:rFonts w:ascii="arial" w:eastAsia="arial" w:hAnsi="arial" w:cs="arial"/>
          <w:b w:val="0"/>
          <w:i w:val="0"/>
          <w:strike w:val="0"/>
          <w:noProof w:val="0"/>
          <w:color w:val="000000"/>
          <w:position w:val="0"/>
          <w:sz w:val="20"/>
          <w:u w:val="none"/>
          <w:vertAlign w:val="baseline"/>
        </w:rPr>
        <w:t xml:space="preserve"> The percentage of program completers who rate the program as effective in preparing them to serve EL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Measure 5:</w:t>
      </w:r>
      <w:r>
        <w:rPr>
          <w:rFonts w:ascii="arial" w:eastAsia="arial" w:hAnsi="arial" w:cs="arial"/>
          <w:b w:val="0"/>
          <w:i w:val="0"/>
          <w:strike w:val="0"/>
          <w:noProof w:val="0"/>
          <w:color w:val="000000"/>
          <w:position w:val="0"/>
          <w:sz w:val="20"/>
          <w:u w:val="none"/>
          <w:vertAlign w:val="baseline"/>
        </w:rPr>
        <w:t xml:space="preserve"> The percentage of school leaders, other educators, and employers of program completers who rated the program as effective in preparing their teachers, or other educators, to serve ELs or improve their abilities to serve ELs effectively.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Measure 6:</w:t>
      </w:r>
      <w:r>
        <w:rPr>
          <w:rFonts w:ascii="arial" w:eastAsia="arial" w:hAnsi="arial" w:cs="arial"/>
          <w:b w:val="0"/>
          <w:i w:val="0"/>
          <w:strike w:val="0"/>
          <w:noProof w:val="0"/>
          <w:color w:val="000000"/>
          <w:position w:val="0"/>
          <w:sz w:val="20"/>
          <w:u w:val="none"/>
          <w:vertAlign w:val="baseline"/>
        </w:rPr>
        <w:t xml:space="preserve"> For projects that received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points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Priority 2, the percentage of program completers who rated the program as effective, as defined by the grantees, in increasing their knowledge and skills related to parent, family, and community engagement.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Baseline data.</w:t>
      </w:r>
      <w:r>
        <w:rPr>
          <w:rFonts w:ascii="arial" w:eastAsia="arial" w:hAnsi="arial" w:cs="arial"/>
          <w:b w:val="0"/>
          <w:i w:val="0"/>
          <w:strike w:val="0"/>
          <w:noProof w:val="0"/>
          <w:color w:val="000000"/>
          <w:position w:val="0"/>
          <w:sz w:val="20"/>
          <w:u w:val="none"/>
          <w:vertAlign w:val="baseline"/>
        </w:rPr>
        <w:t xml:space="preserve"> Applicants must provide baseline (as defined in this notice) data for each of the project performance measures listed in (a) and explain how each proposed baseline data is related to program outcomes; or, if the applicant has determined that there are no established baseline data for a particular performance measure, explain why there is no established baseline and explain how and when, during the project period, the applicant will establish a baseline for the performance measure.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Performance measure targets.</w:t>
      </w:r>
      <w:r>
        <w:rPr>
          <w:rFonts w:ascii="arial" w:eastAsia="arial" w:hAnsi="arial" w:cs="arial"/>
          <w:b w:val="0"/>
          <w:i w:val="0"/>
          <w:strike w:val="0"/>
          <w:noProof w:val="0"/>
          <w:color w:val="000000"/>
          <w:position w:val="0"/>
          <w:sz w:val="20"/>
          <w:u w:val="none"/>
          <w:vertAlign w:val="baseline"/>
        </w:rPr>
        <w:t xml:space="preserve"> In addition, the applicant must propose in its application annual targets for the measures listed in paragraph (a). Applications must also include the following information as directed under </w:t>
      </w:r>
      <w:hyperlink r:id="rId49" w:history="1">
        <w:r>
          <w:rPr>
            <w:rFonts w:ascii="arial" w:eastAsia="arial" w:hAnsi="arial" w:cs="arial"/>
            <w:b w:val="0"/>
            <w:i/>
            <w:strike w:val="0"/>
            <w:noProof w:val="0"/>
            <w:color w:val="0077CC"/>
            <w:position w:val="0"/>
            <w:sz w:val="20"/>
            <w:u w:val="single"/>
            <w:vertAlign w:val="baseline"/>
          </w:rPr>
          <w:t>34 CFR 75.110(b)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Why each proposed performance target is ambitious (as defined in this notice) yet achievable compared to the baseline for the performance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data collection and reporting methods the applicant would use and why those methods are likely to yield reliable, valid, and meaningful performance data;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applicant's capacity to collect and report reliable, valid, and meaningful performance data, as evidenced by high-quality data collection, analysis, and reporting in other projects or research.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If the applicant does not have experience with collection and reporting of performance data through other projects or research, the applicant should provide other evidence of capacity to successfully carry out data collection and reporting for its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Performance Reports.</w:t>
      </w:r>
      <w:r>
        <w:rPr>
          <w:rFonts w:ascii="arial" w:eastAsia="arial" w:hAnsi="arial" w:cs="arial"/>
          <w:b w:val="0"/>
          <w:i w:val="0"/>
          <w:strike w:val="0"/>
          <w:noProof w:val="0"/>
          <w:color w:val="000000"/>
          <w:position w:val="0"/>
          <w:sz w:val="20"/>
          <w:u w:val="none"/>
          <w:vertAlign w:val="baseline"/>
        </w:rPr>
        <w:t xml:space="preserve"> All grantees must submit an annual performance report and final performance report with information that is responsive to these performance measures. The Department will consider this data in making annual continuation awards.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Department Evaluations.</w:t>
      </w:r>
      <w:r>
        <w:rPr>
          <w:rFonts w:ascii="arial" w:eastAsia="arial" w:hAnsi="arial" w:cs="arial"/>
          <w:b w:val="0"/>
          <w:i w:val="0"/>
          <w:strike w:val="0"/>
          <w:noProof w:val="0"/>
          <w:color w:val="000000"/>
          <w:position w:val="0"/>
          <w:sz w:val="20"/>
          <w:u w:val="none"/>
          <w:vertAlign w:val="baseline"/>
        </w:rPr>
        <w:t xml:space="preserve"> Consistent with </w:t>
      </w:r>
      <w:hyperlink r:id="rId50" w:history="1">
        <w:r>
          <w:rPr>
            <w:rFonts w:ascii="arial" w:eastAsia="arial" w:hAnsi="arial" w:cs="arial"/>
            <w:b w:val="0"/>
            <w:i/>
            <w:strike w:val="0"/>
            <w:noProof w:val="0"/>
            <w:color w:val="0077CC"/>
            <w:position w:val="0"/>
            <w:sz w:val="20"/>
            <w:u w:val="single"/>
            <w:vertAlign w:val="baseline"/>
          </w:rPr>
          <w:t>34 CFR 75.591</w:t>
        </w:r>
      </w:hyperlink>
      <w:r>
        <w:rPr>
          <w:rFonts w:ascii="arial" w:eastAsia="arial" w:hAnsi="arial" w:cs="arial"/>
          <w:b w:val="0"/>
          <w:i w:val="0"/>
          <w:strike w:val="0"/>
          <w:noProof w:val="0"/>
          <w:color w:val="000000"/>
          <w:position w:val="0"/>
          <w:sz w:val="20"/>
          <w:u w:val="none"/>
          <w:vertAlign w:val="baseline"/>
        </w:rPr>
        <w:t>, grantees funded under this program shall comply with the requirements of any evaluation of the program conducted by the Department or an evaluator selected by the Department.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51"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38"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Samuel Lopez, U.S. Department of Education, 400 Maryland Avenue SW., Room 5C152, Washington, DC 20202. Telephone: (202) 401-4300. FAX: (202) 205-1229 or by email at </w:t>
      </w:r>
      <w:hyperlink r:id="rId23" w:history="1">
        <w:r>
          <w:rPr>
            <w:rFonts w:ascii="arial" w:eastAsia="arial" w:hAnsi="arial" w:cs="arial"/>
            <w:b w:val="0"/>
            <w:i/>
            <w:strike w:val="0"/>
            <w:noProof w:val="0"/>
            <w:color w:val="0077CC"/>
            <w:position w:val="0"/>
            <w:sz w:val="20"/>
            <w:u w:val="single"/>
            <w:vertAlign w:val="baseline"/>
          </w:rPr>
          <w:t>NPD2017@ed.gov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Federal Relay Service,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52"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53"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February 15,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Supreet Anand,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Director Office of English Language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2017-03367 Filed 2-17-17;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11202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P5K-6FW0-008H-0340-00000-00&amp;context=" TargetMode="External" /><Relationship Id="rId11" Type="http://schemas.openxmlformats.org/officeDocument/2006/relationships/hyperlink" Target="https://advance.lexis.com/api/document?collection=administrative-codes&amp;id=urn:contentItem:5DT7-0130-006W-81YP-00000-00&amp;context=" TargetMode="External" /><Relationship Id="rId12" Type="http://schemas.openxmlformats.org/officeDocument/2006/relationships/hyperlink" Target="https://advance.lexis.com/api/document?collection=administrative-codes&amp;id=urn:contentItem:5GMB-DPB0-008H-02BK-00000-00&amp;context=" TargetMode="External" /><Relationship Id="rId13" Type="http://schemas.openxmlformats.org/officeDocument/2006/relationships/hyperlink" Target="https://advance.lexis.com/api/document?collection=administrative-codes&amp;id=urn:contentItem:5S7T-7HV0-008H-03HM-00000-00&amp;context=" TargetMode="External" /><Relationship Id="rId14" Type="http://schemas.openxmlformats.org/officeDocument/2006/relationships/hyperlink" Target="https://advance.lexis.com/api/document?collection=administrative-codes&amp;id=urn:contentItem:5P25-NG10-008H-025H-00000-00&amp;context=" TargetMode="External" /><Relationship Id="rId15" Type="http://schemas.openxmlformats.org/officeDocument/2006/relationships/hyperlink" Target="https://advance.lexis.com/api/document?collection=statutes-legislation&amp;id=urn:contentItem:4YF7-GRR1-NRF4-40D2-00000-00&amp;context=" TargetMode="External" /><Relationship Id="rId16" Type="http://schemas.openxmlformats.org/officeDocument/2006/relationships/hyperlink" Target="https://advance.lexis.com/api/document?collection=statutes-legislation&amp;id=urn:contentItem:4YF7-GKS1-NRF4-432P-00000-00&amp;context=" TargetMode="External" /><Relationship Id="rId17" Type="http://schemas.openxmlformats.org/officeDocument/2006/relationships/hyperlink" Target="https://advance.lexis.com/api/document?collection=statutes-legislation&amp;id=urn:contentItem:4YF7-GSD1-NRF4-425W-00000-00&amp;context=" TargetMode="External" /><Relationship Id="rId18" Type="http://schemas.openxmlformats.org/officeDocument/2006/relationships/hyperlink" Target="http://relpacific.mcrel.org/resources/elm-app" TargetMode="External" /><Relationship Id="rId19" Type="http://schemas.openxmlformats.org/officeDocument/2006/relationships/hyperlink" Target="http://ies.ed.gov/ncee/wwc/DocumentSum.aspx?sid=19" TargetMode="External" /><Relationship Id="rId2" Type="http://schemas.openxmlformats.org/officeDocument/2006/relationships/webSettings" Target="webSettings.xml" /><Relationship Id="rId20" Type="http://schemas.openxmlformats.org/officeDocument/2006/relationships/hyperlink" Target="http://www.ed.gov/fund/grant/apply/grantapps/index.html" TargetMode="External" /><Relationship Id="rId21" Type="http://schemas.openxmlformats.org/officeDocument/2006/relationships/hyperlink" Target="http://www.EDPubs.gov" TargetMode="External" /><Relationship Id="rId22" Type="http://schemas.openxmlformats.org/officeDocument/2006/relationships/hyperlink" Target="mailto:edpubs@inet.ed.gov" TargetMode="External" /><Relationship Id="rId23" Type="http://schemas.openxmlformats.org/officeDocument/2006/relationships/hyperlink" Target="mailto:NPD2017@ed.gov" TargetMode="External" /><Relationship Id="rId24" Type="http://schemas.openxmlformats.org/officeDocument/2006/relationships/hyperlink" Target="https://advance.lexis.com/api/document?collection=administrative-codes&amp;id=urn:contentItem:5G9C-N1H0-008H-002J-00000-00&amp;context=" TargetMode="External" /><Relationship Id="rId25" Type="http://schemas.openxmlformats.org/officeDocument/2006/relationships/hyperlink" Target="http://www2.ed.gov/programs/nfdp/applicant.html" TargetMode="External" /><Relationship Id="rId26" Type="http://schemas.openxmlformats.org/officeDocument/2006/relationships/hyperlink" Target="http://fedgov.dnb.com/webform" TargetMode="External" /><Relationship Id="rId27" Type="http://schemas.openxmlformats.org/officeDocument/2006/relationships/hyperlink" Target="http://www.SAM.gov" TargetMode="External" /><Relationship Id="rId28" Type="http://schemas.openxmlformats.org/officeDocument/2006/relationships/hyperlink" Target="http://www.grants.gov/web/grants/register.html" TargetMode="External" /><Relationship Id="rId29" Type="http://schemas.openxmlformats.org/officeDocument/2006/relationships/hyperlink" Target="http://www.Grants.gov" TargetMode="External" /><Relationship Id="rId3" Type="http://schemas.openxmlformats.org/officeDocument/2006/relationships/fontTable" Target="fontTable.xml" /><Relationship Id="rId30" Type="http://schemas.openxmlformats.org/officeDocument/2006/relationships/hyperlink" Target="http://www.G5.gov" TargetMode="External" /><Relationship Id="rId31" Type="http://schemas.openxmlformats.org/officeDocument/2006/relationships/hyperlink" Target="http://www.grants.gov/web/grants/applicants/apply-for-grants.html" TargetMode="External" /><Relationship Id="rId32" Type="http://schemas.openxmlformats.org/officeDocument/2006/relationships/hyperlink" Target="https://advance.lexis.com/api/document?collection=administrative-codes&amp;id=urn:contentItem:5S7T-7HS0-008H-02VY-00000-00&amp;context=" TargetMode="External" /><Relationship Id="rId33" Type="http://schemas.openxmlformats.org/officeDocument/2006/relationships/hyperlink" Target="http://ies.ed.gov/ncee/wwc/references/idocviewer/doc.aspx?docid=19&amp;tocid=1" TargetMode="External" /><Relationship Id="rId34" Type="http://schemas.openxmlformats.org/officeDocument/2006/relationships/hyperlink" Target="http://ies.ed.gov/ncee/tech_methods" TargetMode="External" /><Relationship Id="rId35" Type="http://schemas.openxmlformats.org/officeDocument/2006/relationships/hyperlink" Target="http://ies.ed.gov/ncee/wwc/Multimedia.aspx?sid=23" TargetMode="External" /><Relationship Id="rId36" Type="http://schemas.openxmlformats.org/officeDocument/2006/relationships/hyperlink" Target="http://ies.ed.gov/ncee/wwc/Multimedia.aspx?sid=18" TargetMode="External" /><Relationship Id="rId37" Type="http://schemas.openxmlformats.org/officeDocument/2006/relationships/hyperlink" Target="https://advance.lexis.com/api/document?collection=administrative-codes&amp;id=urn:contentItem:5GMB-DPB0-008H-02GP-00000-00&amp;context=" TargetMode="External" /><Relationship Id="rId38" Type="http://schemas.openxmlformats.org/officeDocument/2006/relationships/hyperlink" Target="https://advance.lexis.com/api/document?collection=administrative-codes&amp;id=urn:contentItem:5KS0-F5W0-008H-023P-00000-00&amp;context=" TargetMode="External" /><Relationship Id="rId39" Type="http://schemas.openxmlformats.org/officeDocument/2006/relationships/hyperlink" Target="https://advance.lexis.com/api/document?collection=administrative-codes&amp;id=urn:contentItem:5R5H-J1H0-008H-043K-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KS0-F5W0-008H-024V-00000-00&amp;context=" TargetMode="External" /><Relationship Id="rId41" Type="http://schemas.openxmlformats.org/officeDocument/2006/relationships/hyperlink" Target="https://advance.lexis.com/api/document?collection=administrative-codes&amp;id=urn:contentItem:5KS0-F600-008H-02PT-00000-00&amp;context=" TargetMode="External" /><Relationship Id="rId42" Type="http://schemas.openxmlformats.org/officeDocument/2006/relationships/hyperlink" Target="https://advance.lexis.com/api/document?collection=administrative-codes&amp;id=urn:contentItem:5KS0-F5W0-008H-025B-00000-00&amp;context=" TargetMode="External" /><Relationship Id="rId43" Type="http://schemas.openxmlformats.org/officeDocument/2006/relationships/hyperlink" Target="https://advance.lexis.com/api/document?collection=administrative-codes&amp;id=urn:contentItem:5HDM-DHF0-008G-Y2NJ-00000-00&amp;context=" TargetMode="External" /><Relationship Id="rId44" Type="http://schemas.openxmlformats.org/officeDocument/2006/relationships/hyperlink" Target="https://advance.lexis.com/api/document?collection=administrative-codes&amp;id=urn:contentItem:5F34-Y1R0-008G-Y1F9-00000-00&amp;context=" TargetMode="External" /><Relationship Id="rId45" Type="http://schemas.openxmlformats.org/officeDocument/2006/relationships/hyperlink" Target="https://advance.lexis.com/api/document?collection=administrative-codes&amp;id=urn:contentItem:5F2R-48P0-008G-Y31V-00000-00&amp;context=" TargetMode="External" /><Relationship Id="rId46" Type="http://schemas.openxmlformats.org/officeDocument/2006/relationships/hyperlink" Target="https://advance.lexis.com/api/document?collection=administrative-codes&amp;id=urn:contentItem:5GMB-DPC0-008H-02S7-00000-00&amp;context=" TargetMode="External" /><Relationship Id="rId47" Type="http://schemas.openxmlformats.org/officeDocument/2006/relationships/hyperlink" Target="https://advance.lexis.com/api/document?collection=administrative-codes&amp;id=urn:contentItem:5GMB-DPC0-008H-02SK-00000-00&amp;context=" TargetMode="External" /><Relationship Id="rId48" Type="http://schemas.openxmlformats.org/officeDocument/2006/relationships/hyperlink" Target="http://www.ed.gov/fund/grant/apply/appforms.html" TargetMode="External" /><Relationship Id="rId49" Type="http://schemas.openxmlformats.org/officeDocument/2006/relationships/hyperlink" Target="https://advance.lexis.com/api/document?collection=administrative-codes&amp;id=urn:contentItem:5GMB-DR10-008H-00WF-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GMB-DPB0-008H-027K-00000-00&amp;context=" TargetMode="External" /><Relationship Id="rId51" Type="http://schemas.openxmlformats.org/officeDocument/2006/relationships/hyperlink" Target="https://advance.lexis.com/api/document?collection=administrative-codes&amp;id=urn:contentItem:5GMB-DPB0-008H-02K8-00000-00&amp;context=" TargetMode="External" /><Relationship Id="rId52" Type="http://schemas.openxmlformats.org/officeDocument/2006/relationships/hyperlink" Target="http://www.gpo.gov/fdsys" TargetMode="External" /><Relationship Id="rId53" Type="http://schemas.openxmlformats.org/officeDocument/2006/relationships/hyperlink" Target="http://www.federalregister.gov" TargetMode="External" /><Relationship Id="rId54" Type="http://schemas.openxmlformats.org/officeDocument/2006/relationships/numbering" Target="numbering.xml" /><Relationship Id="rId55"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XM-FJ70-006W-814V-00000-00&amp;context=" TargetMode="External" /><Relationship Id="rId8" Type="http://schemas.openxmlformats.org/officeDocument/2006/relationships/hyperlink" Target="http://ies.ed.gov/ncee/wwc/PracticeGuide.aspx?sid=19" TargetMode="External" /><Relationship Id="rId9" Type="http://schemas.openxmlformats.org/officeDocument/2006/relationships/hyperlink" Target="https://advance.lexis.com/api/document?collection=statutes-legislation&amp;id=urn:contentItem:4YF7-GMJ1-NRF4-402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16522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71557592</vt:lpwstr>
  </property>
  <property fmtid="{D5CDD505-2E9C-101B-9397-08002B2CF9AE}" pid="3" name="LADocCount">
    <vt:lpwstr>1</vt:lpwstr>
  </property>
  <property fmtid="{D5CDD505-2E9C-101B-9397-08002B2CF9AE}" pid="4" name="UserPermID">
    <vt:lpwstr>urn:user:PA185916758</vt:lpwstr>
  </property>
</Properties>
</file>