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12208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039, Wednesday, March 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12208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Strengthening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Strengthening Institutions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84.031F.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Strengthening Institutions Program (SIP) provides grants to eligible institutions of higher education (IHEs) to help them become self-sufficient and expand their capacity to serve low-income students by providing funds to improve and strengthen the institution's academic quality, institutional management, and fiscal stability.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of Education (Department) is conducting two separate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SIP grants in 2017.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84.031F), applicants must address an absolute priority. The separate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CFDA number 84.031A does not include any priorities. The 84.031A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Applicants may apply for grants in both the 84.031A and 84.031F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but can only receive one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SIP Program is critical to the Department's efforts to improve college completion for students who have been traditionally underrepresented in postsecondary education. In recent years, SIP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given priority to applicants proposing evidence-based interventions.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provides larger awards than are available under the 84.031A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maintains that recent emphasis and goes one step further, by encouraging applicants to commit to conducting rigorous evaluations of those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responding to the absolute priority, we encourage applicants to not just identify the proposed evidence-based interventions, but also to describe how those interventions will be implemented in a way that will change institutional </w:t>
      </w:r>
      <w:r>
        <w:rPr>
          <w:rFonts w:ascii="arial" w:eastAsia="arial" w:hAnsi="arial" w:cs="arial"/>
          <w:b/>
          <w:i w:val="0"/>
          <w:strike w:val="0"/>
          <w:noProof w:val="0"/>
          <w:color w:val="000000"/>
          <w:position w:val="0"/>
          <w:sz w:val="20"/>
          <w:u w:val="none"/>
          <w:vertAlign w:val="baseline"/>
        </w:rPr>
        <w:t> [*12209] </w:t>
      </w:r>
      <w:r>
        <w:rPr>
          <w:rFonts w:ascii="arial" w:eastAsia="arial" w:hAnsi="arial" w:cs="arial"/>
          <w:b w:val="0"/>
          <w:i w:val="0"/>
          <w:strike w:val="0"/>
          <w:noProof w:val="0"/>
          <w:color w:val="000000"/>
          <w:position w:val="0"/>
          <w:sz w:val="20"/>
          <w:u w:val="none"/>
          <w:vertAlign w:val="baseline"/>
        </w:rPr>
        <w:t xml:space="preserve"> practices, cultures, and the overall institutional approach to improving results for students. In addition, to more strategically align SIP grants with broader reform strategies intended to improve college completion,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encourages applicants to propose activities designed to assist students in progressing into credit-bearing courses. Each year, substantial numbers of students enroll in college and are assigned to take developmental education courses. These non-credit bearing courses often introduce an additional barrier to college persistence and completion for college students, particularly at SIP-eligible institutions. We are interested in receiving applications with strong plans for improving outcomes for students who are academically underprepared for college.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absolute priority is from </w:t>
      </w:r>
      <w:hyperlink r:id="rId9"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311(c)(6) of the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moderate evidence of effectiveness.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identify on the Evidence of Effectiveness Form in the application package no more than two studies that underpin the primary practice or strategy they intend to carry out. In assessing the relevance of the research cited to support the proposed project, the Secretary will consider, among other factors, the portion of the requested funds that will be dedicated to the identified evidence-based activities. Cited studies may include both those already listed in the Department's What Works Clearinghouse (WWC) Database of Individual Studies (see </w:t>
      </w:r>
      <w:hyperlink r:id="rId10" w:history="1">
        <w:r>
          <w:rPr>
            <w:rFonts w:ascii="arial" w:eastAsia="arial" w:hAnsi="arial" w:cs="arial"/>
            <w:b w:val="0"/>
            <w:i/>
            <w:strike w:val="0"/>
            <w:noProof w:val="0"/>
            <w:color w:val="0077CC"/>
            <w:position w:val="0"/>
            <w:sz w:val="20"/>
            <w:u w:val="single"/>
            <w:vertAlign w:val="baseline"/>
          </w:rPr>
          <w:t>https://ies.ed.gov/ncee/wwc/ReviewedStudies#/OnlyStudiesWithPositiveEffects:false,SetNumber:1</w:t>
        </w:r>
      </w:hyperlink>
      <w:r>
        <w:rPr>
          <w:rFonts w:ascii="arial" w:eastAsia="arial" w:hAnsi="arial" w:cs="arial"/>
          <w:b w:val="0"/>
          <w:i w:val="0"/>
          <w:strike w:val="0"/>
          <w:noProof w:val="0"/>
          <w:color w:val="000000"/>
          <w:position w:val="0"/>
          <w:sz w:val="20"/>
          <w:u w:val="none"/>
          <w:vertAlign w:val="baseline"/>
        </w:rPr>
        <w:t>) and those that have not yet been reviewed by the WWC. Studies listed in the WWC Database of Individual Studies do not necessarily satisfy any or all of the criteria needed to meet the moderate evidence of effectiveness standard. Therefore, it is important that applicants themselves ascertain whether the study or studies for the evidence priority meets the standard for 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details regarding this and other aspects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 the application package.</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w:t>
        </w:r>
      </w:hyperlink>
      <w:r>
        <w:rPr>
          <w:rFonts w:ascii="arial" w:eastAsia="arial" w:hAnsi="arial" w:cs="arial"/>
          <w:b w:val="0"/>
          <w:i w:val="0"/>
          <w:strike w:val="0"/>
          <w:noProof w:val="0"/>
          <w:color w:val="000000"/>
          <w:position w:val="0"/>
          <w:sz w:val="20"/>
          <w:u w:val="none"/>
          <w:vertAlign w:val="baseline"/>
        </w:rPr>
        <w:t>, we award up to an additional three points to an application, depending on how well the application meets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provide tutoring, counseling, and student service programs designed to improve academic success, including innovative, customized, instruction courses designed to help retain students and move the students rapidly into core courses and through program completion, which may include remedial education and English language instruction.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2"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educational agency,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1057</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1059d</w:t>
        </w:r>
      </w:hyperlink>
      <w:r>
        <w:rPr>
          <w:rFonts w:ascii="arial" w:eastAsia="arial" w:hAnsi="arial" w:cs="arial"/>
          <w:b w:val="0"/>
          <w:i w:val="0"/>
          <w:strike w:val="0"/>
          <w:noProof w:val="0"/>
          <w:color w:val="000000"/>
          <w:position w:val="0"/>
          <w:sz w:val="20"/>
          <w:u w:val="none"/>
          <w:vertAlign w:val="baseline"/>
        </w:rPr>
        <w:t xml:space="preserve"> (title III, part A, of the Higher Education Act of 1965, as amended (HEA)).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2008, the HEA was amended by the Higher Education Opportunity Act of 2008 (HEOA), </w:t>
      </w:r>
      <w:r>
        <w:rPr>
          <w:rFonts w:ascii="arial" w:eastAsia="arial" w:hAnsi="arial" w:cs="arial"/>
          <w:b w:val="0"/>
          <w:i/>
          <w:strike w:val="0"/>
          <w:noProof w:val="0"/>
          <w:color w:val="000000"/>
          <w:position w:val="0"/>
          <w:sz w:val="20"/>
          <w:u w:val="none"/>
          <w:vertAlign w:val="baseline"/>
        </w:rPr>
        <w:t>Public Law 110-315</w:t>
      </w:r>
      <w:r>
        <w:rPr>
          <w:rFonts w:ascii="arial" w:eastAsia="arial" w:hAnsi="arial" w:cs="arial"/>
          <w:b w:val="0"/>
          <w:i w:val="0"/>
          <w:strike w:val="0"/>
          <w:noProof w:val="0"/>
          <w:color w:val="000000"/>
          <w:position w:val="0"/>
          <w:sz w:val="20"/>
          <w:u w:val="none"/>
          <w:vertAlign w:val="baseline"/>
        </w:rPr>
        <w:t xml:space="preserve">. The HEOA made a number of technical and substantive revisions to SIP. Please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SIP in 34 CFR part 607 have not been updated to reflect these statutory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80, 82, 84, 86, 97, 98, and 99. (b) The Education Department suspension and debarment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 Five-year Individual Development Grants will be awarded in FY 2017. </w:t>
      </w:r>
      <w:r>
        <w:rPr>
          <w:rFonts w:ascii="arial" w:eastAsia="arial" w:hAnsi="arial" w:cs="arial"/>
          <w:b/>
          <w:i w:val="0"/>
          <w:strike w:val="0"/>
          <w:noProof w:val="0"/>
          <w:color w:val="000000"/>
          <w:position w:val="0"/>
          <w:sz w:val="20"/>
          <w:u w:val="none"/>
          <w:vertAlign w:val="baseline"/>
        </w:rPr>
        <w:t> [*12210] </w:t>
      </w:r>
      <w:r>
        <w:rPr>
          <w:rFonts w:ascii="arial" w:eastAsia="arial" w:hAnsi="arial" w:cs="arial"/>
          <w:b w:val="0"/>
          <w:i w:val="0"/>
          <w:strike w:val="0"/>
          <w:noProof w:val="0"/>
          <w:color w:val="000000"/>
          <w:position w:val="0"/>
          <w:sz w:val="20"/>
          <w:u w:val="none"/>
          <w:vertAlign w:val="baseline"/>
        </w:rPr>
        <w:t xml:space="preserve"> Cooperative Arrangement Development Grants will not be made in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$ 86,534,000 for awards for the SIP program for FY 2017, of which we intend to use an estimated $ 3,699,000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$ 600,000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This program is authorized by title III, part A, of the HEA. To qualify as an eligible institution under any title III, part A program, an institution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accredited or preaccredited by a nationally recognized accrediting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 legally authorized by the State in which it is located to be a junior or community college or to provide an educational program for which it awards a bachelor's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Be designated as an "eligible institution" by demonstrating that it: (1) Has an enrollment of needy students as described in </w:t>
      </w:r>
      <w:hyperlink r:id="rId17" w:history="1">
        <w:r>
          <w:rPr>
            <w:rFonts w:ascii="arial" w:eastAsia="arial" w:hAnsi="arial" w:cs="arial"/>
            <w:b w:val="0"/>
            <w:i/>
            <w:strike w:val="0"/>
            <w:noProof w:val="0"/>
            <w:color w:val="0077CC"/>
            <w:position w:val="0"/>
            <w:sz w:val="20"/>
            <w:u w:val="single"/>
            <w:vertAlign w:val="baseline"/>
          </w:rPr>
          <w:t>34 CFR 607.3</w:t>
        </w:r>
      </w:hyperlink>
      <w:r>
        <w:rPr>
          <w:rFonts w:ascii="arial" w:eastAsia="arial" w:hAnsi="arial" w:cs="arial"/>
          <w:b w:val="0"/>
          <w:i w:val="0"/>
          <w:strike w:val="0"/>
          <w:noProof w:val="0"/>
          <w:color w:val="000000"/>
          <w:position w:val="0"/>
          <w:sz w:val="20"/>
          <w:u w:val="none"/>
          <w:vertAlign w:val="baseline"/>
        </w:rPr>
        <w:t xml:space="preserve">; and (2) has low average educational and general expenditures per full-time equivalent (FTE) undergraduate student as described in </w:t>
      </w:r>
      <w:hyperlink r:id="rId18" w:history="1">
        <w:r>
          <w:rPr>
            <w:rFonts w:ascii="arial" w:eastAsia="arial" w:hAnsi="arial" w:cs="arial"/>
            <w:b w:val="0"/>
            <w:i/>
            <w:strike w:val="0"/>
            <w:noProof w:val="0"/>
            <w:color w:val="0077CC"/>
            <w:position w:val="0"/>
            <w:sz w:val="20"/>
            <w:u w:val="single"/>
            <w:vertAlign w:val="baseline"/>
          </w:rPr>
          <w:t>34 CFR 607.4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2017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25, 2016 </w:t>
      </w:r>
      <w:r>
        <w:rPr>
          <w:rFonts w:ascii="arial" w:eastAsia="arial" w:hAnsi="arial" w:cs="arial"/>
          <w:b w:val="0"/>
          <w:i/>
          <w:strike w:val="0"/>
          <w:noProof w:val="0"/>
          <w:color w:val="000000"/>
          <w:position w:val="0"/>
          <w:sz w:val="20"/>
          <w:u w:val="none"/>
          <w:vertAlign w:val="baseline"/>
        </w:rPr>
        <w:t>(81 FR 85210).</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which are granted a waiver under the process described in that notice, may apply for a grant in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Relationship Between the Title III, Part A Programs and the Developing Hispanic-Serving Institutions (HSI)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grantee under the Developing Hispanic-Serving Institutions (HSI) program, which is authorized under title V of the HEA, may not receive a grant under any HEA, title III, part A program. The title III, part A programs are: SIP; the Tribally Controlled Colleges and Universities program; the Alaska Native and Native Hawaiian-Serving Institutions program; the Asian American and Native American Pacific Islander-Serving Institutions program; and the Native American-Serving Nontribal Institutions program. Furthermore, a current HSI program grantee may not give up its HSI grant to receive a grant under SIP or any title III, part A program as described in </w:t>
      </w:r>
      <w:hyperlink r:id="rId19" w:history="1">
        <w:r>
          <w:rPr>
            <w:rFonts w:ascii="arial" w:eastAsia="arial" w:hAnsi="arial" w:cs="arial"/>
            <w:b w:val="0"/>
            <w:i/>
            <w:strike w:val="0"/>
            <w:noProof w:val="0"/>
            <w:color w:val="0077CC"/>
            <w:position w:val="0"/>
            <w:sz w:val="20"/>
            <w:u w:val="single"/>
            <w:vertAlign w:val="baseline"/>
          </w:rPr>
          <w:t>34 CFR 607.2(g)(1)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eligible HSI that is not a current grantee under the HSI program may apply for a FY 2017 grant under all title III, part A programs for which it is eligible, as well as receive consideration for a grant under the HSI program. However, a successful applicant may receive only one grant as described in </w:t>
      </w:r>
      <w:hyperlink r:id="rId19" w:history="1">
        <w:r>
          <w:rPr>
            <w:rFonts w:ascii="arial" w:eastAsia="arial" w:hAnsi="arial" w:cs="arial"/>
            <w:b w:val="0"/>
            <w:i/>
            <w:strike w:val="0"/>
            <w:noProof w:val="0"/>
            <w:color w:val="0077CC"/>
            <w:position w:val="0"/>
            <w:sz w:val="20"/>
            <w:u w:val="single"/>
            <w:vertAlign w:val="baseline"/>
          </w:rPr>
          <w:t>34 CFR 607.2(g)(1)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the grantee uses a portion of its grant for establishing or improving an endowment fund. If a grantee uses a portion of its grant for endowment fund purposes, it must match those grant funds with non-Federal funds (</w:t>
      </w:r>
      <w:hyperlink r:id="rId20" w:history="1">
        <w:r>
          <w:rPr>
            <w:rFonts w:ascii="arial" w:eastAsia="arial" w:hAnsi="arial" w:cs="arial"/>
            <w:b w:val="0"/>
            <w:i/>
            <w:strike w:val="0"/>
            <w:noProof w:val="0"/>
            <w:color w:val="0077CC"/>
            <w:position w:val="0"/>
            <w:sz w:val="20"/>
            <w:u w:val="single"/>
            <w:vertAlign w:val="baseline"/>
          </w:rPr>
          <w:t>20 U.S.C. 1059c(c) (3)(B)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Grant funds must be used so that they supplement and, to the extent practical, increase the funds that would otherwise be available for the activities to be carried out under the grant and in no case supplant those funds (</w:t>
      </w:r>
      <w:hyperlink r:id="rId21" w:history="1">
        <w:r>
          <w:rPr>
            <w:rFonts w:ascii="arial" w:eastAsia="arial" w:hAnsi="arial" w:cs="arial"/>
            <w:b w:val="0"/>
            <w:i/>
            <w:strike w:val="0"/>
            <w:noProof w:val="0"/>
            <w:color w:val="0077CC"/>
            <w:position w:val="0"/>
            <w:sz w:val="20"/>
            <w:u w:val="single"/>
            <w:vertAlign w:val="baseline"/>
          </w:rPr>
          <w:t>34 CFR 607.30(b)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IHE, if selected for a SIP award, can only receive funding for one award under this program. If the IHE scores within the funding range for both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IHE will be awarded the grant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via the Internet using the following address: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have access to the Internet, please contact Nalini Lamba-Nieves, or Jymece Seward, U.S. Department of Education, 400 Maryland Avenue SW., Room 4C103, Washington, DC 20202-6450. You may contact the individuals at the following email addresses and telephone numbers: </w:t>
      </w:r>
      <w:hyperlink r:id="rId23" w:history="1">
        <w:r>
          <w:rPr>
            <w:rFonts w:ascii="arial" w:eastAsia="arial" w:hAnsi="arial" w:cs="arial"/>
            <w:b w:val="0"/>
            <w:i/>
            <w:strike w:val="0"/>
            <w:noProof w:val="0"/>
            <w:color w:val="0077CC"/>
            <w:position w:val="0"/>
            <w:sz w:val="20"/>
            <w:u w:val="single"/>
            <w:vertAlign w:val="baseline"/>
          </w:rPr>
          <w:t>Nalini.Lamba-Nieves@ed.gov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453-7953; and </w:t>
      </w:r>
      <w:hyperlink r:id="rId24" w:history="1">
        <w:r>
          <w:rPr>
            <w:rFonts w:ascii="arial" w:eastAsia="arial" w:hAnsi="arial" w:cs="arial"/>
            <w:b w:val="0"/>
            <w:i/>
            <w:strike w:val="0"/>
            <w:noProof w:val="0"/>
            <w:color w:val="0077CC"/>
            <w:position w:val="0"/>
            <w:sz w:val="20"/>
            <w:u w:val="single"/>
            <w:vertAlign w:val="baseline"/>
          </w:rPr>
          <w:t>Jymece.Seward@ed.gov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453-6138.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contacts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forms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have established mandatory page limits. You must limit the section of the application narrative that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selection criteria, including the budget narrative of the selection criteria, to no more than 55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absolute priority to no more than three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no more than two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under no circumstances may the application narrative exceed 60 pages. Applicants must provide information addressing the absolute priority in the section of the application narrative titled </w:t>
      </w:r>
      <w:r>
        <w:rPr>
          <w:rFonts w:ascii="arial" w:eastAsia="arial" w:hAnsi="arial" w:cs="arial"/>
          <w:b w:val="0"/>
          <w:i/>
          <w:strike w:val="0"/>
          <w:noProof w:val="0"/>
          <w:color w:val="000000"/>
          <w:position w:val="0"/>
          <w:sz w:val="20"/>
          <w:u w:val="none"/>
          <w:vertAlign w:val="baseline"/>
        </w:rPr>
        <w:t>Absolute Priority--Moderate Evidence of Effectiveness</w:t>
      </w:r>
      <w:r>
        <w:rPr>
          <w:rFonts w:ascii="arial" w:eastAsia="arial" w:hAnsi="arial" w:cs="arial"/>
          <w:b w:val="0"/>
          <w:i w:val="0"/>
          <w:strike w:val="0"/>
          <w:noProof w:val="0"/>
          <w:color w:val="000000"/>
          <w:position w:val="0"/>
          <w:sz w:val="20"/>
          <w:u w:val="none"/>
          <w:vertAlign w:val="baseline"/>
        </w:rPr>
        <w:t xml:space="preserve">. If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applicants must provide information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the section of the application narrative titled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Applicants must use the following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"page" is 8.5" x 11", on one side only, with 1" margins at the top, bottom, and both sides. Page numbers and an identifier may be outside of the 1"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Each page on which there is text or graphics will be counted as one full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Text in charts, tables, figures, and graphs in the </w:t>
      </w:r>
      <w:r>
        <w:rPr>
          <w:rFonts w:ascii="arial" w:eastAsia="arial" w:hAnsi="arial" w:cs="arial"/>
          <w:b/>
          <w:i w:val="0"/>
          <w:strike w:val="0"/>
          <w:noProof w:val="0"/>
          <w:color w:val="000000"/>
          <w:position w:val="0"/>
          <w:sz w:val="20"/>
          <w:u w:val="none"/>
          <w:vertAlign w:val="baseline"/>
        </w:rPr>
        <w:t> [*12211] </w:t>
      </w:r>
      <w:r>
        <w:rPr>
          <w:rFonts w:ascii="arial" w:eastAsia="arial" w:hAnsi="arial" w:cs="arial"/>
          <w:b w:val="0"/>
          <w:i w:val="0"/>
          <w:strike w:val="0"/>
          <w:noProof w:val="0"/>
          <w:color w:val="000000"/>
          <w:position w:val="0"/>
          <w:sz w:val="20"/>
          <w:u w:val="none"/>
          <w:vertAlign w:val="baseline"/>
        </w:rPr>
        <w:t xml:space="preserve"> application narrative may be single spaced and will count toward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a font that is either 12 point or larger, and no smaller than 10 pitch (characters per inch). However, you may use a 10-point font in charts, tables, figures, graphs, footnotes, and endnotes.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Application for Federal Assistance (SF 424-cover sheet); the Supplemental Information for SF 424 Form required by the Department of Education; Part II, the Budget Information-Non-Construction Programs Form (ED 524); Section A--Budget Summary--U.S. Department of Education Funds; Section B--Budget Summary--Non-Federal Funds; Section C--Budget Narrative; Part IV, the assurances and certifications; the one-page program abstract; the table of contents; or the bibliography. If you include any attachments or appendices not specifically requested in the application package, these items will be counted as part of your application narrative for the purpose of the page-limit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Budget Information-Non-Construction Programs Form (ED 524) Sections A-C are not the same as the narrative response to the Budget section of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persons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We specify unallowable costs in </w:t>
      </w:r>
      <w:hyperlink r:id="rId25" w:history="1">
        <w:r>
          <w:rPr>
            <w:rFonts w:ascii="arial" w:eastAsia="arial" w:hAnsi="arial" w:cs="arial"/>
            <w:b w:val="0"/>
            <w:i/>
            <w:strike w:val="0"/>
            <w:noProof w:val="0"/>
            <w:color w:val="0077CC"/>
            <w:position w:val="0"/>
            <w:sz w:val="20"/>
            <w:u w:val="single"/>
            <w:vertAlign w:val="baseline"/>
          </w:rPr>
          <w:t>34 CFR 607.10(c)</w:t>
        </w:r>
      </w:hyperlink>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Applicants that apply for construction funds under the title III, part A, HEA programs, must comply with Executive Order 13202, signed by former President George W. Bush on February 17, 2001, and amended on April 6, 2001.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adhere to agreements with one or more labor organizations, on the same or other construction project(s)." However, the Executive order does not prohibit contractors or subcontractors from voluntarily entering into these agreements. Projects funded under this program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[*12212]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SIP (CFDA number 84.031F)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then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t>
      </w:r>
      <w:r>
        <w:rPr>
          <w:rFonts w:ascii="arial" w:eastAsia="arial" w:hAnsi="arial" w:cs="arial"/>
          <w:b/>
          <w:i w:val="0"/>
          <w:strike w:val="0"/>
          <w:noProof w:val="0"/>
          <w:color w:val="000000"/>
          <w:position w:val="0"/>
          <w:sz w:val="20"/>
          <w:u w:val="none"/>
          <w:vertAlign w:val="baseline"/>
        </w:rPr>
        <w:t> [*12213] </w:t>
      </w:r>
      <w:r>
        <w:rPr>
          <w:rFonts w:ascii="arial" w:eastAsia="arial" w:hAnsi="arial" w:cs="arial"/>
          <w:b w:val="0"/>
          <w:i w:val="0"/>
          <w:strike w:val="0"/>
          <w:noProof w:val="0"/>
          <w:color w:val="000000"/>
          <w:position w:val="0"/>
          <w:sz w:val="20"/>
          <w:u w:val="none"/>
          <w:vertAlign w:val="baseline"/>
        </w:rPr>
        <w:t xml:space="preserve">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access to the Internet;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James E. Laws, Jr., U.S. Department of Education, 400 Maryland Avenue SW., Room 4C141, Washington, DC 20202-6450. FAX: (202) 401-8466.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84.031F),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84.031F), 550 12th Street SW., Room 7041,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1" w:history="1">
        <w:r>
          <w:rPr>
            <w:rFonts w:ascii="arial" w:eastAsia="arial" w:hAnsi="arial" w:cs="arial"/>
            <w:b w:val="0"/>
            <w:i/>
            <w:strike w:val="0"/>
            <w:noProof w:val="0"/>
            <w:color w:val="0077CC"/>
            <w:position w:val="0"/>
            <w:sz w:val="20"/>
            <w:u w:val="single"/>
            <w:vertAlign w:val="baseline"/>
          </w:rPr>
          <w:t>34 CFR 607.22(a)</w:t>
        </w:r>
      </w:hyperlink>
      <w:r>
        <w:rPr>
          <w:rFonts w:ascii="arial" w:eastAsia="arial" w:hAnsi="arial" w:cs="arial"/>
          <w:b w:val="0"/>
          <w:i w:val="0"/>
          <w:strike w:val="0"/>
          <w:noProof w:val="0"/>
          <w:color w:val="000000"/>
          <w:position w:val="0"/>
          <w:sz w:val="20"/>
          <w:u w:val="none"/>
          <w:vertAlign w:val="baseline"/>
        </w:rPr>
        <w:t xml:space="preserve"> through (g) and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Applicants must address each of the following selection criteria (separately for each proposed activity). The total weight of the selection criteria is 105 points; the maximum score for each criterion is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design of the proposed project. In determining the quality of the design of the proposed project, the Secretary considers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(Maximum 15 Points) 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(Maximum 15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rationale for the implementation strategy for each activity is clearly described and is supported by the results of relevant studies or projects; and </w:t>
      </w:r>
      <w:r>
        <w:rPr>
          <w:rFonts w:ascii="arial" w:eastAsia="arial" w:hAnsi="arial" w:cs="arial"/>
          <w:b/>
          <w:i w:val="0"/>
          <w:strike w:val="0"/>
          <w:noProof w:val="0"/>
          <w:color w:val="000000"/>
          <w:position w:val="0"/>
          <w:sz w:val="20"/>
          <w:u w:val="none"/>
          <w:vertAlign w:val="baseline"/>
        </w:rPr>
        <w:t> [*12214]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(Maximum 8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(Maximum 10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if well-implemented, produce evidence about the project's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(Maximum 7 Points) The extent to which the proposed costs are necessary and reasonable in relation to the project's objectives and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panel of three non-Federal reviewers will review and score each application in accordance with the selection criteria in </w:t>
      </w:r>
      <w:hyperlink r:id="rId31" w:history="1">
        <w:r>
          <w:rPr>
            <w:rFonts w:ascii="arial" w:eastAsia="arial" w:hAnsi="arial" w:cs="arial"/>
            <w:b w:val="0"/>
            <w:i/>
            <w:strike w:val="0"/>
            <w:noProof w:val="0"/>
            <w:color w:val="0077CC"/>
            <w:position w:val="0"/>
            <w:sz w:val="20"/>
            <w:u w:val="single"/>
            <w:vertAlign w:val="baseline"/>
          </w:rPr>
          <w:t>34 CFR 607.22(a)</w:t>
        </w:r>
      </w:hyperlink>
      <w:r>
        <w:rPr>
          <w:rFonts w:ascii="arial" w:eastAsia="arial" w:hAnsi="arial" w:cs="arial"/>
          <w:b w:val="0"/>
          <w:i w:val="0"/>
          <w:strike w:val="0"/>
          <w:noProof w:val="0"/>
          <w:color w:val="000000"/>
          <w:position w:val="0"/>
          <w:sz w:val="20"/>
          <w:u w:val="none"/>
          <w:vertAlign w:val="baseline"/>
        </w:rPr>
        <w:t xml:space="preserve"> through (g) and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panel will also assess the relevance of the evidence submitted in response to the absolute priority. A rank order funding slate will be made from this review, and the Department will determine which applicants will be considered for funding based on their reviewed scores. Applicants whose scores fall below the funding range will not have their applications further reviewed. For applications within the funding range, the Institute for Education Sciences (IES) will then evaluate the quality of their evidence to determine whether it meets the definition of "moderate evidence of effectiveness" under the absolute priority. Applicants whose evidence does not meet the requirements of the absolute priority are not eligible for funding. The Department will continue reviewing the evidence submitted by applicants within the preliminary funding range until it has a sufficient number of applicants that are highly rated and meet the requirements of the absolute priority and the Department has used all funding available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applicants that meet the requirements of the absolute priority, awards will be made in rank order according to the average score received from the non-Federal peer reviewers.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Tie-breaker.</w:t>
      </w:r>
      <w:r>
        <w:rPr>
          <w:rFonts w:ascii="arial" w:eastAsia="arial" w:hAnsi="arial" w:cs="arial"/>
          <w:b w:val="0"/>
          <w:i w:val="0"/>
          <w:strike w:val="0"/>
          <w:noProof w:val="0"/>
          <w:color w:val="000000"/>
          <w:position w:val="0"/>
          <w:sz w:val="20"/>
          <w:u w:val="none"/>
          <w:vertAlign w:val="baseline"/>
        </w:rPr>
        <w:t xml:space="preserve"> In tie-breaking situations, </w:t>
      </w:r>
      <w:hyperlink r:id="rId39" w:history="1">
        <w:r>
          <w:rPr>
            <w:rFonts w:ascii="arial" w:eastAsia="arial" w:hAnsi="arial" w:cs="arial"/>
            <w:b w:val="0"/>
            <w:i/>
            <w:strike w:val="0"/>
            <w:noProof w:val="0"/>
            <w:color w:val="0077CC"/>
            <w:position w:val="0"/>
            <w:sz w:val="20"/>
            <w:u w:val="single"/>
            <w:vertAlign w:val="baseline"/>
          </w:rPr>
          <w:t>34 CFR 607.23(b)</w:t>
        </w:r>
      </w:hyperlink>
      <w:r>
        <w:rPr>
          <w:rFonts w:ascii="arial" w:eastAsia="arial" w:hAnsi="arial" w:cs="arial"/>
          <w:b w:val="0"/>
          <w:i w:val="0"/>
          <w:strike w:val="0"/>
          <w:noProof w:val="0"/>
          <w:color w:val="000000"/>
          <w:position w:val="0"/>
          <w:sz w:val="20"/>
          <w:u w:val="none"/>
          <w:vertAlign w:val="baseline"/>
        </w:rPr>
        <w:t xml:space="preserve"> requires that we award one additional point to an application from an IHE that has an endowment fund of which the current market value, per FTE enrolled student, is less than the average current market value of the endowment funds, per FTE enrolled student, at comparable type institutions that offer similar instruction. We award one additional point to an application from an IHE that has expenditures for library materials per FTE enrolled student that are less than the average expenditure for library materials per FTE enrolled student at similar type institutions. We also add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use 2014-2015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to applicants that have the lowest endowment values per FTE enrolled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0"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w:t>
      </w:r>
      <w:r>
        <w:rPr>
          <w:rFonts w:ascii="arial" w:eastAsia="arial" w:hAnsi="arial" w:cs="arial"/>
          <w:b/>
          <w:i w:val="0"/>
          <w:strike w:val="0"/>
          <w:noProof w:val="0"/>
          <w:color w:val="000000"/>
          <w:position w:val="0"/>
          <w:sz w:val="20"/>
          <w:u w:val="none"/>
          <w:vertAlign w:val="baseline"/>
        </w:rPr>
        <w:t> [*12215] </w:t>
      </w:r>
      <w:r>
        <w:rPr>
          <w:rFonts w:ascii="arial" w:eastAsia="arial" w:hAnsi="arial" w:cs="arial"/>
          <w:b w:val="0"/>
          <w:i w:val="0"/>
          <w:strike w:val="0"/>
          <w:noProof w:val="0"/>
          <w:color w:val="000000"/>
          <w:position w:val="0"/>
          <w:sz w:val="20"/>
          <w:u w:val="none"/>
          <w:vertAlign w:val="baseline"/>
        </w:rPr>
        <w:t xml:space="preserve">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34 CFR 607.31</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period, of the number of full-time degree-seeking undergraduates enrolled at SIP institutions. Note that this is a long-term measure that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SIP institutions who were in their first year of postsecondary enrollment in the previous year and are enrolled in the current year at the same SIP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SIP institutions who were in their first year of postsecondary enrollment in the previous year and are enrolled in the current year at the same SIP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SIP institutions graduating within six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degree-seeking undergraduate students enrolled at two-year SIP institutions graduating within three years of enrollment.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budgets;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Nalini Lamba-Nieves, and Jymece Seward, U.S. Department of Education, 400 Maryland Avenue SW., Room 4C103, Washington, DC 20202-6450. You may contact these individuals at the following email addresses and telephone numbers: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Nalini.Lamba-Nieves@ed.gov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453-7953</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Jymece.Seward@ed.gov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453-6138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2017-04005 Filed 2-28-17;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16,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12208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es.ed.gov/ncee/wwc/ReviewedStudies#/OnlyStudiesWithPositiveEffects:false,SetNumber:1"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relpacific.mcrel.org/resources/elm-app/" TargetMode="External" /><Relationship Id="rId13" Type="http://schemas.openxmlformats.org/officeDocument/2006/relationships/hyperlink" Target="http://files.eric.ed.gov/fulltext/ED544779.pdf" TargetMode="External" /><Relationship Id="rId14" Type="http://schemas.openxmlformats.org/officeDocument/2006/relationships/hyperlink" Target="http://ies.ed.gov/ncee/wwc/DocumentSum.aspx?sid=19" TargetMode="External" /><Relationship Id="rId15" Type="http://schemas.openxmlformats.org/officeDocument/2006/relationships/hyperlink" Target="https://advance.lexis.com/api/document?collection=statutes-legislation&amp;id=urn:contentItem:4YF7-GKH1-NRF4-40RB-00000-00&amp;context=" TargetMode="External" /><Relationship Id="rId16" Type="http://schemas.openxmlformats.org/officeDocument/2006/relationships/hyperlink" Target="https://advance.lexis.com/api/document?collection=statutes-legislation&amp;id=urn:contentItem:4YF7-GS01-NRF4-42X2-00000-00&amp;context=" TargetMode="External" /><Relationship Id="rId17" Type="http://schemas.openxmlformats.org/officeDocument/2006/relationships/hyperlink" Target="https://advance.lexis.com/api/document?collection=administrative-codes&amp;id=urn:contentItem:5RWB-NH10-008H-04GR-00000-00&amp;context=" TargetMode="External" /><Relationship Id="rId18" Type="http://schemas.openxmlformats.org/officeDocument/2006/relationships/hyperlink" Target="https://advance.lexis.com/api/document?collection=administrative-codes&amp;id=urn:contentItem:5RWB-NH00-008H-040N-00000-00&amp;context=" TargetMode="External" /><Relationship Id="rId19" Type="http://schemas.openxmlformats.org/officeDocument/2006/relationships/hyperlink" Target="https://advance.lexis.com/api/document?collection=administrative-codes&amp;id=urn:contentItem:5RWB-NH10-008H-04G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61-NRF4-42TW-00000-00&amp;context=" TargetMode="External" /><Relationship Id="rId21" Type="http://schemas.openxmlformats.org/officeDocument/2006/relationships/hyperlink" Target="https://advance.lexis.com/api/document?collection=administrative-codes&amp;id=urn:contentItem:5RWB-NGY0-008H-03RC-00000-00&amp;context=" TargetMode="External" /><Relationship Id="rId22" Type="http://schemas.openxmlformats.org/officeDocument/2006/relationships/hyperlink" Target="http://www.Grants.gov" TargetMode="External" /><Relationship Id="rId23" Type="http://schemas.openxmlformats.org/officeDocument/2006/relationships/hyperlink" Target="mailto:Nalini.Lamba-Nieves@ed.gov" TargetMode="External" /><Relationship Id="rId24" Type="http://schemas.openxmlformats.org/officeDocument/2006/relationships/hyperlink" Target="mailto:Jymece.Seward@ed.gov" TargetMode="External" /><Relationship Id="rId25" Type="http://schemas.openxmlformats.org/officeDocument/2006/relationships/hyperlink" Target="https://advance.lexis.com/api/document?collection=administrative-codes&amp;id=urn:contentItem:5RWB-NH10-008H-04MP-00000-00&amp;context="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www.grants.gov/web/grants/applicants/apply-for-grants.html" TargetMode="External" /><Relationship Id="rId31" Type="http://schemas.openxmlformats.org/officeDocument/2006/relationships/hyperlink" Target="https://advance.lexis.com/api/document?collection=administrative-codes&amp;id=urn:contentItem:5RWB-NH20-008H-04W1-00000-00&amp;context="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s://advance.lexis.com/api/document?collection=administrative-codes&amp;id=urn:contentItem:5GMB-DPB0-008H-02GP-00000-00&amp;context=" TargetMode="External" /><Relationship Id="rId34" Type="http://schemas.openxmlformats.org/officeDocument/2006/relationships/hyperlink" Target="https://advance.lexis.com/api/document?collection=administrative-codes&amp;id=urn:contentItem:5KS0-F5W0-008H-023P-00000-00&amp;context=" TargetMode="External" /><Relationship Id="rId35" Type="http://schemas.openxmlformats.org/officeDocument/2006/relationships/hyperlink" Target="https://advance.lexis.com/api/document?collection=administrative-codes&amp;id=urn:contentItem:5R5H-J1H0-008H-043K-00000-00&amp;context=" TargetMode="External" /><Relationship Id="rId36" Type="http://schemas.openxmlformats.org/officeDocument/2006/relationships/hyperlink" Target="https://advance.lexis.com/api/document?collection=administrative-codes&amp;id=urn:contentItem:5KS0-F5W0-008H-024V-00000-00&amp;context=" TargetMode="External" /><Relationship Id="rId37" Type="http://schemas.openxmlformats.org/officeDocument/2006/relationships/hyperlink" Target="https://advance.lexis.com/api/document?collection=administrative-codes&amp;id=urn:contentItem:5KS0-F600-008H-02PT-00000-00&amp;context=" TargetMode="External" /><Relationship Id="rId38" Type="http://schemas.openxmlformats.org/officeDocument/2006/relationships/hyperlink" Target="https://advance.lexis.com/api/document?collection=administrative-codes&amp;id=urn:contentItem:5KS0-F5W0-008H-025B-00000-00&amp;context=" TargetMode="External" /><Relationship Id="rId39" Type="http://schemas.openxmlformats.org/officeDocument/2006/relationships/hyperlink" Target="https://advance.lexis.com/api/document?collection=administrative-codes&amp;id=urn:contentItem:5RWB-NH20-008H-04W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DM-DHF0-008G-Y2NJ-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RWB-NH00-008H-040T-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K8-00000-00&amp;context=" TargetMode="External" /><Relationship Id="rId48" Type="http://schemas.openxmlformats.org/officeDocument/2006/relationships/hyperlink" Target="http://www.gpo.gov/fdsys" TargetMode="External" /><Relationship Id="rId49" Type="http://schemas.openxmlformats.org/officeDocument/2006/relationships/hyperlink" Target="http://www.federalregister.gov" TargetMode="Externa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0C-6120-006W-81XM-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P5K-6FW0-008H-034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