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13442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047, Monday, March 13,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13442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13,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Gaining Early Awareness and Readiness for Undergraduate Programs (State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Gaining Early Awareness and Readiness for Undergraduate Programs (GEAR UP): Notice inviting applications for new awards for fiscal year (FY) 2017. Catalog of Federal Domestic Assistance (CFDA) Number: 84.334S.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Gaining Early Awareness and Readiness for Undergraduate Programs (GEAR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GEAR UP Program is a discretionary grant program that provides funding for academic and related support services to eligible low-income students, including students with disabilities and English learners, to help them to obtain a secondary school diploma and to prepare for and succeed in postsecondary education. Under the GEAR UP Program, the Department awards grants to two types of entities: (1) States and (2) partnerships comprised, at minimum, of institutions of higher education (IHE)s and local educational agencies (LEAs).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notice we invite applications for State grants only. We will invite applications for partnership grants in another notice. Required services under the GEAR UP Program are specified in sections 404D(a) of the Higher Education Act of 1965, as amended (HEA) (</w:t>
      </w:r>
      <w:hyperlink r:id="rId8" w:history="1">
        <w:r>
          <w:rPr>
            <w:rFonts w:ascii="arial" w:eastAsia="arial" w:hAnsi="arial" w:cs="arial"/>
            <w:b w:val="0"/>
            <w:i/>
            <w:strike w:val="0"/>
            <w:noProof w:val="0"/>
            <w:color w:val="0077CC"/>
            <w:position w:val="0"/>
            <w:sz w:val="20"/>
            <w:u w:val="single"/>
            <w:vertAlign w:val="baseline"/>
          </w:rPr>
          <w:t>20 U.S.C. 1070a-24(a)</w:t>
        </w:r>
      </w:hyperlink>
      <w:r>
        <w:rPr>
          <w:rFonts w:ascii="arial" w:eastAsia="arial" w:hAnsi="arial" w:cs="arial"/>
          <w:b w:val="0"/>
          <w:i w:val="0"/>
          <w:strike w:val="0"/>
          <w:noProof w:val="0"/>
          <w:color w:val="000000"/>
          <w:position w:val="0"/>
          <w:sz w:val="20"/>
          <w:u w:val="none"/>
          <w:vertAlign w:val="baseline"/>
        </w:rPr>
        <w:t>), and permissible services under the GEAR UP Program are specified in section 404D(b) and (c) of the HEA (</w:t>
      </w:r>
      <w:hyperlink r:id="rId8" w:history="1">
        <w:r>
          <w:rPr>
            <w:rFonts w:ascii="arial" w:eastAsia="arial" w:hAnsi="arial" w:cs="arial"/>
            <w:b w:val="0"/>
            <w:i/>
            <w:strike w:val="0"/>
            <w:noProof w:val="0"/>
            <w:color w:val="0077CC"/>
            <w:position w:val="0"/>
            <w:sz w:val="20"/>
            <w:u w:val="single"/>
            <w:vertAlign w:val="baseline"/>
          </w:rPr>
          <w:t>20 U.S.C. 1070a-24(b)</w:t>
        </w:r>
      </w:hyperlink>
      <w:r>
        <w:rPr>
          <w:rFonts w:ascii="arial" w:eastAsia="arial" w:hAnsi="arial" w:cs="arial"/>
          <w:b w:val="0"/>
          <w:i w:val="0"/>
          <w:strike w:val="0"/>
          <w:noProof w:val="0"/>
          <w:color w:val="000000"/>
          <w:position w:val="0"/>
          <w:sz w:val="20"/>
          <w:u w:val="none"/>
          <w:vertAlign w:val="baseline"/>
        </w:rPr>
        <w:t xml:space="preserve"> and (c)). For State grantees, services must include providing financial aid information, encouraging enrollment in challenging coursework in order to reduce the need for remediation at the postsecondary level, implementing activities to improve the number of students who obtain a high school diploma and complete applications for and enroll in a program of postsecondary education, and provision of scholarships as specified in section 404E of the HEA. GEAR UP funds may also be used to provide a number of additional support services such as mentoring, tutoring, academic English language development, academic and career counseling, and exposure to college campuses.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GEAR UP Program is a critical component of the Department's efforts to improve college access and completion for students who have been traditionally underrepresented in postsecondary education. The Department believes that GEAR UP projects can play an essential role in improving postsecondary outcomes of their participants by placing a greater emphasis on increasing readiness for success once students reach the postsecondary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year, rather than being able to enroll in entry-level general education courses in subject areas such as reading or math that are required as a part of almost any postsecondary program of study, hundreds of thousands of beginning college students are referred to noncredit-bearing "developmental" or "remedial" courses based on their performance on a placement test or academic reference. Remedial or developmental courses are designed to bring academically underprepared students to expected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levels for college-level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Remediation needs are common at all types of colleges. According to recent National Center for Education Statistics (NCES) research, 68 percent of public two-year students and 40 percent of public four-year students who began their postsecondary education in 2003 took at least one remedial course by 2009. n1 Remedial course-taking rates are higher among some subgroups of students, including African American students, Hispanic students, English learners, students from low-income families, and first-generation students.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http://nces.ed.gov/pubs2016/2016405.pdf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http://nces.ed.gov/pubs2016/2016405.pdf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for too many students remedial education represents a barrier to postsecondary persistence and completion. n3 While in remediation, students spend time and money, may accumulate debt, add to their opportunity costs of lost earnings, and in some cases, deplete a significant portion of their eligibility for financial aid. Further, available evidence suggests that participation in remedial education, especially longer sequences of remedial courses, generally does not improve outcomes; on the contrary, data show that students who take remedial education courses are more likely to drop out before completing a degree. n4 Remedial education also carries significant costs to the Federal </w:t>
      </w:r>
      <w:r>
        <w:rPr>
          <w:rFonts w:ascii="arial" w:eastAsia="arial" w:hAnsi="arial" w:cs="arial"/>
          <w:b/>
          <w:i w:val="0"/>
          <w:strike w:val="0"/>
          <w:noProof w:val="0"/>
          <w:color w:val="000000"/>
          <w:position w:val="0"/>
          <w:sz w:val="20"/>
          <w:u w:val="none"/>
          <w:vertAlign w:val="baseline"/>
        </w:rPr>
        <w:t> [*13443] </w:t>
      </w:r>
      <w:r>
        <w:rPr>
          <w:rFonts w:ascii="arial" w:eastAsia="arial" w:hAnsi="arial" w:cs="arial"/>
          <w:b w:val="0"/>
          <w:i w:val="0"/>
          <w:strike w:val="0"/>
          <w:noProof w:val="0"/>
          <w:color w:val="000000"/>
          <w:position w:val="0"/>
          <w:sz w:val="20"/>
          <w:u w:val="none"/>
          <w:vertAlign w:val="baseline"/>
        </w:rPr>
        <w:t xml:space="preserve"> government and to States, in addition to the costs borne by students and families.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MDRC, Unlocking the Gate: What We Know About Improving Developmental Education, June 2011 (</w:t>
      </w:r>
      <w:r>
        <w:rPr>
          <w:rFonts w:ascii="arial" w:eastAsia="arial" w:hAnsi="arial" w:cs="arial"/>
          <w:b w:val="0"/>
          <w:i/>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www.mdrc.org/sites/default/files/full_595.pdf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Attewell, P.A., Lavin, D.E., Domina, T., &amp; Levey, T., 2006, New Evidence on College Remediation, The Journal of Higher Education. (</w:t>
      </w:r>
      <w:hyperlink r:id="rId11" w:history="1">
        <w:r>
          <w:rPr>
            <w:rFonts w:ascii="arial" w:eastAsia="arial" w:hAnsi="arial" w:cs="arial"/>
            <w:b w:val="0"/>
            <w:i/>
            <w:strike w:val="0"/>
            <w:noProof w:val="0"/>
            <w:color w:val="0077CC"/>
            <w:position w:val="0"/>
            <w:sz w:val="20"/>
            <w:u w:val="single"/>
            <w:vertAlign w:val="baseline"/>
          </w:rPr>
          <w:t>www.jstor.org/stable/3838791</w:t>
        </w:r>
      </w:hyperlink>
      <w:r>
        <w:rPr>
          <w:rFonts w:ascii="arial" w:eastAsia="arial" w:hAnsi="arial" w:cs="arial"/>
          <w:b w:val="0"/>
          <w:i w:val="0"/>
          <w:strike w:val="0"/>
          <w:noProof w:val="0"/>
          <w:color w:val="000000"/>
          <w:position w:val="0"/>
          <w:sz w:val="20"/>
          <w:u w:val="none"/>
          <w:vertAlign w:val="baseline"/>
        </w:rPr>
        <w:t xml:space="preserve"> (even after controlling for high school preparation and family background, taking developmental courses reduced the chances of graduation at four-year colleges and universities by 6 to 7 percent). Thomas Bailey, Dong Wook Jeong, Sung-Woo Cho, Referral, Enrollment, and Completion in Developmental Education Sequences in Community Colleges, Community College Research Center, Working Paper No. 15, November 2009 (</w:t>
      </w:r>
      <w:hyperlink r:id="rId12" w:history="1">
        <w:r>
          <w:rPr>
            <w:rFonts w:ascii="arial" w:eastAsia="arial" w:hAnsi="arial" w:cs="arial"/>
            <w:b w:val="0"/>
            <w:i/>
            <w:strike w:val="0"/>
            <w:noProof w:val="0"/>
            <w:color w:val="0077CC"/>
            <w:position w:val="0"/>
            <w:sz w:val="20"/>
            <w:u w:val="single"/>
            <w:vertAlign w:val="baseline"/>
          </w:rPr>
          <w:t>http://ccrc.tc.columbia.edu/media/k2/attachments/referral-enrollment-completion-developmental.pdf</w:t>
        </w:r>
      </w:hyperlink>
      <w:r>
        <w:rPr>
          <w:rFonts w:ascii="arial" w:eastAsia="arial" w:hAnsi="arial" w:cs="arial"/>
          <w:b w:val="0"/>
          <w:i w:val="0"/>
          <w:strike w:val="0"/>
          <w:noProof w:val="0"/>
          <w:color w:val="000000"/>
          <w:position w:val="0"/>
          <w:sz w:val="20"/>
          <w:u w:val="none"/>
          <w:vertAlign w:val="baseline"/>
        </w:rPr>
        <w:t xml:space="preserve">). Nguyen Barry, M. &amp; Dannenberg, M., 2016, The high cost of inadequate high schools and high school student achievement on college affordability, Retrieved from </w:t>
      </w:r>
      <w:hyperlink r:id="rId13" w:history="1">
        <w:r>
          <w:rPr>
            <w:rFonts w:ascii="arial" w:eastAsia="arial" w:hAnsi="arial" w:cs="arial"/>
            <w:b w:val="0"/>
            <w:i/>
            <w:strike w:val="0"/>
            <w:noProof w:val="0"/>
            <w:color w:val="0077CC"/>
            <w:position w:val="0"/>
            <w:sz w:val="20"/>
            <w:u w:val="single"/>
            <w:vertAlign w:val="baseline"/>
          </w:rPr>
          <w:t>https://edreformnow.org/wp-content/uploads/2016/04/EdReformNow-O-O-P-Embargoed-Final.pdf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GEAR UP grantees can improve college readiness by identifying at an early age students likely to be referred to remediation at the postsecondary level and by engaging in strategies to address their needs at the secondary level, limiting their need to take remedial courses in college. For these reasons, this notice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intended to encourage applicants to propose GEAR UP projects that address remediation strategies designed to help students address deficiency gaps well before they graduate and enroll in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more strategically align GEAR UP grants with broader reform strategies intended to improve postsecondary access and completion, this notice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that encourages applicants to propose activities that are supported by moderate evidence of effectiveness (as defined in this notice). The Department is particularly interested in receiving applications that include plans to provide services for students, supported by evidence, that increase the likelihood that students will complete high school and enroll in and complete a program of postsecondary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accordance with </w:t>
      </w:r>
      <w:hyperlink r:id="rId14" w:history="1">
        <w:r>
          <w:rPr>
            <w:rFonts w:ascii="arial" w:eastAsia="arial" w:hAnsi="arial" w:cs="arial"/>
            <w:b w:val="0"/>
            <w:i/>
            <w:strike w:val="0"/>
            <w:noProof w:val="0"/>
            <w:color w:val="0077CC"/>
            <w:position w:val="0"/>
            <w:sz w:val="20"/>
            <w:u w:val="single"/>
            <w:vertAlign w:val="baseline"/>
          </w:rPr>
          <w:t>34 CFR 75.105(b)(2)(ii)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is from section 404A(b)(3) of the HEA (</w:t>
      </w:r>
      <w:hyperlink r:id="rId15" w:history="1">
        <w:r>
          <w:rPr>
            <w:rFonts w:ascii="arial" w:eastAsia="arial" w:hAnsi="arial" w:cs="arial"/>
            <w:b w:val="0"/>
            <w:i/>
            <w:strike w:val="0"/>
            <w:noProof w:val="0"/>
            <w:color w:val="0077CC"/>
            <w:position w:val="0"/>
            <w:sz w:val="20"/>
            <w:u w:val="single"/>
            <w:vertAlign w:val="baseline"/>
          </w:rPr>
          <w:t>20 U.S.C. 1070a-21(b)(3)</w:t>
        </w:r>
      </w:hyperlink>
      <w:r>
        <w:rPr>
          <w:rFonts w:ascii="arial" w:eastAsia="arial" w:hAnsi="arial" w:cs="arial"/>
          <w:b w:val="0"/>
          <w:i w:val="0"/>
          <w:strike w:val="0"/>
          <w:noProof w:val="0"/>
          <w:color w:val="000000"/>
          <w:position w:val="0"/>
          <w:sz w:val="20"/>
          <w:u w:val="none"/>
          <w:vertAlign w:val="baseline"/>
        </w:rPr>
        <w:t xml:space="preserve">) and the GEAR UP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6" w:history="1">
        <w:r>
          <w:rPr>
            <w:rFonts w:ascii="arial" w:eastAsia="arial" w:hAnsi="arial" w:cs="arial"/>
            <w:b w:val="0"/>
            <w:i/>
            <w:strike w:val="0"/>
            <w:noProof w:val="0"/>
            <w:color w:val="0077CC"/>
            <w:position w:val="0"/>
            <w:sz w:val="20"/>
            <w:u w:val="single"/>
            <w:vertAlign w:val="baseline"/>
          </w:rPr>
          <w:t>34 CFR 694.19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is from </w:t>
      </w:r>
      <w:hyperlink r:id="rId17" w:history="1">
        <w:r>
          <w:rPr>
            <w:rFonts w:ascii="arial" w:eastAsia="arial" w:hAnsi="arial" w:cs="arial"/>
            <w:b w:val="0"/>
            <w:i/>
            <w:strike w:val="0"/>
            <w:noProof w:val="0"/>
            <w:color w:val="0077CC"/>
            <w:position w:val="0"/>
            <w:sz w:val="20"/>
            <w:u w:val="single"/>
            <w:vertAlign w:val="baseline"/>
          </w:rPr>
          <w:t>34 CFR 75.226</w:t>
        </w:r>
      </w:hyperlink>
      <w:r>
        <w:rPr>
          <w:rFonts w:ascii="arial" w:eastAsia="arial" w:hAnsi="arial" w:cs="arial"/>
          <w:b w:val="0"/>
          <w:i w:val="0"/>
          <w:strike w:val="0"/>
          <w:noProof w:val="0"/>
          <w:color w:val="000000"/>
          <w:position w:val="0"/>
          <w:sz w:val="20"/>
          <w:u w:val="none"/>
          <w:vertAlign w:val="baseline"/>
        </w:rPr>
        <w:t xml:space="preserve">. In accordance with </w:t>
      </w:r>
      <w:hyperlink r:id="rId14"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is from section 404Aa(1) of the HEA(20 H.S.C. 1070a-21-1070a-28).</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14"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up to an additional two points, depending on how well the application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give priority to an eligible applicant for a State GEAR UP grant that has: (a) Carried out a successful State GEAR UP grant prior to August 14, 2008, determined on the basis of data (including outcomes data) submitted by the applicant as part of its annual and final performance reports from prior GEAR UP state grants administered by the applicant and the applicant's history of compliance with applicable statutory and regulatory requirements; and (b) a prior demonstrated commitment to early intervention leading to college access through collaboration and replication of successful strategies.</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14"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up to five additional points to an application, depending on how well the application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designed to reduce the need for remedial education for secondary school students, including students with disabilities, at the postsecondary level.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GEAR UP projects begin well before participating students are ready to apply for admission to a postsecondary institution. Therefore, as they consider how to respond to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encourage applicants to think about how their projects will determine throughout the project period what services students will need in order to reduce or eliminate their need for remedial education at the postsecondary level. In addition, we encourage all applicants applying for a seventh project year to think about how the services they would provide during a seventh project year will include strategies to help those new postsecondary-level students progress into college-level coursework.</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14"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two points to an application that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designed to implement at least one strategy supported by evidence of effectiveness that meets the conditions set out in the definition of "moderate evidence of effectiveness" in </w:t>
      </w:r>
      <w:hyperlink r:id="rId18"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(and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priority, an applicant may submit up to two studies that it believes supports the implementation of an authorized activity proposed in the application that meets the moderate evidence of effectiveness standard. The Department will review the studies cited by the applicant to determine if they meet requirements for moderate evidence of effectiveness, which, depending on methodology, may require reference to either one or two studies) as well as whether they are sufficiently aligned with the project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Cited studies may include both those already listed in the Department's What Works Clearinghouse (WWC) Database of Individual Studies (see </w:t>
      </w:r>
      <w:hyperlink r:id="rId19" w:history="1">
        <w:r>
          <w:rPr>
            <w:rFonts w:ascii="arial" w:eastAsia="arial" w:hAnsi="arial" w:cs="arial"/>
            <w:b w:val="0"/>
            <w:i/>
            <w:strike w:val="0"/>
            <w:noProof w:val="0"/>
            <w:color w:val="0077CC"/>
            <w:position w:val="0"/>
            <w:sz w:val="20"/>
            <w:u w:val="single"/>
            <w:vertAlign w:val="baseline"/>
          </w:rPr>
          <w:t>http://ies.ed.gov/ncee/wwc/ReviewedStudies#/OnlyStudiesWithPositiveEffects:false.SetNumber:1</w:t>
        </w:r>
      </w:hyperlink>
      <w:r>
        <w:rPr>
          <w:rFonts w:ascii="arial" w:eastAsia="arial" w:hAnsi="arial" w:cs="arial"/>
          <w:b w:val="0"/>
          <w:i w:val="0"/>
          <w:strike w:val="0"/>
          <w:noProof w:val="0"/>
          <w:color w:val="000000"/>
          <w:position w:val="0"/>
          <w:sz w:val="20"/>
          <w:u w:val="none"/>
          <w:vertAlign w:val="baseline"/>
        </w:rPr>
        <w:t xml:space="preserve">) and those that have not yet been reviewed by the WWC. Studies listed in the WWC Database of Individual Studies do not necessarily satisfy any or all of the criteria needed to meet the moderate evidence of effectiveness standard. Therefore, it is important that applicants themselves ascertain the suitability of the study for the evidence priority.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can only be awarded if the study or studies submitted by the applicant meet the Department standard for moderate evidence of effectiveness and if the study or studies cited are relevant to the proposed project. The proposed studies must be cited in the section of the application that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three.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As they consider the activities they propose to implement in their GEAR UP projects and how to respond to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encourage applicants to review research related to authorized GEAR UP activities to identify evidence that meets the moderate evidence of effectiveness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grantees, required GEAR UP services are specified in sections 404D(a) of the HEA (</w:t>
      </w:r>
      <w:hyperlink r:id="rId8" w:history="1">
        <w:r>
          <w:rPr>
            <w:rFonts w:ascii="arial" w:eastAsia="arial" w:hAnsi="arial" w:cs="arial"/>
            <w:b w:val="0"/>
            <w:i/>
            <w:strike w:val="0"/>
            <w:noProof w:val="0"/>
            <w:color w:val="0077CC"/>
            <w:position w:val="0"/>
            <w:sz w:val="20"/>
            <w:u w:val="single"/>
            <w:vertAlign w:val="baseline"/>
          </w:rPr>
          <w:t>20 U.S.C. 1070a-24(a)</w:t>
        </w:r>
      </w:hyperlink>
      <w:r>
        <w:rPr>
          <w:rFonts w:ascii="arial" w:eastAsia="arial" w:hAnsi="arial" w:cs="arial"/>
          <w:b w:val="0"/>
          <w:i w:val="0"/>
          <w:strike w:val="0"/>
          <w:noProof w:val="0"/>
          <w:color w:val="000000"/>
          <w:position w:val="0"/>
          <w:sz w:val="20"/>
          <w:u w:val="none"/>
          <w:vertAlign w:val="baseline"/>
        </w:rPr>
        <w:t>), and permissible services under the GEAR UP Program are specified in section 404D(b) and (c) of the HEA (</w:t>
      </w:r>
      <w:hyperlink r:id="rId8" w:history="1">
        <w:r>
          <w:rPr>
            <w:rFonts w:ascii="arial" w:eastAsia="arial" w:hAnsi="arial" w:cs="arial"/>
            <w:b w:val="0"/>
            <w:i/>
            <w:strike w:val="0"/>
            <w:noProof w:val="0"/>
            <w:color w:val="0077CC"/>
            <w:position w:val="0"/>
            <w:sz w:val="20"/>
            <w:u w:val="single"/>
            <w:vertAlign w:val="baseline"/>
          </w:rPr>
          <w:t>20 U.S.C. 1070a-24(b)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These definitions are from </w:t>
      </w:r>
      <w:hyperlink r:id="rId18"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(QED)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(RCT)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 study referenced in paragraph (i) of this definition found a statistically </w:t>
      </w:r>
      <w:r>
        <w:rPr>
          <w:rFonts w:ascii="arial" w:eastAsia="arial" w:hAnsi="arial" w:cs="arial"/>
          <w:b/>
          <w:i w:val="0"/>
          <w:strike w:val="0"/>
          <w:noProof w:val="0"/>
          <w:color w:val="000000"/>
          <w:position w:val="0"/>
          <w:sz w:val="20"/>
          <w:u w:val="none"/>
          <w:vertAlign w:val="baseline"/>
        </w:rPr>
        <w:t> [*13444] </w:t>
      </w:r>
      <w:r>
        <w:rPr>
          <w:rFonts w:ascii="arial" w:eastAsia="arial" w:hAnsi="arial" w:cs="arial"/>
          <w:b w:val="0"/>
          <w:i w:val="0"/>
          <w:strike w:val="0"/>
          <w:noProof w:val="0"/>
          <w:color w:val="000000"/>
          <w:position w:val="0"/>
          <w:sz w:val="20"/>
          <w:u w:val="none"/>
          <w:vertAlign w:val="baseline"/>
        </w:rPr>
        <w:t xml:space="preserve">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of the effectiveness of the process, product, strategy, or practice being proposed that meets the WWC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WWC), and includes a sample that overlaps with the populations or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There is at least one study of the effectiveness of the process, product, strategy, or practice being proposed that meets the WWC Evidence Standards with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WWC), includes a sample that overlaps with the populations or settings proposed to receive the process, product, strategy, or practice, and includes a large sample and a multi-site sample.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QED</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RCT</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WWC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WWC Procedures and Standards Handbook (Version 3.0, March 2014), which can be found at the following link: </w:t>
      </w:r>
      <w:hyperlink r:id="rId20"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 U.S.C. 1070a-21</w:t>
        </w:r>
      </w:hyperlink>
      <w:r>
        <w:rPr>
          <w:rFonts w:ascii="arial" w:eastAsia="arial" w:hAnsi="arial" w:cs="arial"/>
          <w:b w:val="0"/>
          <w:i w:val="0"/>
          <w:strike w:val="0"/>
          <w:noProof w:val="0"/>
          <w:color w:val="000000"/>
          <w:position w:val="0"/>
          <w:sz w:val="20"/>
          <w:u w:val="none"/>
          <w:vertAlign w:val="baseline"/>
        </w:rPr>
        <w:t>-</w:t>
      </w:r>
      <w:hyperlink r:id="rId21" w:history="1">
        <w:r>
          <w:rPr>
            <w:rFonts w:ascii="arial" w:eastAsia="arial" w:hAnsi="arial" w:cs="arial"/>
            <w:b w:val="0"/>
            <w:i/>
            <w:strike w:val="0"/>
            <w:noProof w:val="0"/>
            <w:color w:val="0077CC"/>
            <w:position w:val="0"/>
            <w:sz w:val="20"/>
            <w:u w:val="single"/>
            <w:vertAlign w:val="baseline"/>
          </w:rPr>
          <w:t>1070a-28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$ 322,754,000 for the GEAR UP Program for FY 2017, of which we intend to use an estimated $ 49,000,000 for new GEAR UP awards. The estimated funding available for the new GEAR UP State awards is $ 24,500,000.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and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$ 2,500,000-$ 3,500,000.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$ 3,000,000.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not fund any application for a State grant above the maximum award of $ 3,500,000 for a single budget period of 12 months. Additionally, no funding will be awarded for increases in budget after the first 12-month budget period. The Assistant Secretary for Postsecondary Education may change the maximum amounts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Seven.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Either 72 months or 84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that wishes to seek funding for a seventh project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 project period of greater than 72 months), in order to provide project services to GEAR UP students through their first year of attendance at an IHE, must propose to do so in the application provided in response to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Section 404C(b)(1) of the HEA requires grantees under this program to provide from State, local, institutional, or private funds, not less than 50 percent of the cost of the program (or $ 1 of non-Federal funds for every $ 1 of Federal funds awarded), which may be provided in cash or in-kind. The provision also specifies that the match may be accrued over the full duration of the grant award period, except that the grantee must make substantial progress towards meeting the matching requirement in each year of the grant award period. In-kind contributions may include equipment and supplies, cash contributions from non-Federal sources, discounted program services and facility usage. Section 404C(c) of the HEA provides that in-kind contributions may include (1) financial assistance obligated under GEAR UP to students from State, local, institutional, or private funds, (2) the amount of tuition, fees, room or board waived or reduced for recipients of financial assistance under GEAR UP, (3) the amount expended on documented, targeted, long-term mentoring and counseling provided by volunteers or paid staff of non-school organizations, including businesses, religious organizations, community groups, postsecondary educational institutions, nonprofit and philanthropic organizations, and other organizations, and (4) equipment and </w:t>
      </w:r>
      <w:r>
        <w:rPr>
          <w:rFonts w:ascii="arial" w:eastAsia="arial" w:hAnsi="arial" w:cs="arial"/>
          <w:b/>
          <w:i w:val="0"/>
          <w:strike w:val="0"/>
          <w:noProof w:val="0"/>
          <w:color w:val="000000"/>
          <w:position w:val="0"/>
          <w:sz w:val="20"/>
          <w:u w:val="none"/>
          <w:vertAlign w:val="baseline"/>
        </w:rPr>
        <w:t> [*13445] </w:t>
      </w:r>
      <w:r>
        <w:rPr>
          <w:rFonts w:ascii="arial" w:eastAsia="arial" w:hAnsi="arial" w:cs="arial"/>
          <w:b w:val="0"/>
          <w:i w:val="0"/>
          <w:strike w:val="0"/>
          <w:noProof w:val="0"/>
          <w:color w:val="000000"/>
          <w:position w:val="0"/>
          <w:sz w:val="20"/>
          <w:u w:val="none"/>
          <w:vertAlign w:val="baseline"/>
        </w:rPr>
        <w:t xml:space="preserve"> supplies, cash contributions from non-Federal sources, transportation expenses, in-kind or discounted program services, indirect costs, and facility usage.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Under section 404B(e) of the HEA (</w:t>
      </w:r>
      <w:hyperlink r:id="rId22" w:history="1">
        <w:r>
          <w:rPr>
            <w:rFonts w:ascii="arial" w:eastAsia="arial" w:hAnsi="arial" w:cs="arial"/>
            <w:b w:val="0"/>
            <w:i/>
            <w:strike w:val="0"/>
            <w:noProof w:val="0"/>
            <w:color w:val="0077CC"/>
            <w:position w:val="0"/>
            <w:sz w:val="20"/>
            <w:u w:val="single"/>
            <w:vertAlign w:val="baseline"/>
          </w:rPr>
          <w:t>20 U.S.C. 1070a-22</w:t>
        </w:r>
      </w:hyperlink>
      <w:r>
        <w:rPr>
          <w:rFonts w:ascii="arial" w:eastAsia="arial" w:hAnsi="arial" w:cs="arial"/>
          <w:b w:val="0"/>
          <w:i w:val="0"/>
          <w:strike w:val="0"/>
          <w:noProof w:val="0"/>
          <w:color w:val="000000"/>
          <w:position w:val="0"/>
          <w:sz w:val="20"/>
          <w:u w:val="none"/>
          <w:vertAlign w:val="baseline"/>
        </w:rPr>
        <w:t>)), grant funds awarded under this program must be used to supplement, and not supplant, other Federal, State, and local funds that would otherwise be expended to carry out activities assisted under this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Under Section 404E(b)(1) of the HEA (</w:t>
      </w:r>
      <w:hyperlink r:id="rId23" w:history="1">
        <w:r>
          <w:rPr>
            <w:rFonts w:ascii="arial" w:eastAsia="arial" w:hAnsi="arial" w:cs="arial"/>
            <w:b w:val="0"/>
            <w:i/>
            <w:strike w:val="0"/>
            <w:noProof w:val="0"/>
            <w:color w:val="0077CC"/>
            <w:position w:val="0"/>
            <w:sz w:val="20"/>
            <w:u w:val="single"/>
            <w:vertAlign w:val="baseline"/>
          </w:rPr>
          <w:t>20 U.S.C. 1070a-25</w:t>
        </w:r>
      </w:hyperlink>
      <w:r>
        <w:rPr>
          <w:rFonts w:ascii="arial" w:eastAsia="arial" w:hAnsi="arial" w:cs="arial"/>
          <w:b w:val="0"/>
          <w:i w:val="0"/>
          <w:strike w:val="0"/>
          <w:noProof w:val="0"/>
          <w:color w:val="000000"/>
          <w:position w:val="0"/>
          <w:sz w:val="20"/>
          <w:u w:val="none"/>
          <w:vertAlign w:val="baseline"/>
        </w:rPr>
        <w:t xml:space="preserve">)(b)(1)), a State must use not less than 25 percent and not more than 50 percent of the grant funds for activities targeted at the school and LEA level as described in section 404D </w:t>
      </w:r>
      <w:hyperlink r:id="rId8" w:history="1">
        <w:r>
          <w:rPr>
            <w:rFonts w:ascii="arial" w:eastAsia="arial" w:hAnsi="arial" w:cs="arial"/>
            <w:b w:val="0"/>
            <w:i/>
            <w:strike w:val="0"/>
            <w:noProof w:val="0"/>
            <w:color w:val="0077CC"/>
            <w:position w:val="0"/>
            <w:sz w:val="20"/>
            <w:u w:val="single"/>
            <w:vertAlign w:val="baseline"/>
          </w:rPr>
          <w:t>20 U.S.C. 1070a-24</w:t>
        </w:r>
      </w:hyperlink>
      <w:r>
        <w:rPr>
          <w:rFonts w:ascii="arial" w:eastAsia="arial" w:hAnsi="arial" w:cs="arial"/>
          <w:b w:val="0"/>
          <w:i w:val="0"/>
          <w:strike w:val="0"/>
          <w:noProof w:val="0"/>
          <w:color w:val="000000"/>
          <w:position w:val="0"/>
          <w:sz w:val="20"/>
          <w:u w:val="none"/>
          <w:vertAlign w:val="baseline"/>
        </w:rPr>
        <w:t>) (excluding the provision of funds for postsecondary scholarships required by section 404D(a)(4) and with the remainder of grant funds spent on postsecondary scholarships to eligible GEAR UP students as described in section 404E). However, section 404E(b)(2), of the HEA permits the Secretary to allow a State to use more than 50 percent of grant funds received under this program for activities targeted at the LEA level if the State demonstrates in its grant application that it has another means of providing the students with the financial assistance described in section 404E.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by downloading the package from the program Web site at: </w:t>
      </w:r>
      <w:hyperlink r:id="rId24" w:history="1">
        <w:r>
          <w:rPr>
            <w:rFonts w:ascii="arial" w:eastAsia="arial" w:hAnsi="arial" w:cs="arial"/>
            <w:b w:val="0"/>
            <w:i/>
            <w:strike w:val="0"/>
            <w:noProof w:val="0"/>
            <w:color w:val="0077CC"/>
            <w:position w:val="0"/>
            <w:sz w:val="20"/>
            <w:u w:val="single"/>
            <w:vertAlign w:val="baseline"/>
          </w:rPr>
          <w:t>http://www2.ed.gov/programs/gearup/index.html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also can request a copy of the application package from the following: Karmon Simms-Coates, Gaining Early Awareness and Readiness for Undergraduate Programs, U.S. Department of Education, 400 Maryland Avenue SW., Room 5W250, Washington, DC 20202-6450. Telephone: (202) 453-7917 or by email: </w:t>
      </w:r>
      <w:hyperlink r:id="rId25" w:history="1">
        <w:r>
          <w:rPr>
            <w:rFonts w:ascii="arial" w:eastAsia="arial" w:hAnsi="arial" w:cs="arial"/>
            <w:b w:val="0"/>
            <w:i/>
            <w:strike w:val="0"/>
            <w:noProof w:val="0"/>
            <w:color w:val="0077CC"/>
            <w:position w:val="0"/>
            <w:sz w:val="20"/>
            <w:u w:val="single"/>
            <w:vertAlign w:val="baseline"/>
          </w:rPr>
          <w:t>karmon.simms-coates@ed.gov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toll free: 1-877-576-7734.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assess your application. There is a limit for the application narrative of no more than 40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page on which there is text or graphics will be counted as one full page.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charts, tables, figures, and graphs. Titles, headings, footnotes, quotations, references, and captions may be singled spaced.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and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limits do not apply to the cover sheet; the budget section, including the budget narrative and summary form; the assurances and certifications; or the one-page abstract. If you include any attachments or appendices not specifically requested and required for the application, these items will be counted as part of the narrative for the purposes of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application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may include up to four additional pages for each priority. These additional pages must be used to discuss how the application meets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additional pages allotted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cannot be used for or transferred to the project narrative or any other section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apply these standards and exceed the page limit; or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apply other standards and exceed the equivalent of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program contact person listed under </w:t>
      </w:r>
      <w:r>
        <w:rPr>
          <w:rFonts w:ascii="arial" w:eastAsia="arial" w:hAnsi="arial" w:cs="arial"/>
          <w:b w:val="0"/>
          <w:i/>
          <w:strike w:val="0"/>
          <w:noProof w:val="0"/>
          <w:color w:val="000000"/>
          <w:position w:val="0"/>
          <w:sz w:val="20"/>
          <w:u w:val="none"/>
          <w:vertAlign w:val="baseline"/>
        </w:rPr>
        <w:t>Contact Information</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6"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 </w:t>
      </w:r>
      <w:r>
        <w:rPr>
          <w:rFonts w:ascii="arial" w:eastAsia="arial" w:hAnsi="arial" w:cs="arial"/>
          <w:b/>
          <w:i w:val="0"/>
          <w:strike w:val="0"/>
          <w:noProof w:val="0"/>
          <w:color w:val="000000"/>
          <w:position w:val="0"/>
          <w:sz w:val="20"/>
          <w:u w:val="none"/>
          <w:vertAlign w:val="baseline"/>
        </w:rPr>
        <w:t> [*13446]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28"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GEAR UP Program, CFDA number 84.334S,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3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GEAR UP Program at </w:t>
      </w:r>
      <w:hyperlink r:id="rId3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84.334, not 84.334S).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2"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Application for Federal Assistance (SF 424), the Department of Education Supplemental Information for SF 424, Budget Information--Non-Construction Programs (ED 524), and all necessary assurances and certifications.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w:t>
      </w:r>
      <w:r>
        <w:rPr>
          <w:rFonts w:ascii="arial" w:eastAsia="arial" w:hAnsi="arial" w:cs="arial"/>
          <w:b/>
          <w:i w:val="0"/>
          <w:strike w:val="0"/>
          <w:noProof w:val="0"/>
          <w:color w:val="000000"/>
          <w:position w:val="0"/>
          <w:sz w:val="20"/>
          <w:u w:val="none"/>
          <w:vertAlign w:val="baseline"/>
        </w:rPr>
        <w:t> [*13447] </w:t>
      </w:r>
      <w:r>
        <w:rPr>
          <w:rFonts w:ascii="arial" w:eastAsia="arial" w:hAnsi="arial" w:cs="arial"/>
          <w:b w:val="0"/>
          <w:i w:val="0"/>
          <w:strike w:val="0"/>
          <w:noProof w:val="0"/>
          <w:color w:val="000000"/>
          <w:position w:val="0"/>
          <w:sz w:val="20"/>
          <w:u w:val="none"/>
          <w:vertAlign w:val="baseline"/>
        </w:rPr>
        <w:t xml:space="preserve">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then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program contact person listed under </w:t>
      </w:r>
      <w:r>
        <w:rPr>
          <w:rFonts w:ascii="arial" w:eastAsia="arial" w:hAnsi="arial" w:cs="arial"/>
          <w:b w:val="0"/>
          <w:i/>
          <w:strike w:val="0"/>
          <w:noProof w:val="0"/>
          <w:color w:val="000000"/>
          <w:position w:val="0"/>
          <w:sz w:val="20"/>
          <w:u w:val="none"/>
          <w:vertAlign w:val="baseline"/>
        </w:rPr>
        <w:t>Contact Information</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because--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Eileen Bland, U.S. Department of Education, 400 Maryland Avenue SW., Room 5C135, Washington, DC 20202-6450. Fax: (202) 260-7464.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84.334S),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84.334S),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Application Control Center will mail to you a notification of receipt of your grant application. If you do not receive this grant notification within 15 business days from the application deadline date, you should call the U.S. Department of Education Application Control Center at (202) 245-6288. </w:t>
      </w:r>
      <w:r>
        <w:rPr>
          <w:rFonts w:ascii="arial" w:eastAsia="arial" w:hAnsi="arial" w:cs="arial"/>
          <w:b/>
          <w:i w:val="0"/>
          <w:strike w:val="0"/>
          <w:noProof w:val="0"/>
          <w:color w:val="000000"/>
          <w:position w:val="0"/>
          <w:sz w:val="20"/>
          <w:u w:val="none"/>
          <w:vertAlign w:val="baseline"/>
        </w:rPr>
        <w:t> [*13448]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3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of EDGAR.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the project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evaluates the need for a GEAR UP project in the proposed target area on the basis of--</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magnitude or severity of the problem to be addressed by the proposed project;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specific gaps or weaknesses in services, infrastructure, or opportunities have been identified and will be addressed by the proposed project, including the nature and magnitude of those gaps or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design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project design, the Secretary considers the following factors: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goals, objectives, and outcomes to be achieved by the proposed project are clearly specified and measurable;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project design reflects up-to- date research and the replication of effective practices;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project supports systemic changes from which future cohorts of students will benefit;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proposed project is supported by strong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services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project services provided by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quality and sufficiency of strategies for ensuring equal access and treatment for eligible project participants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addition, the Secretary considers the following factors: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project services are likely to increase the percentage of students taking rigorous courses that reflect challenging academic standards and reduce the need for remedial education at the postsecondary level; increase the percentage of secondary school completion; increase students' knowledge of and access to financial assistance for postsecondary education; increase the percentage of students enrolling and succeeding in postsecondary education; and are appropriate to the needs of the intended recipients or beneficiaries of those services;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services to be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project personnel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project personnel,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addition, the Secretary considers the following factors: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qualifications, including relevant training and experience, of the project director or principal investigator;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qualifications, including relevant training and experience, of key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management plan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management plan for the proposed project, the Secretary considers the following factors: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adequacy of the management plan to achieve the objectives of the proposed project on time and within budget, including clearly defined responsibilities, timelines, and milestones for accomplishing project tasks;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adequacy of procedures for ensuring feedback and continuous improvement in the operation of the proposed project;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time commitments of the project director and other key project personnel are appropriate and adequate to meet the objectives of the proposed project;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applicant will ensure that a diversity of perspectives are brought to bear in the operation of the proposed project, including those of parents, teachers, the business community, a variety of disciplinary and professional fields, recipients or beneficiaries of services, or others,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the project evaluation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project evaluation, the Secretary considers the following factors: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methods of evaluation are thorough, feasible, and appropriate to the goals, objectives, and outcomes of the proposed project;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methods of evaluation include the use of objective performance measures that are clearly related to the intended outcomes of the project and will produce quantitative and qualitative data to the extent possible;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methods of evaluation will provide performance feedback and permit periodic assessment of progress toward achieving intended outcomes;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evaluation will provide guidance about effective strategies suitable for replication or testing in other settings;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Adequacy of resources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adequacy of resources for the proposed project, the Secretary considers the following factors: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adequacy of support, including facilities, equipment, supplies and other resources from the applicant organization or the lead applicant organization;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relevance and demonstrated commitment of each partner in the proposed project to the implementation and success of the project;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costs are reasonable in relation to the number of persons to be served and to the anticipated results and benefits;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for continued support of the project after Federal funding ends, including, as appropriate, the demonstrated commitment of appropriate entities to such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4"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panel of non-Federal reviewers will review each application in accordance with the selection criteria in 75.217(d)(3)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individual scores of the reviewers will be added and the sum divided by the number of reviewers to determine the peer review score received in the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there are insufficient funds for all applications with the same total scores, the Secretary will choose among the tied applications so as to serve geographic areas with consideration to the </w:t>
      </w:r>
      <w:r>
        <w:rPr>
          <w:rFonts w:ascii="arial" w:eastAsia="arial" w:hAnsi="arial" w:cs="arial"/>
          <w:b/>
          <w:i w:val="0"/>
          <w:strike w:val="0"/>
          <w:noProof w:val="0"/>
          <w:color w:val="000000"/>
          <w:position w:val="0"/>
          <w:sz w:val="20"/>
          <w:u w:val="none"/>
          <w:vertAlign w:val="baseline"/>
        </w:rPr>
        <w:t> [*13449] </w:t>
      </w:r>
      <w:r>
        <w:rPr>
          <w:rFonts w:ascii="arial" w:eastAsia="arial" w:hAnsi="arial" w:cs="arial"/>
          <w:b w:val="0"/>
          <w:i w:val="0"/>
          <w:strike w:val="0"/>
          <w:noProof w:val="0"/>
          <w:color w:val="000000"/>
          <w:position w:val="0"/>
          <w:sz w:val="20"/>
          <w:u w:val="none"/>
          <w:vertAlign w:val="baseline"/>
        </w:rPr>
        <w:t xml:space="preserve"> distribution of grant awards between urban and rural applicants for the GEAR UP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0"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1"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40"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2"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and biennial report that provides the most current performance and financial expenditure information as directed by the Secretary under </w:t>
      </w:r>
      <w:hyperlink r:id="rId43"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4"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5"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6"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objectives of the GEAR UP Program are--(1) to increase the academic performance and preparation for postsecondary education of participating students; (2) to increase the rate of high school graduation and participation in postsecondary education of participating students; and (3) to increase educational expectations for participating students and increase student and family knowledge of postsecondary education options, preparation, and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effectiveness of this program depends on the rate at which program participants complete high school and enroll in and complete a postsecondary education. Under the Government Performance and Results Act of 1993 (GPRA), we developed the following performance measures to track progress toward achieving the program's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percentage of GEAR UP students who pass Pre-algebra by the end of 8th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percentage of GEAR UP students who pass Algebra 1 by the end of 9th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percentage of GEAR UP students who take two years of mathematics beyond Algebra 1 by the 12th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percentage of GEAR UP students who are on track for graduation at the end of each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percentage of GEAR UP students who are on track to apply for college as measured by completion of the SAT or ACT by the end of 11th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percentage of GEAR UP students who graduate from high school.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each GEAR UP project, the State's high school graduation rate is defined in the State's approved accountability plan under Part A of Title I of the Elementary and Secondary Education Act of 1965, as amended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percentage of GEAR UP students who complete the Free Application for Federal Student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percentage of GEAR UP students and former GEAR UP students who are enrolled in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percentage of GEAR UP students who place into college-level Math and English without need for remediation.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percentage of current GEAR UP students and former GEAR UP students enrolled in college who are on track to graduate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assess the efficiency of the program, we track the average cost in Federal funds, of achieving a successful outcome, where success is defined as enrollment in postsecondary education of GEAR UP students immediately after high school graduation. These performance measures constitute GEAR UP's indicators of the success of the program. Under Section 1116 of the HEA, grant recipients must collect and report data on steps they have taken toward achieving these goals. Accordingly, we request that applicants include these performance measures in conceptualizing the design, implementation, and evaluation of their proposed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7"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xml:space="preserve">,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w:t>
      </w:r>
      <w:r>
        <w:rPr>
          <w:rFonts w:ascii="arial" w:eastAsia="arial" w:hAnsi="arial" w:cs="arial"/>
          <w:b/>
          <w:i w:val="0"/>
          <w:strike w:val="0"/>
          <w:noProof w:val="0"/>
          <w:color w:val="000000"/>
          <w:position w:val="0"/>
          <w:sz w:val="20"/>
          <w:u w:val="none"/>
          <w:vertAlign w:val="baseline"/>
        </w:rPr>
        <w:t> [*13450] </w:t>
      </w:r>
      <w:r>
        <w:rPr>
          <w:rFonts w:ascii="arial" w:eastAsia="arial" w:hAnsi="arial" w:cs="arial"/>
          <w:b w:val="0"/>
          <w:i w:val="0"/>
          <w:strike w:val="0"/>
          <w:noProof w:val="0"/>
          <w:color w:val="000000"/>
          <w:position w:val="0"/>
          <w:sz w:val="20"/>
          <w:u w:val="none"/>
          <w:vertAlign w:val="baseline"/>
        </w:rPr>
        <w:t xml:space="preserve">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 Information:</w:t>
      </w:r>
      <w:r>
        <w:rPr>
          <w:rFonts w:ascii="arial" w:eastAsia="arial" w:hAnsi="arial" w:cs="arial"/>
          <w:b w:val="0"/>
          <w:i w:val="0"/>
          <w:strike w:val="0"/>
          <w:noProof w:val="0"/>
          <w:color w:val="000000"/>
          <w:position w:val="0"/>
          <w:sz w:val="20"/>
          <w:u w:val="none"/>
          <w:vertAlign w:val="baseline"/>
        </w:rPr>
        <w:t xml:space="preserve"> Karmon Simms-Coates, U.S. Department of Education, 400 Maryland Avenue SW., Room 5W250, Washington, DC 20202-6450. Telephone: (202) 453-7917 or by email: </w:t>
      </w:r>
      <w:hyperlink r:id="rId25" w:history="1">
        <w:r>
          <w:rPr>
            <w:rFonts w:ascii="arial" w:eastAsia="arial" w:hAnsi="arial" w:cs="arial"/>
            <w:b w:val="0"/>
            <w:i/>
            <w:strike w:val="0"/>
            <w:noProof w:val="0"/>
            <w:color w:val="0077CC"/>
            <w:position w:val="0"/>
            <w:sz w:val="20"/>
            <w:u w:val="single"/>
            <w:vertAlign w:val="baseline"/>
          </w:rPr>
          <w:t>Karmon.simms-coates@ed.gov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computer disc) on request to the program contact person listed under </w:t>
      </w:r>
      <w:r>
        <w:rPr>
          <w:rFonts w:ascii="arial" w:eastAsia="arial" w:hAnsi="arial" w:cs="arial"/>
          <w:b w:val="0"/>
          <w:i/>
          <w:strike w:val="0"/>
          <w:noProof w:val="0"/>
          <w:color w:val="000000"/>
          <w:position w:val="0"/>
          <w:sz w:val="20"/>
          <w:u w:val="none"/>
          <w:vertAlign w:val="baseline"/>
        </w:rPr>
        <w:t>Contact Information</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this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Linda Byrd-Johnson,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Deputy Assistant Secretary, Higher Education Programs, and Senior Director, Student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2017-04801 Filed 3-10-17;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24,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21,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Karmon Simms-Coates, U.S. Department of Education, 400 Maryland Avenue SW., Room 5W250, Washington, DC 20202-6450. Telephone: (202) 453-7917 or by email: </w:t>
      </w:r>
      <w:hyperlink r:id="rId25" w:history="1">
        <w:r>
          <w:rPr>
            <w:rFonts w:ascii="arial" w:eastAsia="arial" w:hAnsi="arial" w:cs="arial"/>
            <w:b w:val="0"/>
            <w:i/>
            <w:strike w:val="0"/>
            <w:noProof w:val="0"/>
            <w:color w:val="0077CC"/>
            <w:position w:val="0"/>
            <w:sz w:val="20"/>
            <w:u w:val="single"/>
            <w:vertAlign w:val="baseline"/>
          </w:rPr>
          <w:t>Karmon.simms-coates@ed.gov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13442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drc.org/sites/default/files/full_595.pdf" TargetMode="External" /><Relationship Id="rId11" Type="http://schemas.openxmlformats.org/officeDocument/2006/relationships/hyperlink" Target="http://www.jstor.org/stable/3838791" TargetMode="External" /><Relationship Id="rId12" Type="http://schemas.openxmlformats.org/officeDocument/2006/relationships/hyperlink" Target="http://ccrc.tc.columbia.edu/media/k2/attachments/referral-enrollment-completion-developmental.pdf" TargetMode="External" /><Relationship Id="rId13" Type="http://schemas.openxmlformats.org/officeDocument/2006/relationships/hyperlink" Target="https://edreformnow.org/wp-content/uploads/2016/04/EdReformNow-O-O-P-Embargoed-Final.pdf" TargetMode="External" /><Relationship Id="rId14" Type="http://schemas.openxmlformats.org/officeDocument/2006/relationships/hyperlink" Target="https://advance.lexis.com/api/document?collection=administrative-codes&amp;id=urn:contentItem:5GMB-DPB0-008H-02BK-00000-00&amp;context=" TargetMode="External" /><Relationship Id="rId15" Type="http://schemas.openxmlformats.org/officeDocument/2006/relationships/hyperlink" Target="https://advance.lexis.com/api/document?collection=statutes-legislation&amp;id=urn:contentItem:4YF7-GKV1-NRF4-43SY-00000-00&amp;context=" TargetMode="External" /><Relationship Id="rId16" Type="http://schemas.openxmlformats.org/officeDocument/2006/relationships/hyperlink" Target="https://advance.lexis.com/api/document?collection=administrative-codes&amp;id=urn:contentItem:5RWB-NH60-008H-00R4-00000-00&amp;context=" TargetMode="External" /><Relationship Id="rId17" Type="http://schemas.openxmlformats.org/officeDocument/2006/relationships/hyperlink" Target="https://advance.lexis.com/api/document?collection=administrative-codes&amp;id=urn:contentItem:5P5K-6FW0-008H-0340-00000-00&amp;context=" TargetMode="External" /><Relationship Id="rId18" Type="http://schemas.openxmlformats.org/officeDocument/2006/relationships/hyperlink" Target="https://advance.lexis.com/api/document?collection=administrative-codes&amp;id=urn:contentItem:5S7T-7HV0-008H-03HM-00000-00&amp;context=" TargetMode="External" /><Relationship Id="rId19" Type="http://schemas.openxmlformats.org/officeDocument/2006/relationships/hyperlink" Target="http://ies.ed.gov/ncee/wwc/ReviewedStudies#/OnlyStudiesWithPositiveEffects:false.SetNumber:1" TargetMode="External" /><Relationship Id="rId2" Type="http://schemas.openxmlformats.org/officeDocument/2006/relationships/webSettings" Target="webSettings.xml" /><Relationship Id="rId20" Type="http://schemas.openxmlformats.org/officeDocument/2006/relationships/hyperlink" Target="http://ies.ed.gov/ncee/wwc/DocumentSum.aspx?sid=19" TargetMode="External" /><Relationship Id="rId21" Type="http://schemas.openxmlformats.org/officeDocument/2006/relationships/hyperlink" Target="https://advance.lexis.com/api/document?collection=statutes-legislation&amp;id=urn:contentItem:4YF7-GWR1-NRF4-43PW-00000-00&amp;context=" TargetMode="External" /><Relationship Id="rId22" Type="http://schemas.openxmlformats.org/officeDocument/2006/relationships/hyperlink" Target="https://advance.lexis.com/api/document?collection=statutes-legislation&amp;id=urn:contentItem:4YF7-GPK1-NRF4-454V-00000-00&amp;context=" TargetMode="External" /><Relationship Id="rId23" Type="http://schemas.openxmlformats.org/officeDocument/2006/relationships/hyperlink" Target="https://advance.lexis.com/api/document?collection=statutes-legislation&amp;id=urn:contentItem:4YF7-GPM1-NRF4-402R-00000-00&amp;context=" TargetMode="External" /><Relationship Id="rId24" Type="http://schemas.openxmlformats.org/officeDocument/2006/relationships/hyperlink" Target="http://www2.ed.gov/programs/gearup/index.html" TargetMode="External" /><Relationship Id="rId25" Type="http://schemas.openxmlformats.org/officeDocument/2006/relationships/hyperlink" Target="mailto:karmon.simms-coates@ed.gov" TargetMode="External" /><Relationship Id="rId26" Type="http://schemas.openxmlformats.org/officeDocument/2006/relationships/hyperlink" Target="http://fedgov.dnb.com/webform" TargetMode="External" /><Relationship Id="rId27" Type="http://schemas.openxmlformats.org/officeDocument/2006/relationships/hyperlink" Target="http://www.SAM.gov" TargetMode="External" /><Relationship Id="rId28" Type="http://schemas.openxmlformats.org/officeDocument/2006/relationships/hyperlink" Target="http://www2.ed.gov/fund/grant/apply/sam-faqs.html" TargetMode="External" /><Relationship Id="rId29" Type="http://schemas.openxmlformats.org/officeDocument/2006/relationships/hyperlink" Target="http://www.grants.gov/web/grants/register.html" TargetMode="External" /><Relationship Id="rId3" Type="http://schemas.openxmlformats.org/officeDocument/2006/relationships/fontTable" Target="fontTable.xml" /><Relationship Id="rId30" Type="http://schemas.openxmlformats.org/officeDocument/2006/relationships/hyperlink" Target="http://www.Grants.gov" TargetMode="External" /><Relationship Id="rId31" Type="http://schemas.openxmlformats.org/officeDocument/2006/relationships/hyperlink" Target="http://www.G5.gov" TargetMode="External" /><Relationship Id="rId32" Type="http://schemas.openxmlformats.org/officeDocument/2006/relationships/hyperlink" Target="http://www.grants.gov/web/grants/applicants/apply-for-grants.html" TargetMode="External" /><Relationship Id="rId33" Type="http://schemas.openxmlformats.org/officeDocument/2006/relationships/hyperlink" Target="https://advance.lexis.com/api/document?collection=administrative-codes&amp;id=urn:contentItem:5S7T-7HS0-008H-02VY-00000-00&amp;context=" TargetMode="External" /><Relationship Id="rId34" Type="http://schemas.openxmlformats.org/officeDocument/2006/relationships/hyperlink" Target="https://advance.lexis.com/api/document?collection=administrative-codes&amp;id=urn:contentItem:5GMB-DPB0-008H-02GP-00000-00&amp;context=" TargetMode="External" /><Relationship Id="rId35" Type="http://schemas.openxmlformats.org/officeDocument/2006/relationships/hyperlink" Target="https://advance.lexis.com/api/document?collection=administrative-codes&amp;id=urn:contentItem:5KS0-F5W0-008H-023P-00000-00&amp;context=" TargetMode="External" /><Relationship Id="rId36" Type="http://schemas.openxmlformats.org/officeDocument/2006/relationships/hyperlink" Target="https://advance.lexis.com/api/document?collection=administrative-codes&amp;id=urn:contentItem:5R5H-J1H0-008H-043K-00000-00&amp;context=" TargetMode="External" /><Relationship Id="rId37" Type="http://schemas.openxmlformats.org/officeDocument/2006/relationships/hyperlink" Target="https://advance.lexis.com/api/document?collection=administrative-codes&amp;id=urn:contentItem:5KS0-F5W0-008H-024V-00000-00&amp;context=" TargetMode="External" /><Relationship Id="rId38" Type="http://schemas.openxmlformats.org/officeDocument/2006/relationships/hyperlink" Target="https://advance.lexis.com/api/document?collection=administrative-codes&amp;id=urn:contentItem:5KS0-F600-008H-02PT-00000-00&amp;context=" TargetMode="External" /><Relationship Id="rId39" Type="http://schemas.openxmlformats.org/officeDocument/2006/relationships/hyperlink" Target="https://advance.lexis.com/api/document?collection=administrative-codes&amp;id=urn:contentItem:5KS0-F5W0-008H-025B-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HDM-DHF0-008G-Y2NJ-00000-00&amp;context=" TargetMode="External" /><Relationship Id="rId41" Type="http://schemas.openxmlformats.org/officeDocument/2006/relationships/hyperlink" Target="https://advance.lexis.com/api/document?collection=administrative-codes&amp;id=urn:contentItem:5F34-Y1R0-008G-Y1F9-00000-00&amp;context=" TargetMode="External" /><Relationship Id="rId42" Type="http://schemas.openxmlformats.org/officeDocument/2006/relationships/hyperlink" Target="https://advance.lexis.com/api/document?collection=administrative-codes&amp;id=urn:contentItem:5F2R-48P0-008G-Y31V-00000-00&amp;context=" TargetMode="External" /><Relationship Id="rId43" Type="http://schemas.openxmlformats.org/officeDocument/2006/relationships/hyperlink" Target="https://advance.lexis.com/api/document?collection=administrative-codes&amp;id=urn:contentItem:5GMB-DPC0-008H-02S7-00000-00&amp;context=" TargetMode="External" /><Relationship Id="rId44" Type="http://schemas.openxmlformats.org/officeDocument/2006/relationships/hyperlink" Target="https://advance.lexis.com/api/document?collection=administrative-codes&amp;id=urn:contentItem:5GMB-DPC0-008H-02SK-00000-00&amp;context=" TargetMode="External" /><Relationship Id="rId45" Type="http://schemas.openxmlformats.org/officeDocument/2006/relationships/hyperlink" Target="http://www.ed.gov/fund/grant/apply/appforms/appforms.html" TargetMode="External" /><Relationship Id="rId46" Type="http://schemas.openxmlformats.org/officeDocument/2006/relationships/hyperlink" Target="https://advance.lexis.com/api/document?collection=administrative-codes&amp;id=urn:contentItem:5GMB-DPB0-008H-0272-00000-00&amp;context=" TargetMode="External" /><Relationship Id="rId47" Type="http://schemas.openxmlformats.org/officeDocument/2006/relationships/hyperlink" Target="https://advance.lexis.com/api/document?collection=administrative-codes&amp;id=urn:contentItem:5GMB-DPB0-008H-02K8-00000-00&amp;context=" TargetMode="External" /><Relationship Id="rId48" Type="http://schemas.openxmlformats.org/officeDocument/2006/relationships/hyperlink" Target="http://www.gpo.gov/fdsys" TargetMode="External" /><Relationship Id="rId49" Type="http://schemas.openxmlformats.org/officeDocument/2006/relationships/hyperlink" Target="http://www.federalregister.gov" TargetMode="External" /><Relationship Id="rId5" Type="http://schemas.openxmlformats.org/officeDocument/2006/relationships/footer" Target="footer1.xml" /><Relationship Id="rId50" Type="http://schemas.openxmlformats.org/officeDocument/2006/relationships/numbering" Target="numbering.xml" /><Relationship Id="rId51"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2W-NPB0-006W-831G-00000-00&amp;context=" TargetMode="External" /><Relationship Id="rId8" Type="http://schemas.openxmlformats.org/officeDocument/2006/relationships/hyperlink" Target="https://advance.lexis.com/api/document?collection=statutes-legislation&amp;id=urn:contentItem:4YF7-GT91-NRF4-40HS-00000-00&amp;context=" TargetMode="External" /><Relationship Id="rId9" Type="http://schemas.openxmlformats.org/officeDocument/2006/relationships/hyperlink" Target="http://nces.ed.gov/pubs2016/2016405.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26783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71560696</vt:lpwstr>
  </property>
  <property fmtid="{D5CDD505-2E9C-101B-9397-08002B2CF9AE}" pid="3" name="LADocCount">
    <vt:lpwstr>1</vt:lpwstr>
  </property>
  <property fmtid="{D5CDD505-2E9C-101B-9397-08002B2CF9AE}" pid="4" name="UserPermID">
    <vt:lpwstr>urn:user:PA185916758</vt:lpwstr>
  </property>
</Properties>
</file>