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1381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003, Thursday, January 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1381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Rule 7022(d)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34-79701; File No. SR-NASDAQ-2016-175]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15, 2016,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Rule 7022(d) to increase the monthly fee for Nasdaq's Daily List and Fundamental Data report from $ 1,500 to $ 1,750.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amend Rule 7022(d) to increase the monthly fee for Nasdaq's Daily List and Fundamental Data report from $ 1,500 to $ 1,750. The Daily List provides important corporate action data--including new listings, delistings, symbol and name changes, and dividends--for the Nasdaq Stock Market and the Mutual Fund Quotation Service ("MFQS") to the trading and market data community. Specifically, the Daily List is comprised of the following four data sets: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Nasdaq Equity Data:</w:t>
      </w:r>
      <w:r>
        <w:rPr>
          <w:rFonts w:ascii="arial" w:eastAsia="arial" w:hAnsi="arial" w:cs="arial"/>
          <w:b w:val="0"/>
          <w:i w:val="0"/>
          <w:strike w:val="0"/>
          <w:noProof w:val="0"/>
          <w:color w:val="000000"/>
          <w:position w:val="0"/>
          <w:sz w:val="20"/>
          <w:u w:val="none"/>
          <w:vertAlign w:val="baseline"/>
        </w:rPr>
        <w:t xml:space="preserve"> Provides advance notification of new listings, delistings, corporate name changes, trading symbol changes, market tier changes, and Financial Status Indicator changes that occur on all tiers of the Nasdaq Stock Market.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Mutual Fund Data:</w:t>
      </w:r>
      <w:r>
        <w:rPr>
          <w:rFonts w:ascii="arial" w:eastAsia="arial" w:hAnsi="arial" w:cs="arial"/>
          <w:b w:val="0"/>
          <w:i w:val="0"/>
          <w:strike w:val="0"/>
          <w:noProof w:val="0"/>
          <w:color w:val="000000"/>
          <w:position w:val="0"/>
          <w:sz w:val="20"/>
          <w:u w:val="none"/>
          <w:vertAlign w:val="baseline"/>
        </w:rPr>
        <w:t xml:space="preserve"> Provides advance notification of new listings, delistings, corporate name changes and fund identifier changes for mutual funds, money market funds and unit investment trusts that report via MFQS.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Dividends:</w:t>
      </w:r>
      <w:r>
        <w:rPr>
          <w:rFonts w:ascii="arial" w:eastAsia="arial" w:hAnsi="arial" w:cs="arial"/>
          <w:b w:val="0"/>
          <w:i w:val="0"/>
          <w:strike w:val="0"/>
          <w:noProof w:val="0"/>
          <w:color w:val="000000"/>
          <w:position w:val="0"/>
          <w:sz w:val="20"/>
          <w:u w:val="none"/>
          <w:vertAlign w:val="baseline"/>
        </w:rPr>
        <w:t xml:space="preserve"> Provides advance notification of cash dividends, stock dividends, and stock splits for Nasdaq securities.</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Next Day Ex-Date:</w:t>
      </w:r>
      <w:r>
        <w:rPr>
          <w:rFonts w:ascii="arial" w:eastAsia="arial" w:hAnsi="arial" w:cs="arial"/>
          <w:b w:val="0"/>
          <w:i w:val="0"/>
          <w:strike w:val="0"/>
          <w:noProof w:val="0"/>
          <w:color w:val="000000"/>
          <w:position w:val="0"/>
          <w:sz w:val="20"/>
          <w:u w:val="none"/>
          <w:vertAlign w:val="baseline"/>
        </w:rPr>
        <w:t xml:space="preserve"> Summarizes the securities with dividend adjustments to be applied to the previous closing price on the next business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Nasdaq recently enhanced the Daily List by adding (i) a tick pilot indicator that provides information about the status of each security under the Tick Size Pilot Program n3 and (ii) a flag to identify securities that are exchange-traded funds ("ETFs") and exchange-traded managed funds ("ETMFs").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Order Approving the National Market System Plan to Implement a Tick Size Pilot Program by BATS Exchange, Inc., BATS Y-Exchange, Inc., Chicago Stock Exchange, Inc., EDGA Exchange, Inc., EDGX Exchange, Inc., Financial Industry Regulatory Authority, Inc., NASDAQ OMX BX, Inc., NASDAQ OMX PHLX LLC, The Nasdaq Stock Market LLC, New York Stock Exchange LLC, NYSE MKT LLC, and NYSE Arca, Inc., as Modified by the Commission, For a Two-Year Period, Securities Exchange Act Release No. 74892 (May 6, 2015), </w:t>
      </w:r>
      <w:hyperlink r:id="rId11" w:history="1">
        <w:r>
          <w:rPr>
            <w:rFonts w:ascii="arial" w:eastAsia="arial" w:hAnsi="arial" w:cs="arial"/>
            <w:b w:val="0"/>
            <w:i/>
            <w:strike w:val="0"/>
            <w:noProof w:val="0"/>
            <w:color w:val="0077CC"/>
            <w:position w:val="0"/>
            <w:sz w:val="20"/>
            <w:u w:val="single"/>
            <w:vertAlign w:val="baseline"/>
          </w:rPr>
          <w:t>80 FR 27514</w:t>
        </w:r>
      </w:hyperlink>
      <w:r>
        <w:rPr>
          <w:rFonts w:ascii="arial" w:eastAsia="arial" w:hAnsi="arial" w:cs="arial"/>
          <w:b w:val="0"/>
          <w:i w:val="0"/>
          <w:strike w:val="0"/>
          <w:noProof w:val="0"/>
          <w:color w:val="000000"/>
          <w:position w:val="0"/>
          <w:sz w:val="20"/>
          <w:u w:val="none"/>
          <w:vertAlign w:val="baseline"/>
        </w:rPr>
        <w:t xml:space="preserve"> (May 13, 2015) (File No. 4-657).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List files are available via secured Web site or secured file transfer protocol server and are posted and updated intraday. The Daily List also includes access to historical Daily List data dating back to either 1998 or 1999 (depending on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 Data report provides a summary file of the prior day's trading activity for all Nasdaq-listed issues. Specifically, the report includes the following elements: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Security Master Information:</w:t>
      </w:r>
      <w:r>
        <w:rPr>
          <w:rFonts w:ascii="arial" w:eastAsia="arial" w:hAnsi="arial" w:cs="arial"/>
          <w:b w:val="0"/>
          <w:i w:val="0"/>
          <w:strike w:val="0"/>
          <w:noProof w:val="0"/>
          <w:color w:val="000000"/>
          <w:position w:val="0"/>
          <w:sz w:val="20"/>
          <w:u w:val="none"/>
          <w:vertAlign w:val="baseline"/>
        </w:rPr>
        <w:t xml:space="preserve"> Issue Name, Issue Symbol, Issue Type, Issue Class, Listing Market Tier, Total Shares Outstanding, Public Float and Nasdaq Index Membership.</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Consolidated Market Statistics:</w:t>
      </w:r>
      <w:r>
        <w:rPr>
          <w:rFonts w:ascii="arial" w:eastAsia="arial" w:hAnsi="arial" w:cs="arial"/>
          <w:b w:val="0"/>
          <w:i w:val="0"/>
          <w:strike w:val="0"/>
          <w:noProof w:val="0"/>
          <w:color w:val="000000"/>
          <w:position w:val="0"/>
          <w:sz w:val="20"/>
          <w:u w:val="none"/>
          <w:vertAlign w:val="baseline"/>
        </w:rPr>
        <w:t xml:space="preserve"> Daily High Price, Daily Low Price, Daily Last Sale Price, Daily Share Volume, 52 Week High Price, 52 Week Low Price, Year-To-Date Volume</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Nasdaq Market Center Statistics:</w:t>
      </w:r>
      <w:r>
        <w:rPr>
          <w:rFonts w:ascii="arial" w:eastAsia="arial" w:hAnsi="arial" w:cs="arial"/>
          <w:b w:val="0"/>
          <w:i w:val="0"/>
          <w:strike w:val="0"/>
          <w:noProof w:val="0"/>
          <w:color w:val="000000"/>
          <w:position w:val="0"/>
          <w:sz w:val="20"/>
          <w:u w:val="none"/>
          <w:vertAlign w:val="baseline"/>
        </w:rPr>
        <w:t xml:space="preserve"> Nasdaq Official Closing Price and Nasdaq Closing Bid/Ask Quotation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Daily List, Fundamental Data files are available via secured Web site or secured file transfer protocol server. The information is provided on a T+1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fees for the Daily List and Fundamental Data were established in 2013. n4 Since that time, Nasdaq has implemented the enhancements to the Daily List product described above. Additionally, in 2014 Nasdaq introduced several enhancements to the MFQS portion of the Daily List product: A new "test Symbol Flag" field to clearly delineate MFQS test instruments from production instruments; a new "Symbol Reuse Flag" to alert market data vendors that a previously used MFQS symbol is being issued to a new MFQS instrument; and a new "Instrument Registration" field to clearly identify the U.S. regulatory agent responsible for oversight of a given MFQS instrument. Accordingly, to the extent that the proposed price increase exceeds the rate of overall inflation during the preceding four years, Nasdaq believes that it is warranted in light of the increased value of the product to market participants. Moreover, as discussed below, Nasdaq believes that the price of the product is constrained by market forces, such that any increase in the price of the product that was not reasonable in light of the product's value would be met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Securities Exchange Act Release No. 68636 (January 11, 2013), </w:t>
      </w:r>
      <w:hyperlink r:id="rId12" w:history="1">
        <w:r>
          <w:rPr>
            <w:rFonts w:ascii="arial" w:eastAsia="arial" w:hAnsi="arial" w:cs="arial"/>
            <w:b w:val="0"/>
            <w:i/>
            <w:strike w:val="0"/>
            <w:noProof w:val="0"/>
            <w:color w:val="0077CC"/>
            <w:position w:val="0"/>
            <w:sz w:val="20"/>
            <w:u w:val="single"/>
            <w:vertAlign w:val="baseline"/>
          </w:rPr>
          <w:t>78 FR 3940</w:t>
        </w:r>
      </w:hyperlink>
      <w:r>
        <w:rPr>
          <w:rFonts w:ascii="arial" w:eastAsia="arial" w:hAnsi="arial" w:cs="arial"/>
          <w:b w:val="0"/>
          <w:i w:val="0"/>
          <w:strike w:val="0"/>
          <w:noProof w:val="0"/>
          <w:color w:val="000000"/>
          <w:position w:val="0"/>
          <w:sz w:val="20"/>
          <w:u w:val="none"/>
          <w:vertAlign w:val="baseline"/>
        </w:rPr>
        <w:t xml:space="preserve"> (January 17, 2013) (SR-NASDAQ-2013-009).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proposal is consistent with Section 6(b) of the Act, n5 in general, and furthers the objectives of Sections 6(b)(4) and 6(b)(5) of the Act, n6 in particular, in that it provides for the equitable allocation of reasonable dues, fees and other charges </w:t>
      </w:r>
      <w:r>
        <w:rPr>
          <w:rFonts w:ascii="arial" w:eastAsia="arial" w:hAnsi="arial" w:cs="arial"/>
          <w:b/>
          <w:i w:val="0"/>
          <w:strike w:val="0"/>
          <w:noProof w:val="0"/>
          <w:color w:val="000000"/>
          <w:position w:val="0"/>
          <w:sz w:val="20"/>
          <w:u w:val="none"/>
          <w:vertAlign w:val="baseline"/>
        </w:rPr>
        <w:t> [*1382] </w:t>
      </w:r>
      <w:r>
        <w:rPr>
          <w:rFonts w:ascii="arial" w:eastAsia="arial" w:hAnsi="arial" w:cs="arial"/>
          <w:b w:val="0"/>
          <w:i w:val="0"/>
          <w:strike w:val="0"/>
          <w:noProof w:val="0"/>
          <w:color w:val="000000"/>
          <w:position w:val="0"/>
          <w:sz w:val="20"/>
          <w:u w:val="none"/>
          <w:vertAlign w:val="baseline"/>
        </w:rPr>
        <w:t xml:space="preserve">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3"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Securities Exchange Act Release No. 51808 (June 9, 2005), </w:t>
      </w:r>
      <w:hyperlink r:id="rId14"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n8 ("NetCoalition"), the D.C. Circuit upheld the Commission's use of a market-based approach in evaluating the fairness of market data fees against a challenge claiming that Congress mandated a cost-based approach. n9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5"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5"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6"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periodically it must adjust prices to reflect more accurately the value of its products and the investments made to enhance them. Given that the fee for the Daily List and Fundament Data product has not been adjusted for four years, Nasdaq believes that it is an appropriate time to adjust the fee to more accurately reflect its value, as well as the investments made to enhance it through the addition of additional data to the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overall fee levels associated with interacting with a particular venue to be excessive.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and data consumption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instance, the proposed change to the fee for the Daily List and Fundamental Data product does not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product is completely voluntary and is not necessary in order to interact with the Exchange. Thus, if the fee proposed herein is disproportionate to the value provided by this product, it is likely that the Exchange will lose sales. Moreover, to the extent that market participants use the product in order to enhance their participation with the Exchange, an excessive fee may encourage them to route orders to other venues. Accordingly, the Exchange does not believe that the proposed changes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market forces constrain fees for the Daily List and Fundamental Data product in three respects. First, fees related to data products that support interaction with an exchange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attracting order flow. Nasdaq believes that firms make decisions regarding order routing and consumption of proprietary data based on the total cost of interacting with the Exchange, and order flow could be harmed by the supracompetitive pricing of any proprietary data product. Second, prices for the data are constrained by the potential for other exchanges and non-exchange data distributors to create products that replicate the Daily List and Fundamental Data product. Third,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constrains the cost of the data.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Fees related to this product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exchanges. Broker-dealers currently have numerous alternative venues for their order flow, including self-regulatory organization ("SRO") markets,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quotation information and transaction reports,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BATS, and IEX.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BDs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Order routers and market data vendors can facilitate production of proprietary data products for single or multiple BDs.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w:t>
      </w:r>
      <w:r>
        <w:rPr>
          <w:rFonts w:ascii="arial" w:eastAsia="arial" w:hAnsi="arial" w:cs="arial"/>
          <w:b/>
          <w:i w:val="0"/>
          <w:strike w:val="0"/>
          <w:noProof w:val="0"/>
          <w:color w:val="000000"/>
          <w:position w:val="0"/>
          <w:sz w:val="20"/>
          <w:u w:val="none"/>
          <w:vertAlign w:val="baseline"/>
        </w:rPr>
        <w:t> [*1383] </w:t>
      </w:r>
      <w:r>
        <w:rPr>
          <w:rFonts w:ascii="arial" w:eastAsia="arial" w:hAnsi="arial" w:cs="arial"/>
          <w:b w:val="0"/>
          <w:i w:val="0"/>
          <w:strike w:val="0"/>
          <w:noProof w:val="0"/>
          <w:color w:val="000000"/>
          <w:position w:val="0"/>
          <w:sz w:val="20"/>
          <w:u w:val="none"/>
          <w:vertAlign w:val="baseline"/>
        </w:rPr>
        <w:t xml:space="preserve"> A trading platform cannot generate market information unless it receives trade orders.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the prices that platforms can charge for proprietary data products. Firms make decisions on how much and what types of data to consume based on the total cost of interacting with Nasdaq and other exchanges. Data fees are but one factor in a total platform analysis. If the cost of the product exceeds its expected value, the broker-dealer will choose not to buy it. A supracompetitive increase in the fees charged for either transactions or proprietary data has the potential to impair revenues from both products. In this manner,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prices for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price of the data contained in the Daily List and Fundamental Data product is constrained by the ability of a data vendor to obtain the information necessary to create and sell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Nasdaq does not have unique access to the information that is provided through the product, and market participants do not have an unqualified need for the information provided. Therefore, the price that Nasdaq can charge for the product is constrained by the ability of market participants to reduce their demand for the product and the ability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enter the market and profitably undercut any supracompetitive price increase.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Distributors provide another form of price discipline for proprietary data products. Distributors are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users, and can simply refuse to purchase any proprietary data product that fails to provide sufficient value for the price. If the price of this product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Distributors could determine whether the product was sufficiently attractive to their own customers to warrant incurring the costs associated with purchasing it for distribution. Since distributors are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one another to attract customers, they must continually evaluate their cost base and the value of their product offering to customers to determine whether they allow them to maximize profitability.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provides another check on the price for proprietary data products such as the Daily List and Fundamental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market forces constrain the price of the product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substitute products,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customers. For these reasons, the Exchange has provided a substantial basis demonstrating that the fee is equitable, fair, reasonable, and not unreasonably discriminatory, and therefore consistent with and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proposed rule change has become effective pursuant to Section 19(b)(3)(A)(ii) of the Act.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SR-NASDAQ-2016-175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SR-NASDAQ-2016-175. This file number should be included on the subject line if email is used. To help the Commission process and review your comments more efficiently, please use only one method. The Commission will post all comments on the Commission's Internet Web site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SR-NASDAQ-2016-175, and should be submitted on or before January 26,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authority.&lt;13&gt;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2016-31936 Filed 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1381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G02-6VY0-006W-830G-00000-00&amp;context=" TargetMode="External" /><Relationship Id="rId12" Type="http://schemas.openxmlformats.org/officeDocument/2006/relationships/hyperlink" Target="https://advance.lexis.com/api/document?collection=administrative-codes&amp;id=urn:contentItem:57HN-1D60-006W-805G-00000-00&amp;context=" TargetMode="External" /><Relationship Id="rId13" Type="http://schemas.openxmlformats.org/officeDocument/2006/relationships/hyperlink" Target="https://advance.lexis.com/api/document?collection=statutes-legislation&amp;id=urn:contentItem:4YF7-GPC1-NRF4-4309-00000-00&amp;context=" TargetMode="External" /><Relationship Id="rId14" Type="http://schemas.openxmlformats.org/officeDocument/2006/relationships/hyperlink" Target="https://advance.lexis.com/api/document?collection=administrative-codes&amp;id=urn:contentItem:4GH9-4PB0-014W-D1VJ-00000-00&amp;context=" TargetMode="External" /><Relationship Id="rId15" Type="http://schemas.openxmlformats.org/officeDocument/2006/relationships/hyperlink" Target="https://advance.lexis.com/api/document?collection=cases&amp;id=urn:contentItem:803V-DT30-YB0V-T01B-00000-00&amp;context=" TargetMode="External" /><Relationship Id="rId16" Type="http://schemas.openxmlformats.org/officeDocument/2006/relationships/hyperlink" Target="https://advance.lexis.com/api/document?collection=administrative-codes&amp;id=urn:contentItem:4V3T-8BP0-006W-834G-00000-00&amp;context=" TargetMode="External" /><Relationship Id="rId17" Type="http://schemas.openxmlformats.org/officeDocument/2006/relationships/hyperlink" Target="http://www.sec.gov/rules/sro.shtml" TargetMode="External" /><Relationship Id="rId18" Type="http://schemas.openxmlformats.org/officeDocument/2006/relationships/hyperlink" Target="mailto:rule-comments@sec.gov" TargetMode="External" /><Relationship Id="rId19" Type="http://schemas.openxmlformats.org/officeDocument/2006/relationships/hyperlink" Target="https://advance.lexis.com/api/document?collection=administrative-codes&amp;id=urn:contentItem:5SPP-2120-008G-Y2ND-00000-00&amp;context="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JN-48B0-006W-821K-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4092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71569687</vt:lpwstr>
  </property>
  <property fmtid="{D5CDD505-2E9C-101B-9397-08002B2CF9AE}" pid="3" name="LADocCount">
    <vt:lpwstr>1</vt:lpwstr>
  </property>
  <property fmtid="{D5CDD505-2E9C-101B-9397-08002B2CF9AE}" pid="4" name="UserPermID">
    <vt:lpwstr>urn:user:PA185916758</vt:lpwstr>
  </property>
</Properties>
</file>