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15207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057, Monday, March 27,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15207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March 27,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Expanding Opportunity Through Quality Charter Schools Program--Grants for Credit Enhancement for Charter School Facilities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Expanding Opportunity through Quality Charter Schools Program (CSP)--Grants for Credit Enhancement for Charter School Facilities 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84.354A.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22,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Margo Anderson,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2017-06016 Filed 3-24-17;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27,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Meeting:</w:t>
      </w:r>
      <w:r>
        <w:rPr>
          <w:rFonts w:ascii="arial" w:eastAsia="arial" w:hAnsi="arial" w:cs="arial"/>
          <w:b w:val="0"/>
          <w:i w:val="0"/>
          <w:strike w:val="0"/>
          <w:noProof w:val="0"/>
          <w:color w:val="000000"/>
          <w:position w:val="0"/>
          <w:sz w:val="20"/>
          <w:u w:val="none"/>
          <w:vertAlign w:val="baseline"/>
        </w:rPr>
        <w:t xml:space="preserve"> April 12, 2017, 1:00 p.m. to 2:00 p.m., Washington, DC,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11,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10,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Grants for Credit Enhancement for Charter School Facilities (Credit Enhancement) program provides grants to eligible entities to demonstrate innovative methods of helping charter schools to address the cost of acquiring, constructing, and renovating facilities by enhancing the availability of loans and bond financing.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FY 2002, the Department has made new Credit Enhancement grants each year, which has resulted in a portfolio of grantees using Federal funds to enhance the credit of charter schools so that they can access private-sector and other non-Federal capital in order to acquire, construct, and renovate facilities at a reasonable cost. In December 2015, the Credit Enhancement program was reauthorized under the Elementary and Secondary Education Act of 1965 (ESEA), as amended by the Every Student Succeeds Act (ESSA) </w:t>
      </w:r>
      <w:hyperlink r:id="rId10" w:history="1">
        <w:r>
          <w:rPr>
            <w:rFonts w:ascii="arial" w:eastAsia="arial" w:hAnsi="arial" w:cs="arial"/>
            <w:b w:val="0"/>
            <w:i/>
            <w:strike w:val="0"/>
            <w:noProof w:val="0"/>
            <w:color w:val="0077CC"/>
            <w:position w:val="0"/>
            <w:sz w:val="20"/>
            <w:u w:val="single"/>
            <w:vertAlign w:val="baseline"/>
          </w:rPr>
          <w:t>(20 U.S.C. 7221c).</w:t>
        </w:r>
      </w:hyperlink>
      <w:r>
        <w:rPr>
          <w:rFonts w:ascii="arial" w:eastAsia="arial" w:hAnsi="arial" w:cs="arial"/>
          <w:b w:val="0"/>
          <w:i w:val="0"/>
          <w:strike w:val="0"/>
          <w:noProof w:val="0"/>
          <w:color w:val="000000"/>
          <w:position w:val="0"/>
          <w:sz w:val="20"/>
          <w:u w:val="none"/>
          <w:vertAlign w:val="baseline"/>
        </w:rPr>
        <w:t xml:space="preserve"> This notice contains application requirements from the ESEA, as amended by the ESSA, n1 and selection criteria and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charters operating in high-need communities and geographic areas. This notice also includes an invitational priority that encourages applicants to partner with other entities to leverage new or previously untapped capital and other resources to expand support to more schools and students as well as improve their ability to support schools and students. For example, under this priority, an applicant could propose to partner with a newly created State-funded credit enhancement program designed to improve charter schools' credit ratings on bonds, thereby enabling charter school facility financing at lower interest rates and lower borrowing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Unless otherwise indicated, references to the ESEA are to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one invitational priority.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In accordance with 34 CFR 75.105(b)(2)(ii), </w:t>
      </w:r>
      <w:r>
        <w:rPr>
          <w:rFonts w:ascii="arial" w:eastAsia="arial" w:hAnsi="arial" w:cs="arial"/>
          <w:b/>
          <w:i w:val="0"/>
          <w:strike w:val="0"/>
          <w:noProof w:val="0"/>
          <w:color w:val="000000"/>
          <w:position w:val="0"/>
          <w:sz w:val="20"/>
          <w:u w:val="none"/>
          <w:vertAlign w:val="baseline"/>
        </w:rPr>
        <w:t> [*15208] </w:t>
      </w:r>
      <w:r>
        <w:rPr>
          <w:rFonts w:ascii="arial" w:eastAsia="arial" w:hAnsi="arial" w:cs="arial"/>
          <w:b w:val="0"/>
          <w:i w:val="0"/>
          <w:strike w:val="0"/>
          <w:noProof w:val="0"/>
          <w:color w:val="000000"/>
          <w:position w:val="0"/>
          <w:sz w:val="20"/>
          <w:u w:val="none"/>
          <w:vertAlign w:val="baseline"/>
        </w:rPr>
        <w:t xml:space="preserve"> this priority is from 34 CFR 225.12.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34 CFR 75.105(c)(2)(i), we award up to an additional 15 points to an application, depending on how well the application addresses the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capacity of charter schools to offer public school choice in those communities with the greatest need for this choice based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would target services to geographic areas in which a large proportion or number of public schools have been identified for improvement, corrective action, or restructuring under Title I of the Elementary and Secondary Education Act of 1965, as amended by the No Child Left Behind Act of 2001 (NCLB).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applicant would target services to geographic areas in which a large proportion of students perform below proficient on State academic assessments;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applicant would target services to communities with large proportions of students from low-income families.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 regard to paragraph (1), consistent with the transition authority in section 4(b) of the ESSA, through the 2017-2018 school year, the Department will allow applicants to target services to geographic areas in which a large proportion of public schools are, at the time of submission of an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 Elementary and secondary schools identified as in need of improvement, corrective action, or restructuring under the ESEA, as amended by NCLB; or (ii) elementary and secondary schools identified as a priority or focus school by the State prior to August 1, 2016 under ESEA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school year 2017-2018, the Department will require an applicant that receives points under this priority and receives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amend its approved application, as needed, to describe how it will target services to geographic areas in which a large proportion of public schools are elementary and secondary schools identified for comprehensive or targeted support and improvement under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34 CFR 75.105(c)(1)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proposing the development of one or more partnerships that will enable the applicant to leverage newly created or previously untapped sources of capital or other assistance, which may include non-Federal programs, in financing charter school facilities.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definition is from section 4310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means a public school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accordance with a specific State statute authorizing the granting of charters to schools, is exempt from significant State or local rules that inhibit the flexible operation and management of public schools, but not from any rules relating to the other requirements in section 4310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created by a developer as a public school, or is adapted by a developer from an existing public school, and is operated under public supervision and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Operates in pursuit of a specific set of educational objectives determined by the school's developer and agreed to by the authorized public chartering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Provides a program of elementary or secondary education,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Is nonsectarian in its programs, admissions policies, employment practices, and all other operations, and is not affiliated with a sectarian school or religious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Does not charge tuition;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Complies with the Age Discrimination Act of 1975, title VI of the Civil Rights Act of 1964, title IX of the Education Amendments of 1972, section 504 of the Rehabilitation Act of 1973, the Americans with Disabilities Act of 1990 </w:t>
      </w:r>
      <w:hyperlink r:id="rId11"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section 444 of the General Education Provisions Act </w:t>
      </w:r>
      <w:hyperlink r:id="rId12"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xml:space="preserve"> (commonly referred to as the "Family Educational Rights and Privacy Act of 1974"), and part B of the Individuals with Disabilities Education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Is a school to which parents choose to send their children,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Admits students on the basis of a lottery, consistent with section 4303(c)(3)(A), if more students apply for admission than can be accommodated;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the case of a school that has an affiliated charter school (such as a school that is part of the same network of schools), automatically enrolls students who are enrolled in the immediate prior grade level of the affiliated charter school and, for any additional student openings or student openings created through regular attrition in student enrollment in the affiliated charter school and the enrolling school, admits students on the basis of a lottery as described in clause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Agrees to comply with the same Federal and State audit requirements as do other elementary schools and secondary schools in the State, unless such State audit requirements are waived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Meets all applicable Federal, State, and local health and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Operates in accordance with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Has a written performance contract with the authorized public chartering agency in the State that includes a description of how student performance will be measured in charter schools pursuant to State assessments that are required of other schools and pursuant to any other assessments mutually agreeable to the authorized public chartering agency and the charter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May serve students in early childhood education programs or postsecondary students.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20 U.S.C. 7221c.</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225.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Further Continuing and Security Assistance Appropriations Act, 2017, would provide, on an annualized basis, $ 332,538,640 for the CSP program and the authority to use at least $ 16,000,000 of CSP funds for Credit Enhancement awards. We intend to use an estimated $ 16,000,000 for new awards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actual level of funding depends on final congressional action. However, we are inviting applications to allow enough time to complete the grant </w:t>
      </w:r>
      <w:r>
        <w:rPr>
          <w:rFonts w:ascii="arial" w:eastAsia="arial" w:hAnsi="arial" w:cs="arial"/>
          <w:b/>
          <w:i w:val="0"/>
          <w:strike w:val="0"/>
          <w:noProof w:val="0"/>
          <w:color w:val="000000"/>
          <w:position w:val="0"/>
          <w:sz w:val="20"/>
          <w:u w:val="none"/>
          <w:vertAlign w:val="baseline"/>
        </w:rPr>
        <w:t> [*15209] </w:t>
      </w:r>
      <w:r>
        <w:rPr>
          <w:rFonts w:ascii="arial" w:eastAsia="arial" w:hAnsi="arial" w:cs="arial"/>
          <w:b w:val="0"/>
          <w:i w:val="0"/>
          <w:strike w:val="0"/>
          <w:noProof w:val="0"/>
          <w:color w:val="000000"/>
          <w:position w:val="0"/>
          <w:sz w:val="20"/>
          <w:u w:val="none"/>
          <w:vertAlign w:val="baseline"/>
        </w:rPr>
        <w:t xml:space="preserve">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$ 4,000,000 to $ 8,000,000.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$ 5,333,000.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$ 8,000,000 for a grant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From the start date indicated on the grant award document until the Federal funds and earnings on those funds have been expended for the grant purposes or until financing facilitated by the grant has been retired, whichever is later.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public entity, such as a State or local governmental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private, nonprofit entity;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consortium of entities described in paragraphs (a) and (b)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charter schools that a grantee selects to benefit from this program must meet the definition of "charter school" in section 4310 of the ESEA.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3" w:history="1">
        <w:r>
          <w:rPr>
            <w:rFonts w:ascii="arial" w:eastAsia="arial" w:hAnsi="arial" w:cs="arial"/>
            <w:b w:val="0"/>
            <w:i/>
            <w:strike w:val="0"/>
            <w:noProof w:val="0"/>
            <w:color w:val="0077CC"/>
            <w:position w:val="0"/>
            <w:sz w:val="20"/>
            <w:u w:val="single"/>
            <w:vertAlign w:val="baseline"/>
          </w:rPr>
          <w:t>http://innovation.ed.gov/what-we-do/charter-schools/credit-enhancement-for-charter-school-facilities-program/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the Federal Relay Service (FRS),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4"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5"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84.354A.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Each Credit Enhancement program application must include the following specific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statement identifying the activities that the eligible entity proposes to carry out with funds received under the program, including how the eligible entity will determine which charter schools will receive assistance, and how much and what types of assistance charter schools will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description of the involvement of charter schools in the application's development and the design of the proposed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description of the eligible entity's expertise in capital market financing. (Consortium applicants must provide this information for each of the participating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description of how the proposed activities will leverage the maximum amount of private-sector financing capital relative to the amount of government funding used and otherwise enhance credit available to charter schools, including how the eligible entity will offer a combination of rates and terms more favorable than the rates and terms that a charter school could receive without assistance from the eligible entity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 description of how the eligible entity possesses sufficient expertise in education to evaluate the likelihood of success of a charter school program for which facilities financing is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 the case of an application submitted by a State governmental entity, a description of the actions that the eligible entity has taken, or will take, to ensure that charter schools within the State receive the funding that charter schools need to have adequate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In the case of applicants applying as a consortium, applicants must also submit consortium agreements as part of their application package. These applicants must either designate one member of the group to apply for the grant or establish a separate legal entity to apply for the grant. All members of the consortium must then enter into an agreement that details the activities that each member of the group plans to perform and that binds each member to the application statements and assurances. This consortium agreement must be submitted as part of the consortium's application. The Department's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34 CFR 75.127--129 provide more details about the requirements that govern group/consortium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concerning the content and form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that reviewers use to evaluate your application. We recommend that you limit the application narrative to 40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applicants are strongly encouraged to include a table of contents that specifies where each required part of the application is located.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applicant should review the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section of this notice for information on the requirements for developing project-specific performance measures and targets consistent with the objectives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Credit Enhancement program, your application may include business information that you consider proprietary. In 34 CFR 5.11,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believe is exempt from disclosure under Exemption 4. In the appropriate Appendix section of your application, </w:t>
      </w:r>
      <w:r>
        <w:rPr>
          <w:rFonts w:ascii="arial" w:eastAsia="arial" w:hAnsi="arial" w:cs="arial"/>
          <w:b/>
          <w:i w:val="0"/>
          <w:strike w:val="0"/>
          <w:noProof w:val="0"/>
          <w:color w:val="000000"/>
          <w:position w:val="0"/>
          <w:sz w:val="20"/>
          <w:u w:val="none"/>
          <w:vertAlign w:val="baseline"/>
        </w:rPr>
        <w:t> [*15210] </w:t>
      </w:r>
      <w:r>
        <w:rPr>
          <w:rFonts w:ascii="arial" w:eastAsia="arial" w:hAnsi="arial" w:cs="arial"/>
          <w:b w:val="0"/>
          <w:i w:val="0"/>
          <w:strike w:val="0"/>
          <w:noProof w:val="0"/>
          <w:color w:val="000000"/>
          <w:position w:val="0"/>
          <w:sz w:val="20"/>
          <w:u w:val="none"/>
          <w:vertAlign w:val="baseline"/>
        </w:rPr>
        <w:t xml:space="preserve">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27,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Meeting:</w:t>
      </w:r>
      <w:r>
        <w:rPr>
          <w:rFonts w:ascii="arial" w:eastAsia="arial" w:hAnsi="arial" w:cs="arial"/>
          <w:b w:val="0"/>
          <w:i w:val="0"/>
          <w:strike w:val="0"/>
          <w:noProof w:val="0"/>
          <w:color w:val="000000"/>
          <w:position w:val="0"/>
          <w:sz w:val="20"/>
          <w:u w:val="none"/>
          <w:vertAlign w:val="baseline"/>
        </w:rPr>
        <w:t xml:space="preserve"> April 12, 2017, 1:00 p.m. to 2:00 p.m., Washington, DC,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10,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Reserve accounts.</w:t>
      </w:r>
      <w:r>
        <w:rPr>
          <w:rFonts w:ascii="arial" w:eastAsia="arial" w:hAnsi="arial" w:cs="arial"/>
          <w:b w:val="0"/>
          <w:i w:val="0"/>
          <w:strike w:val="0"/>
          <w:noProof w:val="0"/>
          <w:color w:val="000000"/>
          <w:position w:val="0"/>
          <w:sz w:val="20"/>
          <w:u w:val="none"/>
          <w:vertAlign w:val="baseline"/>
        </w:rPr>
        <w:t xml:space="preserve"> An eligible entity receiving a grant shall, in accordance with State and local law, directly or indirectly, alone or in collaboration with others, deposit the funds received, other than funds used for administrative costs, in a reserve account established and maintained by the eligible entity. Amounts deposited in such account shall be used by the eligible entity for one or more of the following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Guaranteeing, insuring, and reinsuring bonds, notes, evidences of debt, loans, and interests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Guaranteeing and insuring leases of personal and real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Facilitating financing by identifying potential lending sources, encouraging private lending, and other similar activities that directly promote lending to, or for the benefit of,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Facilitating the issuance of bonds by charter schools, or by other public entities for the benefit of charter schools, by providing technical, administrative, and other appropriate assistance (including the recruitment of bond counsel, underwriters, and potential investors and the consolidation of multiple charter school projects within a single bond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received and deposited in the reserve account shall be invested in obligations issued or guaranteed by the United States or a State, or in other similarly low-risk securities. Any earnings on funds received shall be deposited in the reserve account and used in accordance with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Charter school objectives.</w:t>
      </w:r>
      <w:r>
        <w:rPr>
          <w:rFonts w:ascii="arial" w:eastAsia="arial" w:hAnsi="arial" w:cs="arial"/>
          <w:b w:val="0"/>
          <w:i w:val="0"/>
          <w:strike w:val="0"/>
          <w:noProof w:val="0"/>
          <w:color w:val="000000"/>
          <w:position w:val="0"/>
          <w:sz w:val="20"/>
          <w:u w:val="none"/>
          <w:vertAlign w:val="baseline"/>
        </w:rPr>
        <w:t xml:space="preserve"> An eligible entity receiving a grant must use the funds deposited in the reserve account to assist one or more charter schools to access private-sector capital to accomplish one or more of the following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acquisition (by purchase, lease, donation, or otherwise) of an interest (including an interest held by a third party for the benefit of a charter school) in improved or unimproved real property that is necessary to commence or continue the operation of a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construction of new facilities, or the renovation, repair, or alteration of existing facilities, necessary to commence or continue the operation of a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predevelopment costs required to assess sites and to commence or continue the operation of a charter school.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Grantees must ensure that all costs incurred using funds from the reserve account are reasonable. Under </w:t>
      </w:r>
      <w:hyperlink r:id="rId16" w:history="1">
        <w:r>
          <w:rPr>
            <w:rFonts w:ascii="arial" w:eastAsia="arial" w:hAnsi="arial" w:cs="arial"/>
            <w:b w:val="0"/>
            <w:i/>
            <w:strike w:val="0"/>
            <w:noProof w:val="0"/>
            <w:color w:val="0077CC"/>
            <w:position w:val="0"/>
            <w:sz w:val="20"/>
            <w:u w:val="single"/>
            <w:vertAlign w:val="baseline"/>
          </w:rPr>
          <w:t>20 U.S.C. 7221</w:t>
        </w:r>
      </w:hyperlink>
      <w:r>
        <w:rPr>
          <w:rFonts w:ascii="arial" w:eastAsia="arial" w:hAnsi="arial" w:cs="arial"/>
          <w:b w:val="0"/>
          <w:i w:val="0"/>
          <w:strike w:val="0"/>
          <w:noProof w:val="0"/>
          <w:color w:val="000000"/>
          <w:position w:val="0"/>
          <w:sz w:val="20"/>
          <w:u w:val="none"/>
          <w:vertAlign w:val="baseline"/>
        </w:rPr>
        <w:t>(c)(g), an eligible entity may use not more than 2.5 percent of the funds received under this grant for the administrative costs of carrying out its project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specify unallowable costs in 34 CFR 225.21.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full faith and credit of the United States are not pledged to the payment of funds under such obligation. In the event of a default on any debt or other obligation, the United States has no liability to cover the cost of the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that are selected to receive an award must enter into a written Performance Agreement with the Department prior to drawing down funds, unless the grantee receives written permission from the Department in the interim to draw down a specific limited amount of funds. Grantees must maintain and enforce standards of conduct governing the performance of their employees, officers, directors, trustees, and agents engaged in the selection, award, and administration of contracts or agreements related to this grant. The standards of conduct must mandate disinterested decision-making. The Secretary, in accordance with chapter 37 of title 31 of the United States Code, will collect all or a portion of the funds in the reserve account established with grant funds (including any earnings on those funds) if the Secretary determines that: (1) The grantee has permanently ceased to use such funds to accomplish the purposes described in the authorizing statute and the Performance Agreement; or (2) not earlier than two years after the date on which it first receives these funds, the grantee has failed to make substantial progress in undertaking the grant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7"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val="0"/>
          <w:strike w:val="0"/>
          <w:noProof w:val="0"/>
          <w:color w:val="000000"/>
          <w:position w:val="0"/>
          <w:sz w:val="20"/>
          <w:u w:val="none"/>
          <w:vertAlign w:val="baseline"/>
        </w:rPr>
        <w: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 registration process can take approximately seven business days, but may take upwards of several weeks, depending on the completeness and accuracy of the data you enter into the SAM database. Thus, if you think you </w:t>
      </w:r>
      <w:r>
        <w:rPr>
          <w:rFonts w:ascii="arial" w:eastAsia="arial" w:hAnsi="arial" w:cs="arial"/>
          <w:b/>
          <w:i w:val="0"/>
          <w:strike w:val="0"/>
          <w:noProof w:val="0"/>
          <w:color w:val="000000"/>
          <w:position w:val="0"/>
          <w:sz w:val="20"/>
          <w:u w:val="none"/>
          <w:vertAlign w:val="baseline"/>
        </w:rPr>
        <w:t> [*15211] </w:t>
      </w:r>
      <w:r>
        <w:rPr>
          <w:rFonts w:ascii="arial" w:eastAsia="arial" w:hAnsi="arial" w:cs="arial"/>
          <w:b w:val="0"/>
          <w:i w:val="0"/>
          <w:strike w:val="0"/>
          <w:noProof w:val="0"/>
          <w:color w:val="000000"/>
          <w:position w:val="0"/>
          <w:sz w:val="20"/>
          <w:u w:val="none"/>
          <w:vertAlign w:val="baseline"/>
        </w:rPr>
        <w:t xml:space="preserve">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8"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19"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Credit Enhancement program, CFDA number 84.354A,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Credit Enhancement program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84.354, not 84.354A).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program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3"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w:t>
      </w:r>
      <w:r>
        <w:rPr>
          <w:rFonts w:ascii="arial" w:eastAsia="arial" w:hAnsi="arial" w:cs="arial"/>
          <w:b/>
          <w:i w:val="0"/>
          <w:strike w:val="0"/>
          <w:noProof w:val="0"/>
          <w:color w:val="000000"/>
          <w:position w:val="0"/>
          <w:sz w:val="20"/>
          <w:u w:val="none"/>
          <w:vertAlign w:val="baseline"/>
        </w:rPr>
        <w:t> [*15212] </w:t>
      </w:r>
      <w:r>
        <w:rPr>
          <w:rFonts w:ascii="arial" w:eastAsia="arial" w:hAnsi="arial" w:cs="arial"/>
          <w:b w:val="0"/>
          <w:i w:val="0"/>
          <w:strike w:val="0"/>
          <w:noProof w:val="0"/>
          <w:color w:val="000000"/>
          <w:position w:val="0"/>
          <w:sz w:val="20"/>
          <w:u w:val="none"/>
          <w:vertAlign w:val="baseline"/>
        </w:rPr>
        <w:t xml:space="preserve">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Clifton Jones, U.S. Department of Education, 400 Maryland Avenue SW., Room 4W244, Washington, DC 20202-5970. FAX: (202) 205-2204.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84.354A),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84.354A),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Control Center accepts hand deliveries daily between 8:00 a.m. and 4:30:00 p.m., Washington, DC time, except Saturdays, Sundays, and Federal holidays. </w:t>
      </w: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34 CFR 225.11. The Secretary awards up to 100 points for addressing these criteria. The maximum possible score for addressing </w:t>
      </w:r>
      <w:r>
        <w:rPr>
          <w:rFonts w:ascii="arial" w:eastAsia="arial" w:hAnsi="arial" w:cs="arial"/>
          <w:b/>
          <w:i w:val="0"/>
          <w:strike w:val="0"/>
          <w:noProof w:val="0"/>
          <w:color w:val="000000"/>
          <w:position w:val="0"/>
          <w:sz w:val="20"/>
          <w:u w:val="none"/>
          <w:vertAlign w:val="baseline"/>
        </w:rPr>
        <w:t> [*15213] </w:t>
      </w:r>
      <w:r>
        <w:rPr>
          <w:rFonts w:ascii="arial" w:eastAsia="arial" w:hAnsi="arial" w:cs="arial"/>
          <w:b w:val="0"/>
          <w:i w:val="0"/>
          <w:strike w:val="0"/>
          <w:noProof w:val="0"/>
          <w:color w:val="000000"/>
          <w:position w:val="0"/>
          <w:sz w:val="20"/>
          <w:u w:val="none"/>
          <w:vertAlign w:val="baseline"/>
        </w:rPr>
        <w:t xml:space="preserve"> each criterion is indicated in parentheses. Each criterion also includes the factors that the reviewers will consider to determine how well an application meets the criterion. We encourage applicants to make explicit connections to the selection criteria and factors in their applications. The Secretary uses the following criteria to evaluate an application for a Credit Enhancement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Quality of Project Design and Significance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project design and significance,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grant proposal would provide financing to charter schools at better rates and terms than they can receive absent assistance through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project goals, objectives, and timeline are clearly specified, measurable, and appropriate for the purpose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project implementation plan and activities, including the partnerships established, are likely to achieve measurable objectives that further the purposes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project is likely to produce results that are replicable;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extent to which the project will use appropriate criteria for selecting charter schools for assistance and for determining the type and amount of assistance to be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extent to which the proposed activities will leverage private or public-sector funding and increase the number and variety of charter schools assisted in meeting their facilities needs more than would be accomplished absent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extent to which the project will serve charter schools in States with strong charter laws, consistent with the criteria for such laws in section 4303(g)(2) of the ESEA;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extent to which the requested grant amount and the project costs are reasonable in relation to the objectives, design, and potential significance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Quality of Project Services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project services,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services to be provided by the project reflect the identified needs of the charter schools to be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charter schools and chartering agencies were involved in the design of, and demonstrate support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technical assistance and other services to be provided by the proposed grant project involve the use of cost-effective strategies for increasing charter schools' access to facilities financing, including the reasonableness of fees and lending terms;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services to be provided by the proposed grant project are focused on assisting charter schools with a likelihood of success and the greatest demonstrated need for assistance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Capacity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an applicant's business and organizational capacity to carry out the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amount and quality of experience of the applicant in carrying out the activities it proposes to undertake in its application, such as enhancing the credit on debt issuances, guaranteeing leases, and facilitating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applicant's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ability of the applicant to protect against unwarranted risk in its loan underwriting, portfolio monitoring, and financial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applicant's expertise in education to evaluate the likelihood of success of a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ability of the applicant to prevent conflicts of interest, including conflicts of interest by employees and members of the board of directors in a decision-making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If the applicant has co-applicants (consortium members), partners, or other grant project participants, the specific resources to be contributed by each co-applicant (consortium member), partner, or other grant project participant to the implementation and success of the grant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For State governmental entities, the extent to which steps have been or will be taken to ensure that charter schools within the State receive the funding needed to obtain adequate facilities;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For previous grantees under the charter school facilities programs, their performance in implementing these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Quality of Project Personnel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project personnel,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qualifications of project personnel, including relevant training and experience, of the project manager and other members of the project team, including consultants or subcontractors;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staffing plan for the grant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Risk Assessment and Special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2 CFR 200.205, before awarding grants under this program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2 CFR 200.205(a)(2)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w:t>
      </w:r>
      <w:r>
        <w:rPr>
          <w:rFonts w:ascii="arial" w:eastAsia="arial" w:hAnsi="arial" w:cs="arial"/>
          <w:b/>
          <w:i w:val="0"/>
          <w:strike w:val="0"/>
          <w:noProof w:val="0"/>
          <w:color w:val="000000"/>
          <w:position w:val="0"/>
          <w:sz w:val="20"/>
          <w:u w:val="none"/>
          <w:vertAlign w:val="baseline"/>
        </w:rPr>
        <w:t> [*15214] </w:t>
      </w:r>
      <w:r>
        <w:rPr>
          <w:rFonts w:ascii="arial" w:eastAsia="arial" w:hAnsi="arial" w:cs="arial"/>
          <w:b w:val="0"/>
          <w:i w:val="0"/>
          <w:strike w:val="0"/>
          <w:noProof w:val="0"/>
          <w:color w:val="000000"/>
          <w:position w:val="0"/>
          <w:sz w:val="20"/>
          <w:u w:val="none"/>
          <w:vertAlign w:val="baseline"/>
        </w:rPr>
        <w:t xml:space="preserve">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you receive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submit an annual report that complies with the reporting requirements for Credit Enhancement grantees in section 4304(h)(2) of the ESEA and the performance and financial expenditure reporting requirements in 34 CFR 75.720. At the end of your project period, you must submit a final performance report, including financial information, as directed by the Secretary. The Secretary may also require more frequent performance reports under 34 CFR 75.720(c). For specific requirements on reporting, please go to </w:t>
      </w:r>
      <w:hyperlink r:id="rId24"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Program Performance Measures</w:t>
      </w:r>
      <w:r>
        <w:rPr>
          <w:rFonts w:ascii="arial" w:eastAsia="arial" w:hAnsi="arial" w:cs="arial"/>
          <w:b w:val="0"/>
          <w:i w:val="0"/>
          <w:strike w:val="0"/>
          <w:noProof w:val="0"/>
          <w:color w:val="000000"/>
          <w:position w:val="0"/>
          <w:sz w:val="20"/>
          <w:u w:val="none"/>
          <w:vertAlign w:val="baseline"/>
        </w:rPr>
        <w:t xml:space="preserve"> The performance measures for this program are: (1) The amount of funding grantees leverage for charter schools to acquire, construct, and renovate school facilities and (2) the number of charter schools served. Grantees must provide this information as part of their annual performance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Project-Specific Performance Measures</w:t>
      </w:r>
      <w:r>
        <w:rPr>
          <w:rFonts w:ascii="arial" w:eastAsia="arial" w:hAnsi="arial" w:cs="arial"/>
          <w:b w:val="0"/>
          <w:i w:val="0"/>
          <w:strike w:val="0"/>
          <w:noProof w:val="0"/>
          <w:color w:val="000000"/>
          <w:position w:val="0"/>
          <w:sz w:val="20"/>
          <w:u w:val="none"/>
          <w:vertAlign w:val="baseline"/>
        </w:rPr>
        <w:t xml:space="preserve"> Applicants must propose project-specific performance measures and performance targets consistent with the objectives of the project and program. Applicants must provide the following information as directed under 34 CFR 75.110(b):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Project Performance Measures.</w:t>
      </w:r>
      <w:r>
        <w:rPr>
          <w:rFonts w:ascii="arial" w:eastAsia="arial" w:hAnsi="arial" w:cs="arial"/>
          <w:b w:val="0"/>
          <w:i w:val="0"/>
          <w:strike w:val="0"/>
          <w:noProof w:val="0"/>
          <w:color w:val="000000"/>
          <w:position w:val="0"/>
          <w:sz w:val="20"/>
          <w:u w:val="none"/>
          <w:vertAlign w:val="baseline"/>
        </w:rPr>
        <w:t xml:space="preserve"> How each proposed project-specific performance measure would accurately measure the performance of the project and how the proposed project-specific performance measure would be consistent with the performance measures established for the program funding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Project Performance Targets.</w:t>
      </w:r>
      <w:r>
        <w:rPr>
          <w:rFonts w:ascii="arial" w:eastAsia="arial" w:hAnsi="arial" w:cs="arial"/>
          <w:b w:val="0"/>
          <w:i w:val="0"/>
          <w:strike w:val="0"/>
          <w:noProof w:val="0"/>
          <w:color w:val="000000"/>
          <w:position w:val="0"/>
          <w:sz w:val="20"/>
          <w:u w:val="none"/>
          <w:vertAlign w:val="baseline"/>
        </w:rPr>
        <w:t xml:space="preserve"> Why each proposed performance target is ambitious yet achievable compared to the baseline for the performance measure and when, during the project period, the applicant would meet the performance target(s).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encourages applicants to consider measures and targets tied to their grant activities (for instance, if an applicant is using eligibility for free and reduced-price lunch to measure the number of low-income families served by the project, the applicant could provide a percentage for students qualifying for free and reduced-price lunch), during the grant period. The measures should be sufficient to gauge the progress throughout the grant period, and show results by the end of the grant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Data Collection and Reporting.</w:t>
      </w:r>
      <w:r>
        <w:rPr>
          <w:rFonts w:ascii="arial" w:eastAsia="arial" w:hAnsi="arial" w:cs="arial"/>
          <w:b w:val="0"/>
          <w:i w:val="0"/>
          <w:strike w:val="0"/>
          <w:noProof w:val="0"/>
          <w:color w:val="000000"/>
          <w:position w:val="0"/>
          <w:sz w:val="20"/>
          <w:u w:val="none"/>
          <w:vertAlign w:val="baseline"/>
        </w:rPr>
        <w:t xml:space="preserve"> (i) The data collection and reporting methods the applicant would use and why those methods are likely to yield reliable, valid, and meaningful performance data;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applicant's capacity to collect and report reliable, valid, and meaningful performance data, as evidenced by high-quality data collection, analysis, and reporting in other projects or research.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applicants do not have experience with collection and reporting of performance data through other projects or research, they should provide other evidence of their capacity to successfully carry out data collection and reporting for their proposed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Clifton Jones, U.S. Department of Education, 400 Maryland Avenue SW., Room 4W244, Washington, DC 20202-5970. Telephone: (202) 205-2204 or by email: </w:t>
      </w:r>
      <w:hyperlink r:id="rId25" w:history="1">
        <w:r>
          <w:rPr>
            <w:rFonts w:ascii="arial" w:eastAsia="arial" w:hAnsi="arial" w:cs="arial"/>
            <w:b w:val="0"/>
            <w:i/>
            <w:strike w:val="0"/>
            <w:noProof w:val="0"/>
            <w:color w:val="0077CC"/>
            <w:position w:val="0"/>
            <w:sz w:val="20"/>
            <w:u w:val="single"/>
            <w:vertAlign w:val="baseline"/>
          </w:rPr>
          <w:t>Clifton.Jones@ed.gov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15207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T81-NRF4-401W-00000-00&amp;context=" TargetMode="External" /><Relationship Id="rId11" Type="http://schemas.openxmlformats.org/officeDocument/2006/relationships/hyperlink" Target="https://advance.lexis.com/api/document?collection=statutes-legislation&amp;id=urn:contentItem:4YF7-GP51-NRF4-40G1-00000-00&amp;context=" TargetMode="External" /><Relationship Id="rId12" Type="http://schemas.openxmlformats.org/officeDocument/2006/relationships/hyperlink" Target="https://advance.lexis.com/api/document?collection=statutes-legislation&amp;id=urn:contentItem:4YF7-GN31-NRF4-40GT-00000-00&amp;context=" TargetMode="External" /><Relationship Id="rId13" Type="http://schemas.openxmlformats.org/officeDocument/2006/relationships/hyperlink" Target="http://innovation.ed.gov/what-we-do/charter-schools/credit-enhancement-for-charter-school-facilities-program/" TargetMode="External" /><Relationship Id="rId14" Type="http://schemas.openxmlformats.org/officeDocument/2006/relationships/hyperlink" Target="http://www.EDPubs.gov" TargetMode="External" /><Relationship Id="rId15" Type="http://schemas.openxmlformats.org/officeDocument/2006/relationships/hyperlink" Target="mailto:edpubs@inet.ed.gov" TargetMode="External" /><Relationship Id="rId16" Type="http://schemas.openxmlformats.org/officeDocument/2006/relationships/hyperlink" Target="https://advance.lexis.com/api/document?collection=statutes-legislation&amp;id=urn:contentItem:4YF7-GWP1-NRF4-43C2-00000-00&amp;context=" TargetMode="External" /><Relationship Id="rId17" Type="http://schemas.openxmlformats.org/officeDocument/2006/relationships/hyperlink" Target="http://fedgov.dnb.com/webform" TargetMode="External" /><Relationship Id="rId18" Type="http://schemas.openxmlformats.org/officeDocument/2006/relationships/hyperlink" Target="http://www.SAM.gov" TargetMode="External" /><Relationship Id="rId19" Type="http://schemas.openxmlformats.org/officeDocument/2006/relationships/hyperlink" Target="http://www2.ed.gov/fund/grant/apply/sam-faqs.html" TargetMode="External" /><Relationship Id="rId2" Type="http://schemas.openxmlformats.org/officeDocument/2006/relationships/webSettings" Target="webSettings.xml" /><Relationship Id="rId20" Type="http://schemas.openxmlformats.org/officeDocument/2006/relationships/hyperlink" Target="http://www.grants.gov/web/grants/register.html" TargetMode="External" /><Relationship Id="rId21" Type="http://schemas.openxmlformats.org/officeDocument/2006/relationships/hyperlink" Target="http://www.Grants.gov" TargetMode="External" /><Relationship Id="rId22" Type="http://schemas.openxmlformats.org/officeDocument/2006/relationships/hyperlink" Target="http://www.G5.gov" TargetMode="External" /><Relationship Id="rId23" Type="http://schemas.openxmlformats.org/officeDocument/2006/relationships/hyperlink" Target="http://www.grants.gov/web/grants/applicants/apply-for-grants.html" TargetMode="External" /><Relationship Id="rId24" Type="http://schemas.openxmlformats.org/officeDocument/2006/relationships/hyperlink" Target="http://www.ed.gov/fund/grant/apply/appforms/appforms.html" TargetMode="External" /><Relationship Id="rId25" Type="http://schemas.openxmlformats.org/officeDocument/2006/relationships/hyperlink" Target="mailto:Clifton.Jones@ed.gov" TargetMode="Externa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5X-8DX0-006W-84D9-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23791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71570011</vt:lpwstr>
  </property>
  <property fmtid="{D5CDD505-2E9C-101B-9397-08002B2CF9AE}" pid="3" name="LADocCount">
    <vt:lpwstr>1</vt:lpwstr>
  </property>
  <property fmtid="{D5CDD505-2E9C-101B-9397-08002B2CF9AE}" pid="4" name="UserPermID">
    <vt:lpwstr>urn:user:PA185916758</vt:lpwstr>
  </property>
</Properties>
</file>