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15336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058, Tuesday, March 28,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15336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28,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Assistance for Arts Education Programs--Professional Development for Arts Educators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Assistance for Arts Education Programs--Professional Development for Arts Educators (PDAE) Grants 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84.351C.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April 27,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For information about the pre-application Webinar, visit the Arts in Education (AIE) Web site at: </w:t>
      </w:r>
      <w:hyperlink r:id="rId8" w:history="1">
        <w:r>
          <w:rPr>
            <w:rFonts w:ascii="arial" w:eastAsia="arial" w:hAnsi="arial" w:cs="arial"/>
            <w:b w:val="0"/>
            <w:i/>
            <w:strike w:val="0"/>
            <w:noProof w:val="0"/>
            <w:color w:val="0077CC"/>
            <w:position w:val="0"/>
            <w:sz w:val="20"/>
            <w:u w:val="single"/>
            <w:vertAlign w:val="baseline"/>
          </w:rPr>
          <w:t>https://innovation.ed.gov/what-we-do/arts/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30,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26,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Assistance for Arts Education program is authorized under Title IV, Part F, Subpart 4 of the Elementary and Secondary Education Act (ESEA), as amended by the Every Student Succeeds Act (ESSA). n1 It is intended to enrich the academic experiences by promoting arts education for students, including disadvantaged students and students who are children with disabilities. The Professional Development for Arts Educators grant (PDAE) specifically supports the implementation of high-quality model professional development programs for arts educators and other instructional staff in the areas of music, dance, drama, media arts, and visual arts, including folk arts, for students in kindergarten through grade 12 (K-12) in which 50 percent or more of the students are from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Unless otherwise indicated, all references to the ESEA are to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arts are included in the list of subjects comprising a well-rounded education as set out under section 8101 of the ESEA. Teachers of the arts, like teachers in other subject areas, need opportunities to gain knowledge and skills through high-quality professional development. Since 2002, the PDAE program has helped to provide these opportunities for thousands of teachers, with an emphasis on both providing sustained and intensive professional development and building capacity for continuation and expansion of professional development efforts beyond the Federal grant period. However, the need for these opportunities remains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 of schools by the U.S. Department of Education (Department) in 2009-2010 n2 indicated the need for increased professional development opportunities for teachers of the arts. Approximately one-third of high schools reported having no professional development opportunities available for music and visual arts teachers. For elementary schools, approximately 40 percent of music and visual arts teachers did not have professional development opportunities. For the disciplines of dance and drama, fewer than 20 percent of districts offered professional development opportunities for elementary school teachers.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Arts Education in Public Elementary and Secondary Schools, 1999-2000 and 2009-10, National Center for Education Statistics, 2012, </w:t>
      </w:r>
      <w:hyperlink r:id="rId9" w:history="1">
        <w:r>
          <w:rPr>
            <w:rFonts w:ascii="arial" w:eastAsia="arial" w:hAnsi="arial" w:cs="arial"/>
            <w:b w:val="0"/>
            <w:i/>
            <w:strike w:val="0"/>
            <w:noProof w:val="0"/>
            <w:color w:val="0077CC"/>
            <w:position w:val="0"/>
            <w:sz w:val="20"/>
            <w:u w:val="single"/>
            <w:vertAlign w:val="baseline"/>
          </w:rPr>
          <w:t>https://nces.ed.gov/pubsearch/pubsinfo.asp?pubid=2012014rev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Professional development in the arts is important for both arts classrooms and integration of the arts with other subjects in a well-rounded education. Arts educators need to continually gain new knowledge and skills in the arts disciplines in order to effectively plan, deliver, and assess learning in the arts. In addition, high-quality professional development is required to ensure that arts educators, general classroom teachers, and non-arts subject teachers effectively plan, collaborate, implement, and assess arts-integration learning based on relevant content, performance standards, and research on effective professional development and arts-integration curriculum and pedagogy. High achievement standards in the arts need to be maintained in both arts-specific and arts-integrated classrooms. Further, arts educators and other instructional staff need opportunities to benefit from technology-enhanced professional development strategies and to learn how to integrate digital </w:t>
      </w:r>
      <w:r>
        <w:rPr>
          <w:rFonts w:ascii="arial" w:eastAsia="arial" w:hAnsi="arial" w:cs="arial"/>
          <w:b/>
          <w:i w:val="0"/>
          <w:strike w:val="0"/>
          <w:noProof w:val="0"/>
          <w:color w:val="000000"/>
          <w:position w:val="0"/>
          <w:sz w:val="20"/>
          <w:u w:val="none"/>
          <w:vertAlign w:val="baseline"/>
        </w:rPr>
        <w:t> [*15337] </w:t>
      </w:r>
      <w:r>
        <w:rPr>
          <w:rFonts w:ascii="arial" w:eastAsia="arial" w:hAnsi="arial" w:cs="arial"/>
          <w:b w:val="0"/>
          <w:i w:val="0"/>
          <w:strike w:val="0"/>
          <w:noProof w:val="0"/>
          <w:color w:val="000000"/>
          <w:position w:val="0"/>
          <w:sz w:val="20"/>
          <w:u w:val="none"/>
          <w:vertAlign w:val="baseline"/>
        </w:rPr>
        <w:t xml:space="preserve"> instructional and assessment tools into arts and arts-integrated classrooms.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States continue to revise their arts standards, teachers of the arts, including arts specialists, non-arts classroom teachers, teaching artists, and other instructional staff, need opportunities to gain new knowledge and skills based on State standards and to implement that knowledge and skills in K-12 classrooms. Since 2004, arts education has been guided by national voluntary standards; 49 States and the District of Columbia currently have State arts standards. In 2014, the National Coalition for Core Arts Standards (NCAS) released new voluntary pre-K to grade 12 arts standards. Fourteen States have adopted new, or revised existing, arts standards that reflect the primary concepts of the NCAS standards.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Arts Education Partnership ArtScan, </w:t>
      </w:r>
      <w:hyperlink r:id="rId10" w:history="1">
        <w:r>
          <w:rPr>
            <w:rFonts w:ascii="arial" w:eastAsia="arial" w:hAnsi="arial" w:cs="arial"/>
            <w:b w:val="0"/>
            <w:i/>
            <w:strike w:val="0"/>
            <w:noProof w:val="0"/>
            <w:color w:val="0077CC"/>
            <w:position w:val="0"/>
            <w:sz w:val="20"/>
            <w:u w:val="single"/>
            <w:vertAlign w:val="baseline"/>
          </w:rPr>
          <w:t>www.ecs.org/ec-content/uploads/2016-State-of-the-States-of-Art.pdf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2009-2010 Department survey referenced above also indicated an "arts-opportunity gap" for thousands of American students who receive minimal or no access to arts education. n4 That gap is greatest for disadvantaged students in mid-high and high-poverty schools. n5 Accordingly, continuation of the requirement that schools participating in PDAE projects have a minimum 50 percent of students from low-income families supports the program's statutory purpose to promote arts education for disadvantaged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Arts Education in Public Elementary and Secondary Schools, 1999-2000 and 2009-10, National Center for Education Statistics, 2012, </w:t>
      </w:r>
      <w:hyperlink r:id="rId9" w:history="1">
        <w:r>
          <w:rPr>
            <w:rFonts w:ascii="arial" w:eastAsia="arial" w:hAnsi="arial" w:cs="arial"/>
            <w:b w:val="0"/>
            <w:i/>
            <w:strike w:val="0"/>
            <w:noProof w:val="0"/>
            <w:color w:val="0077CC"/>
            <w:position w:val="0"/>
            <w:sz w:val="20"/>
            <w:u w:val="single"/>
            <w:vertAlign w:val="baseline"/>
          </w:rPr>
          <w:t>https://nces.ed.gov/pubsearch/pubsinfo.asp?pubid=2012014rev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1" w:history="1">
        <w:r>
          <w:rPr>
            <w:rFonts w:ascii="arial" w:eastAsia="arial" w:hAnsi="arial" w:cs="arial"/>
            <w:b w:val="0"/>
            <w:i/>
            <w:strike w:val="0"/>
            <w:noProof w:val="0"/>
            <w:color w:val="0077CC"/>
            <w:position w:val="0"/>
            <w:sz w:val="20"/>
            <w:u w:val="single"/>
            <w:vertAlign w:val="baseline"/>
          </w:rPr>
          <w:t>https://nces.ed.gov/programs/coe/indicator_clb.asp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This notice contains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are establishing this priority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12"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13" w:history="1">
        <w:r>
          <w:rPr>
            <w:rFonts w:ascii="arial" w:eastAsia="arial" w:hAnsi="arial" w:cs="arial"/>
            <w:b w:val="0"/>
            <w:i/>
            <w:strike w:val="0"/>
            <w:noProof w:val="0"/>
            <w:color w:val="0077CC"/>
            <w:position w:val="0"/>
            <w:sz w:val="20"/>
            <w:u w:val="single"/>
            <w:vertAlign w:val="baseline"/>
          </w:rPr>
          <w:t>34 CFR 75.105(c)(2)</w:t>
        </w:r>
      </w:hyperlink>
      <w:r>
        <w:rPr>
          <w:rFonts w:ascii="arial" w:eastAsia="arial" w:hAnsi="arial" w:cs="arial"/>
          <w:b w:val="0"/>
          <w:i w:val="0"/>
          <w:strike w:val="0"/>
          <w:noProof w:val="0"/>
          <w:color w:val="000000"/>
          <w:position w:val="0"/>
          <w:sz w:val="20"/>
          <w:u w:val="none"/>
          <w:vertAlign w:val="baseline"/>
        </w:rPr>
        <w:t xml:space="preserve"> we award up to an additional five points to an application, depending on how well the application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Leveraging Technology to Support Instructional Practice and Professional Development Projects (up to 5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leverage technology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Using high-speed Internet access and devices to increase students' and educators' access to high-quality accessible digital tools, assessments, and materials, particularly open educational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Implementing high-quality, accessible online courses, online learning communities, or online simulations, such as those for which educators could earn professional development credit or continuing education units through digital credentials based on demonstrated mastery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performance-based outcomes, instead of traditional time-based metrics.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w:t>
      </w:r>
      <w:r>
        <w:rPr>
          <w:rFonts w:ascii="arial" w:eastAsia="arial" w:hAnsi="arial" w:cs="arial"/>
          <w:b w:val="0"/>
          <w:i w:val="0"/>
          <w:strike w:val="0"/>
          <w:noProof w:val="0"/>
          <w:color w:val="000000"/>
          <w:position w:val="0"/>
          <w:sz w:val="20"/>
          <w:u w:val="none"/>
          <w:vertAlign w:val="baseline"/>
        </w:rPr>
        <w:t xml:space="preserve"> To be eligible for PDAE program funds, applicants must propose to implement professional development programs for arts educators and other instructional staff serving schools that meet the following requirement: 50 percent or more of the students served by the K-12 school are from low-income families (based on the poverty criteria in Title I, Section 1113(a)(5) of the ESEA).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will be required to provide in the application school enrollment data from the most recent school year available to show evidence of LEA and school eligibility under this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of "arts," "arts educator," and "integrate" are from the notice of final priority, requirements, and definitions for this program (2005 NFP),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30, 2005 </w:t>
      </w:r>
      <w:hyperlink r:id="rId14" w:history="1">
        <w:r>
          <w:rPr>
            <w:rFonts w:ascii="arial" w:eastAsia="arial" w:hAnsi="arial" w:cs="arial"/>
            <w:b w:val="0"/>
            <w:i/>
            <w:strike w:val="0"/>
            <w:noProof w:val="0"/>
            <w:color w:val="0077CC"/>
            <w:position w:val="0"/>
            <w:sz w:val="20"/>
            <w:u w:val="single"/>
            <w:vertAlign w:val="baseline"/>
          </w:rPr>
          <w:t>(70 FR 16242).</w:t>
        </w:r>
      </w:hyperlink>
      <w:r>
        <w:rPr>
          <w:rFonts w:ascii="arial" w:eastAsia="arial" w:hAnsi="arial" w:cs="arial"/>
          <w:b w:val="0"/>
          <w:i w:val="0"/>
          <w:strike w:val="0"/>
          <w:noProof w:val="0"/>
          <w:color w:val="000000"/>
          <w:position w:val="0"/>
          <w:sz w:val="20"/>
          <w:u w:val="none"/>
          <w:vertAlign w:val="baseline"/>
        </w:rPr>
        <w:t xml:space="preserve"> The definitions of "evidence of promise," "logic model," "randomized controlled trial," "relevant outcome," "quasi-experimental design study," "What Works Clearinghouse Evidence Standards," and "strong theory" are from </w:t>
      </w:r>
      <w:hyperlink r:id="rId1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The definitions for the terms "digital credentials," and "open educational resources" are from the Secretary's supplemental priorities. The definition for the term local educational agency is from section 8101 of the ESEA. The definition of "sustained and intensive" is specific to the program's Government Performance and Results Act (GPRA) measure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Arts</w:t>
      </w:r>
      <w:r>
        <w:rPr>
          <w:rFonts w:ascii="arial" w:eastAsia="arial" w:hAnsi="arial" w:cs="arial"/>
          <w:b w:val="0"/>
          <w:i w:val="0"/>
          <w:strike w:val="0"/>
          <w:noProof w:val="0"/>
          <w:color w:val="000000"/>
          <w:position w:val="0"/>
          <w:sz w:val="20"/>
          <w:u w:val="none"/>
          <w:vertAlign w:val="baseline"/>
        </w:rPr>
        <w:t xml:space="preserve"> includes music, dance, theater, media arts, and visual arts, including folk 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Arts educator</w:t>
      </w:r>
      <w:r>
        <w:rPr>
          <w:rFonts w:ascii="arial" w:eastAsia="arial" w:hAnsi="arial" w:cs="arial"/>
          <w:b w:val="0"/>
          <w:i w:val="0"/>
          <w:strike w:val="0"/>
          <w:noProof w:val="0"/>
          <w:color w:val="000000"/>
          <w:position w:val="0"/>
          <w:sz w:val="20"/>
          <w:u w:val="none"/>
          <w:vertAlign w:val="baseline"/>
        </w:rPr>
        <w:t xml:space="preserve"> means a teacher who works in music, dance, theater, media arts, or visual arts, including folk 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credentials</w:t>
      </w:r>
      <w:r>
        <w:rPr>
          <w:rFonts w:ascii="arial" w:eastAsia="arial" w:hAnsi="arial" w:cs="arial"/>
          <w:b w:val="0"/>
          <w:i w:val="0"/>
          <w:strike w:val="0"/>
          <w:noProof w:val="0"/>
          <w:color w:val="000000"/>
          <w:position w:val="0"/>
          <w:sz w:val="20"/>
          <w:u w:val="none"/>
          <w:vertAlign w:val="baseline"/>
        </w:rPr>
        <w:t xml:space="preserve"> means evidence of mastery of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or performance-based abilities, provided in digital rather than physical medium (such as through digital badges). These digital credentials may then be used to supplement or satisfy continuing education or professional development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Integrate</w:t>
      </w:r>
      <w:r>
        <w:rPr>
          <w:rFonts w:ascii="arial" w:eastAsia="arial" w:hAnsi="arial" w:cs="arial"/>
          <w:b w:val="0"/>
          <w:i w:val="0"/>
          <w:strike w:val="0"/>
          <w:noProof w:val="0"/>
          <w:color w:val="000000"/>
          <w:position w:val="0"/>
          <w:sz w:val="20"/>
          <w:u w:val="none"/>
          <w:vertAlign w:val="baseline"/>
        </w:rPr>
        <w:t xml:space="preserve"> means to strengthen (i) the use of high-quality arts instruction within other academic content areas, and (ii) the place of the arts as a core academic subject in the school curriculum.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educational agency</w:t>
      </w:r>
      <w:r>
        <w:rPr>
          <w:rFonts w:ascii="arial" w:eastAsia="arial" w:hAnsi="arial" w:cs="arial"/>
          <w:b w:val="0"/>
          <w:i w:val="0"/>
          <w:strike w:val="0"/>
          <w:noProof w:val="0"/>
          <w:color w:val="000000"/>
          <w:position w:val="0"/>
          <w:sz w:val="20"/>
          <w:u w:val="none"/>
          <w:vertAlign w:val="baseline"/>
        </w:rPr>
        <w:t xml:space="preserve"> means 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combination of school districts or counties that is recognized in a State as an administrative agency for its public elementary schools or secondary schools. The term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Any other public institution or agency having administrative control and direction of a public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An elementary school or secondary school funded by the Bureau of Indian Education but only to the extent that including the school makes the school eligible for programs for which specific eligibility is not provided to the school in another provision of law and the school does not have a student population that is smaller than the student population of the LEA receiving assistance under the ESEA with the smallest student population, except that the school shall </w:t>
      </w:r>
      <w:r>
        <w:rPr>
          <w:rFonts w:ascii="arial" w:eastAsia="arial" w:hAnsi="arial" w:cs="arial"/>
          <w:b/>
          <w:i w:val="0"/>
          <w:strike w:val="0"/>
          <w:noProof w:val="0"/>
          <w:color w:val="000000"/>
          <w:position w:val="0"/>
          <w:sz w:val="20"/>
          <w:u w:val="none"/>
          <w:vertAlign w:val="baseline"/>
        </w:rPr>
        <w:t> [*15338] </w:t>
      </w:r>
      <w:r>
        <w:rPr>
          <w:rFonts w:ascii="arial" w:eastAsia="arial" w:hAnsi="arial" w:cs="arial"/>
          <w:b w:val="0"/>
          <w:i w:val="0"/>
          <w:strike w:val="0"/>
          <w:noProof w:val="0"/>
          <w:color w:val="000000"/>
          <w:position w:val="0"/>
          <w:sz w:val="20"/>
          <w:u w:val="none"/>
          <w:vertAlign w:val="baseline"/>
        </w:rPr>
        <w:t xml:space="preserve"> not be subject to the jurisdiction of any State educational agency (SEA) other than the Bureau of Indian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Educational service agencies and consortia of those agencies;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SEA in a State in which the SEA is the sole educational agency for all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Open educational resources</w:t>
      </w:r>
      <w:r>
        <w:rPr>
          <w:rFonts w:ascii="arial" w:eastAsia="arial" w:hAnsi="arial" w:cs="arial"/>
          <w:b w:val="0"/>
          <w:i w:val="0"/>
          <w:strike w:val="0"/>
          <w:noProof w:val="0"/>
          <w:color w:val="000000"/>
          <w:position w:val="0"/>
          <w:sz w:val="20"/>
          <w:u w:val="none"/>
          <w:vertAlign w:val="baseline"/>
        </w:rPr>
        <w:t xml:space="preserve"> means teaching, learning, and research resources that reside in the public domain or have been released under an intellectual property license that permits their free use and repurposing by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Sustained and intensive</w:t>
      </w:r>
      <w:r>
        <w:rPr>
          <w:rFonts w:ascii="arial" w:eastAsia="arial" w:hAnsi="arial" w:cs="arial"/>
          <w:b w:val="0"/>
          <w:i w:val="0"/>
          <w:strike w:val="0"/>
          <w:noProof w:val="0"/>
          <w:color w:val="000000"/>
          <w:position w:val="0"/>
          <w:sz w:val="20"/>
          <w:u w:val="none"/>
          <w:vertAlign w:val="baseline"/>
        </w:rPr>
        <w:t xml:space="preserve"> means to complete 40 hours of professional development and 75 percent of the total number of professional development hours offered over a period of six or more months.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6"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definitions, requirements, and selection criteria.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4642(a)(1)(A) of the ESEA, and therefore qualifies for this exemption. In order to ensure timely grant awards, the Secretary has decided to forgo public comment on the priority and requirements under section 437(d)(1) of GEPA. The priority and requirements will apply to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20 U.S.C. 7291</w:t>
        </w:r>
      </w:hyperlink>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7292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Secretary's Supplemental Priorities. (e) The 2005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Further Continuing and Security Assistance Appropriations Act, 2017, would provide, on an annualized basis, $ 26,948,673 for the Arts in Education program, of which we would use an estimated $ 7,100,000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future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$ 150,000-$ 375,000.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$ 300,000 for the first year of the project. Funding for the second, third, and fourth years is subject to the availability of funds and the approval of continuation awards (see </w:t>
      </w:r>
      <w:hyperlink r:id="rId1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20-25.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 (subject to availability of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Based on past experience of PDAE grantees, applicants are encouraged to use the first 12 months of the project period to refine the evaluation design and instruments, specifically those related to the program's GPRA measures, build capacity to execute the evaluation, and ensure that program design and implementation are aligned with the evaluation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An LEA in which 20 percent or more of the students served by the LEA are from families with an income below the Federal poverty line, and which may be a charter school that is considered an LEA under State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works in partnership with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Regional Service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institution of higher education;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museum or cultural institution, or another private agency, institution, or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In accordance with section 4110 of the ESEA, funds made available under this subpart shall be used to supplement, and not supplant, non-Federal funds that would otherwise be used for activities authorized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Coordination Requirement:</w:t>
      </w:r>
      <w:r>
        <w:rPr>
          <w:rFonts w:ascii="arial" w:eastAsia="arial" w:hAnsi="arial" w:cs="arial"/>
          <w:b w:val="0"/>
          <w:i w:val="0"/>
          <w:strike w:val="0"/>
          <w:noProof w:val="0"/>
          <w:color w:val="000000"/>
          <w:position w:val="0"/>
          <w:sz w:val="20"/>
          <w:u w:val="none"/>
          <w:vertAlign w:val="baseline"/>
        </w:rPr>
        <w:t xml:space="preserve"> In accordance with section 4642(b)(1) of the ESEA, grantees are required to coordinate, to the extent practicable, each project or program carried out with such assistance with appropriate activities of public or private cultural agencies, institutions, and organizations, including museums, arts education associations, libraries, and theaters.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0" w:history="1">
        <w:r>
          <w:rPr>
            <w:rFonts w:ascii="arial" w:eastAsia="arial" w:hAnsi="arial" w:cs="arial"/>
            <w:b w:val="0"/>
            <w:i/>
            <w:strike w:val="0"/>
            <w:noProof w:val="0"/>
            <w:color w:val="0077CC"/>
            <w:position w:val="0"/>
            <w:sz w:val="20"/>
            <w:u w:val="single"/>
            <w:vertAlign w:val="baseline"/>
          </w:rPr>
          <w:t>https://innovation.ed.gov/what-we-do/arts/arts-</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[*15339] </w:t>
      </w:r>
      <w:r>
        <w:rPr>
          <w:rFonts w:ascii="arial" w:eastAsia="arial" w:hAnsi="arial" w:cs="arial"/>
          <w:b w:val="0"/>
          <w:i/>
          <w:strike w:val="0"/>
          <w:noProof w:val="0"/>
          <w:color w:val="000000"/>
          <w:position w:val="0"/>
          <w:sz w:val="20"/>
          <w:u w:val="none"/>
          <w:vertAlign w:val="baseline"/>
        </w:rPr>
        <w:t xml:space="preserve"> in-education-professional-development-for-arts-educators/</w:t>
      </w:r>
      <w:r>
        <w:rPr>
          <w:rFonts w:ascii="arial" w:eastAsia="arial" w:hAnsi="arial" w:cs="arial"/>
          <w:b w:val="0"/>
          <w:i w:val="0"/>
          <w:strike w:val="0"/>
          <w:noProof w:val="0"/>
          <w:color w:val="000000"/>
          <w:position w:val="0"/>
          <w:sz w:val="20"/>
          <w:u w:val="none"/>
          <w:vertAlign w:val="baseline"/>
        </w:rPr>
        <w:t>.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84.351C.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We will be able to develop a more efficient process for reviewing grant applications if we can anticipate the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we strongly encourage each potential applicant to notify us of the applicant's intent to submit an application for funding by sending a short email message. This short email should provide (1) the applicant organization's name and address; and (2) whether the applicant intends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Please send this email notification to </w:t>
      </w:r>
      <w:hyperlink r:id="rId23" w:history="1">
        <w:r>
          <w:rPr>
            <w:rFonts w:ascii="arial" w:eastAsia="arial" w:hAnsi="arial" w:cs="arial"/>
            <w:b w:val="0"/>
            <w:i/>
            <w:strike w:val="0"/>
            <w:noProof w:val="0"/>
            <w:color w:val="0077CC"/>
            <w:position w:val="0"/>
            <w:sz w:val="20"/>
            <w:u w:val="single"/>
            <w:vertAlign w:val="baseline"/>
          </w:rPr>
          <w:t>PDAEFY17Competition@ed.gov</w:t>
        </w:r>
      </w:hyperlink>
      <w:r>
        <w:rPr>
          <w:rFonts w:ascii="arial" w:eastAsia="arial" w:hAnsi="arial" w:cs="arial"/>
          <w:b w:val="0"/>
          <w:i w:val="0"/>
          <w:strike w:val="0"/>
          <w:noProof w:val="0"/>
          <w:color w:val="000000"/>
          <w:position w:val="0"/>
          <w:sz w:val="20"/>
          <w:u w:val="none"/>
          <w:vertAlign w:val="baseline"/>
        </w:rPr>
        <w:t xml:space="preserve"> with "Intent to Apply" in the email subject line. Applicants that do not provide this email notification may still apply for funding and are not required to, or prohibited from,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We recommend that you limit the application narrative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Calibri,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suggested page limit does not apply to the cover sheet; the budget section, including the narrative budget justification; the assurances and certifications; or the one-page abstract, the resumes, the bibliography, or the letters of support. However, the suggested page limit does apply to all of the application narrative.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PDAE program, your application may include business information that you consider proprietary. In </w:t>
      </w:r>
      <w:hyperlink r:id="rId24"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24"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April 27,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30,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pre-application Webinar will be held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shortly after this notice's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Webinar is intended to provide technical assistance to all interested grant applicants. For information about the pre-application Webinar, visit the AIE Web site at: </w:t>
      </w:r>
      <w:hyperlink r:id="rId8" w:history="1">
        <w:r>
          <w:rPr>
            <w:rFonts w:ascii="arial" w:eastAsia="arial" w:hAnsi="arial" w:cs="arial"/>
            <w:b w:val="0"/>
            <w:i/>
            <w:strike w:val="0"/>
            <w:noProof w:val="0"/>
            <w:color w:val="0077CC"/>
            <w:position w:val="0"/>
            <w:sz w:val="20"/>
            <w:u w:val="single"/>
            <w:vertAlign w:val="baseline"/>
          </w:rPr>
          <w:t>https://innovation.ed.gov/what-we-do/arts/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26,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5"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a corporate entity, agency, institution, or organization, you can obtain a TIN from the Internal Revenue Service. If you are an individual, you can obtain a TIN from the Internal Revenue Service or the Social Security Administration. If you need a new TIN, </w:t>
      </w:r>
      <w:r>
        <w:rPr>
          <w:rFonts w:ascii="arial" w:eastAsia="arial" w:hAnsi="arial" w:cs="arial"/>
          <w:b/>
          <w:i w:val="0"/>
          <w:strike w:val="0"/>
          <w:noProof w:val="0"/>
          <w:color w:val="000000"/>
          <w:position w:val="0"/>
          <w:sz w:val="20"/>
          <w:u w:val="none"/>
          <w:vertAlign w:val="baseline"/>
        </w:rPr>
        <w:t> [*15340] </w:t>
      </w:r>
      <w:r>
        <w:rPr>
          <w:rFonts w:ascii="arial" w:eastAsia="arial" w:hAnsi="arial" w:cs="arial"/>
          <w:b w:val="0"/>
          <w:i w:val="0"/>
          <w:strike w:val="0"/>
          <w:noProof w:val="0"/>
          <w:color w:val="000000"/>
          <w:position w:val="0"/>
          <w:sz w:val="20"/>
          <w:u w:val="none"/>
          <w:vertAlign w:val="baseline"/>
        </w:rPr>
        <w:t xml:space="preserve">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7"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Assistance for Arts Education--PDAE, CFDA number 84.351C,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PDAE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84.351, not 84.351C).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9"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0"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 </w:t>
      </w:r>
      <w:r>
        <w:rPr>
          <w:rFonts w:ascii="arial" w:eastAsia="arial" w:hAnsi="arial" w:cs="arial"/>
          <w:b/>
          <w:i w:val="0"/>
          <w:strike w:val="0"/>
          <w:noProof w:val="0"/>
          <w:color w:val="000000"/>
          <w:position w:val="0"/>
          <w:sz w:val="20"/>
          <w:u w:val="none"/>
          <w:vertAlign w:val="baseline"/>
        </w:rPr>
        <w:t> [*15341]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 and mail or fax your statement to:</w:t>
      </w:r>
      <w:r>
        <w:rPr>
          <w:rFonts w:ascii="arial" w:eastAsia="arial" w:hAnsi="arial" w:cs="arial"/>
          <w:b w:val="0"/>
          <w:i w:val="0"/>
          <w:strike w:val="0"/>
          <w:noProof w:val="0"/>
          <w:color w:val="000000"/>
          <w:position w:val="0"/>
          <w:sz w:val="20"/>
          <w:u w:val="none"/>
          <w:vertAlign w:val="baseline"/>
        </w:rPr>
        <w:t xml:space="preserve"> Bonnie Carter, U.S. Department of Education, 400 Maryland Avenue SW., Room 4W223, Washington, DC 20202-6200.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84.351C),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84.351C),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Note for Mail or Hand Delivery of Paper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maximum score for all of the selection criteria is 100 points. The </w:t>
      </w:r>
      <w:r>
        <w:rPr>
          <w:rFonts w:ascii="arial" w:eastAsia="arial" w:hAnsi="arial" w:cs="arial"/>
          <w:b/>
          <w:i w:val="0"/>
          <w:strike w:val="0"/>
          <w:noProof w:val="0"/>
          <w:color w:val="000000"/>
          <w:position w:val="0"/>
          <w:sz w:val="20"/>
          <w:u w:val="none"/>
          <w:vertAlign w:val="baseline"/>
        </w:rPr>
        <w:t> [*15342] </w:t>
      </w:r>
      <w:r>
        <w:rPr>
          <w:rFonts w:ascii="arial" w:eastAsia="arial" w:hAnsi="arial" w:cs="arial"/>
          <w:b w:val="0"/>
          <w:i w:val="0"/>
          <w:strike w:val="0"/>
          <w:noProof w:val="0"/>
          <w:color w:val="000000"/>
          <w:position w:val="0"/>
          <w:sz w:val="20"/>
          <w:u w:val="none"/>
          <w:vertAlign w:val="baseline"/>
        </w:rPr>
        <w:t xml:space="preserve"> maximum score for each criterion is included in parentheses following the title of the specific selection criterion. Each criterion also includes the factors that reviewers will consider in determining the extent to which an applicant meets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Points awarded under these selection criteria are in addition to any points an applicant earns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this notice. The maximum score that an application may receive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the selection criteria is 105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need for the proposed project. In determining the need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will focus on serving or otherwise addressing the needs of disadvantaged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specific gaps or weaknesses in services, infrastructure, or opportunities have been identified and will be addressed by the proposed project, including the nature and magnitude of those gaps or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Services (up to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services to be provided by the proposed project. In determining the quality of the services to be provided by the proposed project, the Secretary considers the quality and sufficiency of strategies for ensuring equal access and treatment for eligible project participants who are members of groups that have traditionally been underrepresented based on race, color, national origin, gender, age, or disability.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services to be provided by the proposed project reflect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likely impact of the services to be provided by the proposed project on the intended recipients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training or professional development services to be provided by the proposed project are of sufficient quality, intensity, and duration to lead to improvements in practice among the recipients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Personnel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qualifications, including relevant training and experience, of key project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procedures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time commitments of the project director and principal investigator and other key project personnel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Project Evaluation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include the use of objective performance measures that are clearly related to the intended outcomes of the project and will produce quantitative and qualitative data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is supported by strong theory (as defined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2"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3"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8"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39"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8"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 </w:t>
      </w:r>
      <w:r>
        <w:rPr>
          <w:rFonts w:ascii="arial" w:eastAsia="arial" w:hAnsi="arial" w:cs="arial"/>
          <w:b/>
          <w:i w:val="0"/>
          <w:strike w:val="0"/>
          <w:noProof w:val="0"/>
          <w:color w:val="000000"/>
          <w:position w:val="0"/>
          <w:sz w:val="20"/>
          <w:u w:val="none"/>
          <w:vertAlign w:val="baseline"/>
        </w:rPr>
        <w:t> [*15343]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0"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1"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2"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3"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4"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We have established two GPRA performance measures for the PDAE program. The first GPRA measure is: The percentage of teachers participating in the PDAE program who receive professional development that is sustained and intensive (as defined in this notice). In implementing this measure, the Department will collect from grantees data on the extent to which they provide professional development that is sustained and intensive. The second GPRA measure is: The percentage of PDAE projects whose teachers show a statistically significant increase in content knowledge in the arts. In implementing this measure, grantees will be expected to administer a pre-test and a post-test of teacher content knowledge in the arts. The pre-test and post-test should be the same test or equivalent versions of the test. Successful applicants will be expected to include professional development data in their annual performance reports to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3"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Bonnie Carter, U.S. Department of Education, 400 Maryland Avenue SW., room 4W223, Washington, DC 20202-6200. Telephone: (202) 401-3576 or by email: </w:t>
      </w:r>
      <w:hyperlink r:id="rId23" w:history="1">
        <w:r>
          <w:rPr>
            <w:rFonts w:ascii="arial" w:eastAsia="arial" w:hAnsi="arial" w:cs="arial"/>
            <w:b w:val="0"/>
            <w:i/>
            <w:strike w:val="0"/>
            <w:noProof w:val="0"/>
            <w:color w:val="0077CC"/>
            <w:position w:val="0"/>
            <w:sz w:val="20"/>
            <w:u w:val="single"/>
            <w:vertAlign w:val="baseline"/>
          </w:rPr>
          <w:t>PDAEFY17Competition@ed.gov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5"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6"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Deputy Secretary for Office of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2017-06123 Filed 3-27-17;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15336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cs.org/ec-content/uploads/2016-State-of-the-States-of-Art.pdf" TargetMode="External" /><Relationship Id="rId11" Type="http://schemas.openxmlformats.org/officeDocument/2006/relationships/hyperlink" Target="https://nces.ed.gov/programs/coe/indicator_clb.asp" TargetMode="External" /><Relationship Id="rId12" Type="http://schemas.openxmlformats.org/officeDocument/2006/relationships/hyperlink" Target="https://advance.lexis.com/api/document?collection=statutes-legislation&amp;id=urn:contentItem:4YF7-GKB1-NRF4-445T-00000-00&amp;context=" TargetMode="External" /><Relationship Id="rId13" Type="http://schemas.openxmlformats.org/officeDocument/2006/relationships/hyperlink" Target="https://advance.lexis.com/api/document?collection=administrative-codes&amp;id=urn:contentItem:5GMB-DPB0-008H-02BK-00000-00&amp;context=" TargetMode="External" /><Relationship Id="rId14" Type="http://schemas.openxmlformats.org/officeDocument/2006/relationships/hyperlink" Target="https://advance.lexis.com/api/document?collection=administrative-codes&amp;id=urn:contentItem:4FTW-JN10-006W-84B9-00000-00&amp;context=" TargetMode="External" /><Relationship Id="rId15" Type="http://schemas.openxmlformats.org/officeDocument/2006/relationships/hyperlink" Target="https://advance.lexis.com/api/document?collection=administrative-codes&amp;id=urn:contentItem:5S7T-7HV0-008H-03HM-00000-00&amp;context=" TargetMode="External" /><Relationship Id="rId16" Type="http://schemas.openxmlformats.org/officeDocument/2006/relationships/hyperlink" Target="http://ies.ed.gov/ncee/wwc/DocumentSum.aspx?sid=19" TargetMode="External" /><Relationship Id="rId17" Type="http://schemas.openxmlformats.org/officeDocument/2006/relationships/hyperlink" Target="https://advance.lexis.com/api/document?collection=statutes-legislation&amp;id=urn:contentItem:5J5Y-1GR1-NRF4-4001-00000-00&amp;context=" TargetMode="External" /><Relationship Id="rId18" Type="http://schemas.openxmlformats.org/officeDocument/2006/relationships/hyperlink" Target="https://advance.lexis.com/api/document?collection=statutes-legislation&amp;id=urn:contentItem:5J5Y-1GR1-NRF4-4002-00000-00&amp;context=" TargetMode="External" /><Relationship Id="rId19" Type="http://schemas.openxmlformats.org/officeDocument/2006/relationships/hyperlink" Target="https://advance.lexis.com/api/document?collection=administrative-codes&amp;id=urn:contentItem:5GMB-DPB0-008H-02K8-00000-00&amp;context=" TargetMode="External" /><Relationship Id="rId2" Type="http://schemas.openxmlformats.org/officeDocument/2006/relationships/webSettings" Target="webSettings.xml" /><Relationship Id="rId20" Type="http://schemas.openxmlformats.org/officeDocument/2006/relationships/hyperlink" Target="https://innovation.ed.gov/what-we-do/arts/arts-" TargetMode="External" /><Relationship Id="rId21" Type="http://schemas.openxmlformats.org/officeDocument/2006/relationships/hyperlink" Target="http://www.EDPubs.gov" TargetMode="External" /><Relationship Id="rId22" Type="http://schemas.openxmlformats.org/officeDocument/2006/relationships/hyperlink" Target="mailto:edpubs@inet.ed.gov" TargetMode="External" /><Relationship Id="rId23" Type="http://schemas.openxmlformats.org/officeDocument/2006/relationships/hyperlink" Target="mailto:PDAEFY17Competition@ed.gov" TargetMode="External" /><Relationship Id="rId24" Type="http://schemas.openxmlformats.org/officeDocument/2006/relationships/hyperlink" Target="https://advance.lexis.com/api/document?collection=administrative-codes&amp;id=urn:contentItem:5G9C-N1H0-008H-002J-00000-00&amp;context=" TargetMode="External" /><Relationship Id="rId25" Type="http://schemas.openxmlformats.org/officeDocument/2006/relationships/hyperlink" Target="http://fedgov.dnb.com/webform" TargetMode="External" /><Relationship Id="rId26" Type="http://schemas.openxmlformats.org/officeDocument/2006/relationships/hyperlink" Target="http://www.SAM.gov" TargetMode="External" /><Relationship Id="rId27" Type="http://schemas.openxmlformats.org/officeDocument/2006/relationships/hyperlink" Target="http://www.grants.gov/web/grants/register.html" TargetMode="External" /><Relationship Id="rId28" Type="http://schemas.openxmlformats.org/officeDocument/2006/relationships/hyperlink" Target="http://www.Grants.gov" TargetMode="External" /><Relationship Id="rId29" Type="http://schemas.openxmlformats.org/officeDocument/2006/relationships/hyperlink" Target="http://www.G5.gov" TargetMode="External" /><Relationship Id="rId3" Type="http://schemas.openxmlformats.org/officeDocument/2006/relationships/fontTable" Target="fontTable.xml" /><Relationship Id="rId30" Type="http://schemas.openxmlformats.org/officeDocument/2006/relationships/hyperlink" Target="http://www.grants.gov/web/grants/applicants/apply-for-grants.html" TargetMode="External" /><Relationship Id="rId31" Type="http://schemas.openxmlformats.org/officeDocument/2006/relationships/hyperlink" Target="https://advance.lexis.com/api/document?collection=administrative-codes&amp;id=urn:contentItem:5S7T-7HS0-008H-02VY-00000-00&amp;context=" TargetMode="External" /><Relationship Id="rId32" Type="http://schemas.openxmlformats.org/officeDocument/2006/relationships/hyperlink" Target="https://advance.lexis.com/api/document?collection=administrative-codes&amp;id=urn:contentItem:5GMB-DPB0-008H-02GP-00000-00&amp;context=" TargetMode="External" /><Relationship Id="rId33" Type="http://schemas.openxmlformats.org/officeDocument/2006/relationships/hyperlink" Target="https://advance.lexis.com/api/document?collection=administrative-codes&amp;id=urn:contentItem:5KS0-F5W0-008H-023P-00000-00&amp;context=" TargetMode="External" /><Relationship Id="rId34" Type="http://schemas.openxmlformats.org/officeDocument/2006/relationships/hyperlink" Target="https://advance.lexis.com/api/document?collection=administrative-codes&amp;id=urn:contentItem:5R5H-J1H0-008H-043K-00000-00&amp;context=" TargetMode="External" /><Relationship Id="rId35" Type="http://schemas.openxmlformats.org/officeDocument/2006/relationships/hyperlink" Target="https://advance.lexis.com/api/document?collection=administrative-codes&amp;id=urn:contentItem:5KS0-F5W0-008H-024V-00000-00&amp;context=" TargetMode="External" /><Relationship Id="rId36" Type="http://schemas.openxmlformats.org/officeDocument/2006/relationships/hyperlink" Target="https://advance.lexis.com/api/document?collection=administrative-codes&amp;id=urn:contentItem:5KS0-F600-008H-02PT-00000-00&amp;context=" TargetMode="External" /><Relationship Id="rId37" Type="http://schemas.openxmlformats.org/officeDocument/2006/relationships/hyperlink" Target="https://advance.lexis.com/api/document?collection=administrative-codes&amp;id=urn:contentItem:5KS0-F5W0-008H-025B-00000-00&amp;context=" TargetMode="External" /><Relationship Id="rId38" Type="http://schemas.openxmlformats.org/officeDocument/2006/relationships/hyperlink" Target="https://advance.lexis.com/api/document?collection=administrative-codes&amp;id=urn:contentItem:5HDM-DHF0-008G-Y2NJ-00000-00&amp;context=" TargetMode="External" /><Relationship Id="rId39" Type="http://schemas.openxmlformats.org/officeDocument/2006/relationships/hyperlink" Target="https://advance.lexis.com/api/document?collection=administrative-codes&amp;id=urn:contentItem:5F34-Y1R0-008G-Y1F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F2R-48P0-008G-Y31V-00000-00&amp;context=" TargetMode="External" /><Relationship Id="rId41" Type="http://schemas.openxmlformats.org/officeDocument/2006/relationships/hyperlink" Target="https://advance.lexis.com/api/document?collection=administrative-codes&amp;id=urn:contentItem:5GMB-DPC0-008H-02S7-00000-00&amp;context=" TargetMode="External" /><Relationship Id="rId42" Type="http://schemas.openxmlformats.org/officeDocument/2006/relationships/hyperlink" Target="https://advance.lexis.com/api/document?collection=administrative-codes&amp;id=urn:contentItem:5GMB-DPC0-008H-02SK-00000-00&amp;context=" TargetMode="External" /><Relationship Id="rId43" Type="http://schemas.openxmlformats.org/officeDocument/2006/relationships/hyperlink" Target="http://www.ed.gov/fund/grant/apply/appforms/appforms.html" TargetMode="External" /><Relationship Id="rId44" Type="http://schemas.openxmlformats.org/officeDocument/2006/relationships/hyperlink" Target="https://advance.lexis.com/api/document?collection=administrative-codes&amp;id=urn:contentItem:5GMB-DPB0-008H-0272-00000-00&amp;context=" TargetMode="External" /><Relationship Id="rId45" Type="http://schemas.openxmlformats.org/officeDocument/2006/relationships/hyperlink" Target="http://www.gpo.gov/fdsys" TargetMode="External" /><Relationship Id="rId46" Type="http://schemas.openxmlformats.org/officeDocument/2006/relationships/hyperlink" Target="http://www.federalregister.gov"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64-6CV0-006W-84J4-00000-00&amp;context=" TargetMode="External" /><Relationship Id="rId8" Type="http://schemas.openxmlformats.org/officeDocument/2006/relationships/hyperlink" Target="https://innovation.ed.gov/what-we-do/arts/" TargetMode="External" /><Relationship Id="rId9" Type="http://schemas.openxmlformats.org/officeDocument/2006/relationships/hyperlink" Target="https://nces.ed.gov/pubsearch/pubsinfo.asp?pubid=2012014re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15336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71560696</vt:lpwstr>
  </property>
  <property fmtid="{D5CDD505-2E9C-101B-9397-08002B2CF9AE}" pid="3" name="LADocCount">
    <vt:lpwstr>1</vt:lpwstr>
  </property>
  <property fmtid="{D5CDD505-2E9C-101B-9397-08002B2CF9AE}" pid="4" name="UserPermID">
    <vt:lpwstr>urn:user:PA185916758</vt:lpwstr>
  </property>
</Properties>
</file>