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1723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004, Friday, January 6,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1723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6,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Fulbright-Hays Group Projects Abroad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Fulbright-Hays Group Projects Abroad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84.021A.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PDF. To use PDF, you must have Adobe Acrobat Reader, which is available free at the site. 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30,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Mohamed Abdel-Kader,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International and Foreign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2016-32046 Filed 1-5-17;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January 6,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7,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Fulbright-Hays Group Projects Abroad (GPA) Program is to promote, improve, and develop modern foreign languages and area studies at varying levels of education. The program provides opportunities for faculty, teachers, and undergraduate and graduate students to conduct individual and group projects overseas to carry out research and study in the fields of modern foreign languages and area studies.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support both Fulbright-Hays GPA short-term projects (GPA short-term projects) and Fulbright-Hays GPA long-term projects (GPA long-term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three types of GPA short-term projects: (1) Short-term seminar </w:t>
      </w:r>
      <w:r>
        <w:rPr>
          <w:rFonts w:ascii="arial" w:eastAsia="arial" w:hAnsi="arial" w:cs="arial"/>
          <w:b/>
          <w:i w:val="0"/>
          <w:strike w:val="0"/>
          <w:noProof w:val="0"/>
          <w:color w:val="000000"/>
          <w:position w:val="0"/>
          <w:sz w:val="20"/>
          <w:u w:val="none"/>
          <w:vertAlign w:val="baseline"/>
        </w:rPr>
        <w:t> [*1724] </w:t>
      </w:r>
      <w:r>
        <w:rPr>
          <w:rFonts w:ascii="arial" w:eastAsia="arial" w:hAnsi="arial" w:cs="arial"/>
          <w:b w:val="0"/>
          <w:i w:val="0"/>
          <w:strike w:val="0"/>
          <w:noProof w:val="0"/>
          <w:color w:val="000000"/>
          <w:position w:val="0"/>
          <w:sz w:val="20"/>
          <w:u w:val="none"/>
          <w:vertAlign w:val="baseline"/>
        </w:rPr>
        <w:t xml:space="preserve"> projects of four to six weeks in length designed to increase the linguistic or cultural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U.S. students and educators by focusing on a particular aspect of area study, such as the culture of an area or country of study (34 CFR 664.11); (2) curriculum development projects of four to eight weeks in length that provide participants an opportunity to acquire resource materials for curriculum development in modern foreign language and area studies for use and dissemination in the United States (34 CFR 664.12); and (3) group research or study projects of three to twelve months in duration designed to give participants the opportunity to undertake research or study in a foreign country (34 CFR 664.13).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GPA long-term projects are advanced overseas intensive language projects that may be carried out during a full year, an academic year, a semester, a trimester, a quarter, or a summer. GPA long-term projects are designed to take advantage of the opportunities in the foreign country that are not present in the United States when providing intensive advanced foreign language training. Only participants who have successfully completed at least two academic years of training in the language to be studied are eligible for language training under this program. In addition, the language to be studied must be indigenous to the host country and maximum use must be made of local institutions and personnel (34 CFR 664.14).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may submit only one GPA short-term or GPA long-term application under this notice and must identify whether they are applying for a GPA short-term project or a GPA long-term project.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one absolute priority and four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accordance with 34 CFR 75.105(b)(2)(ii), the absolute priority is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(34 CFR 664.32).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and 2 are from the notice of final priorities and definitions (NFP)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16, 2016 </w:t>
      </w:r>
      <w:hyperlink r:id="rId10" w:history="1">
        <w:r>
          <w:rPr>
            <w:rFonts w:ascii="arial" w:eastAsia="arial" w:hAnsi="arial" w:cs="arial"/>
            <w:b w:val="0"/>
            <w:i/>
            <w:strike w:val="0"/>
            <w:noProof w:val="0"/>
            <w:color w:val="0077CC"/>
            <w:position w:val="0"/>
            <w:sz w:val="20"/>
            <w:u w:val="single"/>
            <w:vertAlign w:val="baseline"/>
          </w:rPr>
          <w:t>(81 FR 39196).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is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(34 CFR 664.32),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 is from the notice of final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24, 2010 </w:t>
      </w:r>
      <w:hyperlink r:id="rId11" w:history="1">
        <w:r>
          <w:rPr>
            <w:rFonts w:ascii="arial" w:eastAsia="arial" w:hAnsi="arial" w:cs="arial"/>
            <w:b w:val="0"/>
            <w:i/>
            <w:strike w:val="0"/>
            <w:noProof w:val="0"/>
            <w:color w:val="0077CC"/>
            <w:position w:val="0"/>
            <w:sz w:val="20"/>
            <w:u w:val="single"/>
            <w:vertAlign w:val="baseline"/>
          </w:rPr>
          <w:t>(75 FR 59050).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priority is an absolute priority. Under 34 CFR 75.105(c)(3),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Specific Geographic Regions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project that focuses on one or more of the following geographic regions of the world: Africa, East Asia, South Asia, Southeast Asia and the Pacific, the Western Hemisphere (Central and South America, Mexico, and the Caribbean), Eastern and Central Europe and Eurasia, and the Near East.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34 CFR 75.105(c)(2)(i), we award three additional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three additional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one additional point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and up to an additional three points to an application, depending on how well the application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 Applicants for GPA short-term projects may address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3, and 4. Applicants for GPA long-term projects may address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2 and 3. An applicant must identify the priority or priorities that it believes it meets and provide documentation supporting its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Applications for GPA Short-Term Projects From Selected Institutions and Organizations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GPA short-term projects from the following types of institutions and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Minority-Serving Institutions (MSIs)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Community colleges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New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State educational agencies (SEAs)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 Applications for GPA Long-Term Projects From MSIs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GPA long-term advanced overseas intensive language training projects from MSIs.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 Substantive Training and Thematic Focus on Priority Languages (1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that propose GPA short-term or GPA long-term projects that provide substantive training and thematic focus on any of the 78 priority languages selected from the U.S. Department of Education's list of Less Commonly Taught Languages: Akan (Twi-Fante), Albanian, Amharic, Arabic (all dialects), Armenian, Azeri (Azerbaijani), Balochi, Bamanakan (Bamana, Bambara, Mandikan, Mandingo, Maninka, Dyula), Belarusian, Bengali (Bangla), Berber (all languages), Bosnian, Bulgarian, Burmese, Cebuano (Visayan), Chechen, Chinese (Cantonese), Chinese (Gan), Chinese (Mandarin), Chinese (Min), Chinese (Wu), Croatian, Dari, Dinka, Georgian, Gujarati, Hausa, Hebrew (Modern), Hindi, Igbo, Indonesian, Japanese, Javanese, Kannada, Kashmiri, Kazakh, Khmer (Cambodian), Kirghiz, Korean, Kurdish (Kurmanji), Kurdish (Sorani), Lao, Malay (Bahasa Melayu or Malaysian), Malayalam, Marathi, Mongolian, Nepali, Oromo, Panjabi, Pashto, Persian (Farsi), Polish, Portuguese (all varieties), Quechua, Romanian, Russian, Serbian, Sinhala (Sinhalese), Somali, Swahili, Tagalog, Tajik, Tamil, Telugu, Thai, Tibetan, Tigrigna, Turkish, Turkmen, Ukrainian, Urdu, Uyghur/Uigur, Uzbek, Vietnamese, Wolof, Xhosa, Yoruba, and Zulu.</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4: Inclusion of K-12 Educators (Up to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that propose short-term projects abroad that develop and improve foreign language studies, area studies, or both at elementary and secondary schools by including K-12 teachers or K-12 administrators as at least 50 percent of the project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the NFP and are designed to provide clarity for applicants addressing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 college</w:t>
      </w:r>
      <w:r>
        <w:rPr>
          <w:rFonts w:ascii="arial" w:eastAsia="arial" w:hAnsi="arial" w:cs="arial"/>
          <w:b w:val="0"/>
          <w:i w:val="0"/>
          <w:strike w:val="0"/>
          <w:noProof w:val="0"/>
          <w:color w:val="000000"/>
          <w:position w:val="0"/>
          <w:sz w:val="20"/>
          <w:u w:val="none"/>
          <w:vertAlign w:val="baseline"/>
        </w:rPr>
        <w:t xml:space="preserve"> means an institution that meets the definition in section 312(f) of the Higher Education Act of 1965, as amended (HEA) </w:t>
      </w:r>
      <w:hyperlink r:id="rId12" w:history="1">
        <w:r>
          <w:rPr>
            <w:rFonts w:ascii="arial" w:eastAsia="arial" w:hAnsi="arial" w:cs="arial"/>
            <w:b w:val="0"/>
            <w:i/>
            <w:strike w:val="0"/>
            <w:noProof w:val="0"/>
            <w:color w:val="0077CC"/>
            <w:position w:val="0"/>
            <w:sz w:val="20"/>
            <w:u w:val="single"/>
            <w:vertAlign w:val="baseline"/>
          </w:rPr>
          <w:t>(20 U.S.C. 1058</w:t>
        </w:r>
      </w:hyperlink>
      <w:r>
        <w:rPr>
          <w:rFonts w:ascii="arial" w:eastAsia="arial" w:hAnsi="arial" w:cs="arial"/>
          <w:b w:val="0"/>
          <w:i w:val="0"/>
          <w:strike w:val="0"/>
          <w:noProof w:val="0"/>
          <w:color w:val="000000"/>
          <w:position w:val="0"/>
          <w:sz w:val="20"/>
          <w:u w:val="none"/>
          <w:vertAlign w:val="baseline"/>
        </w:rPr>
        <w:t xml:space="preserve">(f)); or an institution of higher education (IHE) (as defined in section 101 of the HEA </w:t>
      </w:r>
      <w:hyperlink r:id="rId13" w:history="1">
        <w:r>
          <w:rPr>
            <w:rFonts w:ascii="arial" w:eastAsia="arial" w:hAnsi="arial" w:cs="arial"/>
            <w:b w:val="0"/>
            <w:i/>
            <w:strike w:val="0"/>
            <w:noProof w:val="0"/>
            <w:color w:val="0077CC"/>
            <w:position w:val="0"/>
            <w:sz w:val="20"/>
            <w:u w:val="single"/>
            <w:vertAlign w:val="baseline"/>
          </w:rPr>
          <w:t>(20 U.S.C. 1001))</w:t>
        </w:r>
      </w:hyperlink>
      <w:r>
        <w:rPr>
          <w:rFonts w:ascii="arial" w:eastAsia="arial" w:hAnsi="arial" w:cs="arial"/>
          <w:b w:val="0"/>
          <w:i w:val="0"/>
          <w:strike w:val="0"/>
          <w:noProof w:val="0"/>
          <w:color w:val="000000"/>
          <w:position w:val="0"/>
          <w:sz w:val="20"/>
          <w:u w:val="none"/>
          <w:vertAlign w:val="baseline"/>
        </w:rPr>
        <w:t xml:space="preserve"> that awards degrees and certificates, more than 50 percent of which are not bachelor's degrees (or an equivalent).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Minority-serving institution (MSI)</w:t>
      </w:r>
      <w:r>
        <w:rPr>
          <w:rFonts w:ascii="arial" w:eastAsia="arial" w:hAnsi="arial" w:cs="arial"/>
          <w:b w:val="0"/>
          <w:i w:val="0"/>
          <w:strike w:val="0"/>
          <w:noProof w:val="0"/>
          <w:color w:val="000000"/>
          <w:position w:val="0"/>
          <w:sz w:val="20"/>
          <w:u w:val="none"/>
          <w:vertAlign w:val="baseline"/>
        </w:rPr>
        <w:t xml:space="preserve"> means an institution that is eligible to receive assistance under sections 316 through 320 of part A of title III, under part B of title III, or under title V of the HEA.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 applicant</w:t>
      </w:r>
      <w:r>
        <w:rPr>
          <w:rFonts w:ascii="arial" w:eastAsia="arial" w:hAnsi="arial" w:cs="arial"/>
          <w:b w:val="0"/>
          <w:i w:val="0"/>
          <w:strike w:val="0"/>
          <w:noProof w:val="0"/>
          <w:color w:val="000000"/>
          <w:position w:val="0"/>
          <w:sz w:val="20"/>
          <w:u w:val="none"/>
          <w:vertAlign w:val="baseline"/>
        </w:rPr>
        <w:t xml:space="preserve"> means any applicant that has not received a discretionary grant from the Department of Education under the Fulbright-Hays Act prior to the deadline date for applications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educational agency (SEA)</w:t>
      </w:r>
      <w:r>
        <w:rPr>
          <w:rFonts w:ascii="arial" w:eastAsia="arial" w:hAnsi="arial" w:cs="arial"/>
          <w:b w:val="0"/>
          <w:i w:val="0"/>
          <w:strike w:val="0"/>
          <w:noProof w:val="0"/>
          <w:color w:val="000000"/>
          <w:position w:val="0"/>
          <w:sz w:val="20"/>
          <w:u w:val="none"/>
          <w:vertAlign w:val="baseline"/>
        </w:rPr>
        <w:t xml:space="preserve"> means the State board of education or other </w:t>
      </w:r>
      <w:r>
        <w:rPr>
          <w:rFonts w:ascii="arial" w:eastAsia="arial" w:hAnsi="arial" w:cs="arial"/>
          <w:b/>
          <w:i w:val="0"/>
          <w:strike w:val="0"/>
          <w:noProof w:val="0"/>
          <w:color w:val="000000"/>
          <w:position w:val="0"/>
          <w:sz w:val="20"/>
          <w:u w:val="none"/>
          <w:vertAlign w:val="baseline"/>
        </w:rPr>
        <w:t> [*1725] </w:t>
      </w:r>
      <w:r>
        <w:rPr>
          <w:rFonts w:ascii="arial" w:eastAsia="arial" w:hAnsi="arial" w:cs="arial"/>
          <w:b w:val="0"/>
          <w:i w:val="0"/>
          <w:strike w:val="0"/>
          <w:noProof w:val="0"/>
          <w:color w:val="000000"/>
          <w:position w:val="0"/>
          <w:sz w:val="20"/>
          <w:u w:val="none"/>
          <w:vertAlign w:val="baseline"/>
        </w:rPr>
        <w:t xml:space="preserve"> agency or officer primarily responsible for the supervision of public elementary and secondary schools in a State. In the absence of this officer or agency, it is an officer or agency designated by the Governor or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vertAlign w:val="baseline"/>
          </w:rPr>
          <w:t>22 U.S.C. 2452</w:t>
        </w:r>
      </w:hyperlink>
      <w:r>
        <w:rPr>
          <w:rFonts w:ascii="arial" w:eastAsia="arial" w:hAnsi="arial" w:cs="arial"/>
          <w:b w:val="0"/>
          <w:i w:val="0"/>
          <w:strike w:val="0"/>
          <w:noProof w:val="0"/>
          <w:color w:val="000000"/>
          <w:position w:val="0"/>
          <w:sz w:val="20"/>
          <w:u w:val="none"/>
          <w:vertAlign w:val="baseline"/>
        </w:rPr>
        <w:t>(b)(6).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664. (e) The NFP. (f) The notice of final priorities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24, 2010 </w:t>
      </w:r>
      <w:hyperlink r:id="rId11" w:history="1">
        <w:r>
          <w:rPr>
            <w:rFonts w:ascii="arial" w:eastAsia="arial" w:hAnsi="arial" w:cs="arial"/>
            <w:b w:val="0"/>
            <w:i/>
            <w:strike w:val="0"/>
            <w:noProof w:val="0"/>
            <w:color w:val="0077CC"/>
            <w:position w:val="0"/>
            <w:sz w:val="20"/>
            <w:u w:val="single"/>
            <w:vertAlign w:val="baseline"/>
          </w:rPr>
          <w:t>(75 FR 59050).</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$ 2,792,440.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GPA short-term projects:</w:t>
      </w:r>
      <w:r>
        <w:rPr>
          <w:rFonts w:ascii="arial" w:eastAsia="arial" w:hAnsi="arial" w:cs="arial"/>
          <w:b w:val="0"/>
          <w:i w:val="0"/>
          <w:strike w:val="0"/>
          <w:noProof w:val="0"/>
          <w:color w:val="000000"/>
          <w:position w:val="0"/>
          <w:sz w:val="20"/>
          <w:u w:val="none"/>
          <w:vertAlign w:val="baseline"/>
        </w:rPr>
        <w:t xml:space="preserve"> $ 50,000--$ 100,000.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GPA long-term projects:</w:t>
      </w:r>
      <w:r>
        <w:rPr>
          <w:rFonts w:ascii="arial" w:eastAsia="arial" w:hAnsi="arial" w:cs="arial"/>
          <w:b w:val="0"/>
          <w:i w:val="0"/>
          <w:strike w:val="0"/>
          <w:noProof w:val="0"/>
          <w:color w:val="000000"/>
          <w:position w:val="0"/>
          <w:sz w:val="20"/>
          <w:u w:val="none"/>
          <w:vertAlign w:val="baseline"/>
        </w:rPr>
        <w:t xml:space="preserve"> $ 50,000--$ 250,000.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GPA short-term projects:</w:t>
      </w:r>
      <w:r>
        <w:rPr>
          <w:rFonts w:ascii="arial" w:eastAsia="arial" w:hAnsi="arial" w:cs="arial"/>
          <w:b w:val="0"/>
          <w:i w:val="0"/>
          <w:strike w:val="0"/>
          <w:noProof w:val="0"/>
          <w:color w:val="000000"/>
          <w:position w:val="0"/>
          <w:sz w:val="20"/>
          <w:u w:val="none"/>
          <w:vertAlign w:val="baseline"/>
        </w:rPr>
        <w:t xml:space="preserve"> $ 80,059.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GPA long-term projects:</w:t>
      </w:r>
      <w:r>
        <w:rPr>
          <w:rFonts w:ascii="arial" w:eastAsia="arial" w:hAnsi="arial" w:cs="arial"/>
          <w:b w:val="0"/>
          <w:i w:val="0"/>
          <w:strike w:val="0"/>
          <w:noProof w:val="0"/>
          <w:color w:val="000000"/>
          <w:position w:val="0"/>
          <w:sz w:val="20"/>
          <w:u w:val="none"/>
          <w:vertAlign w:val="baseline"/>
        </w:rPr>
        <w:t xml:space="preserve"> $ 185,025.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GPA short-term project application that proposes a budget exceeding $ 100,000 for a single project period of 18 months. We will reject any GPA long-term project application that proposes a budget exceeding $ 250,000 for a single budget period of 24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GPA short-term projects:</w:t>
      </w:r>
      <w:r>
        <w:rPr>
          <w:rFonts w:ascii="arial" w:eastAsia="arial" w:hAnsi="arial" w:cs="arial"/>
          <w:b w:val="0"/>
          <w:i w:val="0"/>
          <w:strike w:val="0"/>
          <w:noProof w:val="0"/>
          <w:color w:val="000000"/>
          <w:position w:val="0"/>
          <w:sz w:val="20"/>
          <w:u w:val="none"/>
          <w:vertAlign w:val="baseline"/>
        </w:rPr>
        <w:t xml:space="preserve">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GPA long-term projects:</w:t>
      </w:r>
      <w:r>
        <w:rPr>
          <w:rFonts w:ascii="arial" w:eastAsia="arial" w:hAnsi="arial" w:cs="arial"/>
          <w:b w:val="0"/>
          <w:i w:val="0"/>
          <w:strike w:val="0"/>
          <w:noProof w:val="0"/>
          <w:color w:val="000000"/>
          <w:position w:val="0"/>
          <w:sz w:val="20"/>
          <w:u w:val="none"/>
          <w:vertAlign w:val="baseline"/>
        </w:rPr>
        <w:t xml:space="preserve"> 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GPA short-term projects:</w:t>
      </w:r>
      <w:r>
        <w:rPr>
          <w:rFonts w:ascii="arial" w:eastAsia="arial" w:hAnsi="arial" w:cs="arial"/>
          <w:b w:val="0"/>
          <w:i w:val="0"/>
          <w:strike w:val="0"/>
          <w:noProof w:val="0"/>
          <w:color w:val="000000"/>
          <w:position w:val="0"/>
          <w:sz w:val="20"/>
          <w:u w:val="none"/>
          <w:vertAlign w:val="baseline"/>
        </w:rPr>
        <w:t xml:space="preserve"> Up to 18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GPA long-term projects:</w:t>
      </w:r>
      <w:r>
        <w:rPr>
          <w:rFonts w:ascii="arial" w:eastAsia="arial" w:hAnsi="arial" w:cs="arial"/>
          <w:b w:val="0"/>
          <w:i w:val="0"/>
          <w:strike w:val="0"/>
          <w:noProof w:val="0"/>
          <w:color w:val="000000"/>
          <w:position w:val="0"/>
          <w:sz w:val="20"/>
          <w:u w:val="none"/>
          <w:vertAlign w:val="baseline"/>
        </w:rPr>
        <w:t xml:space="preserve"> Up to 24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(1) IHEs, (2) State departments of education, (3) Private nonprofit educational organizations, and (4) Consortia of these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6"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7"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84.021A.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is where you, the applicant, address the selection criteria that reviewers use to evaluate your application. You must limit the application narrative to no more than 40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Double space (no more than three lines per vertical inch) all text in the application narrative,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titles, headings, footnotes, quotations, references, and captions. Charts, tables, figures, and graphs in the application narrative may be single spaced and will count toward the page limit.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 However, you may use a 10-point font in charts, tables, figures, and graphs.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and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40-page limit does not apply to Part I, the Application for Federal Assistance face sheet (SF 424); the supplemental information form required by the Department of Education; Part II, Budget Information--Non-Construction Programs (ED 524); Part IV, assurances, certifications, and the response to section 427 of the General Education Provisions Act; the table of contents; the one-page project abstract; the appendices; or the line-item budget. However, the page limit does apply to all of the application narrative. If you include any attachments or appendices not specifically requested, these items will be counted as part of the application narrative for purposes of the page-limit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January 6,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specify unallowable costs in 34 CFR 664.33. We </w:t>
      </w:r>
      <w:r>
        <w:rPr>
          <w:rFonts w:ascii="arial" w:eastAsia="arial" w:hAnsi="arial" w:cs="arial"/>
          <w:b/>
          <w:i w:val="0"/>
          <w:strike w:val="0"/>
          <w:noProof w:val="0"/>
          <w:color w:val="000000"/>
          <w:position w:val="0"/>
          <w:sz w:val="20"/>
          <w:u w:val="none"/>
          <w:vertAlign w:val="baseline"/>
        </w:rPr>
        <w:t> [*1726] </w:t>
      </w:r>
      <w:r>
        <w:rPr>
          <w:rFonts w:ascii="arial" w:eastAsia="arial" w:hAnsi="arial" w:cs="arial"/>
          <w:b w:val="0"/>
          <w:i w:val="0"/>
          <w:strike w:val="0"/>
          <w:noProof w:val="0"/>
          <w:color w:val="000000"/>
          <w:position w:val="0"/>
          <w:sz w:val="20"/>
          <w:u w:val="none"/>
          <w:vertAlign w:val="baseline"/>
        </w:rPr>
        <w:t xml:space="preserv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8"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9"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20"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1"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Fulbright-Hays GPA Program, CFDA number 84.021A,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1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may access the electronic grant application for the Fulbright-Hays GPA Program at </w:t>
      </w:r>
      <w:hyperlink r:id="rId1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84.021, not 84.021A).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program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3"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w:t>
      </w:r>
      <w:r>
        <w:rPr>
          <w:rFonts w:ascii="arial" w:eastAsia="arial" w:hAnsi="arial" w:cs="arial"/>
          <w:b/>
          <w:i w:val="0"/>
          <w:strike w:val="0"/>
          <w:noProof w:val="0"/>
          <w:color w:val="000000"/>
          <w:position w:val="0"/>
          <w:sz w:val="20"/>
          <w:u w:val="none"/>
          <w:vertAlign w:val="baseline"/>
        </w:rPr>
        <w:t> [*1727] </w:t>
      </w:r>
      <w:r>
        <w:rPr>
          <w:rFonts w:ascii="arial" w:eastAsia="arial" w:hAnsi="arial" w:cs="arial"/>
          <w:b w:val="0"/>
          <w:i w:val="0"/>
          <w:strike w:val="0"/>
          <w:noProof w:val="0"/>
          <w:color w:val="000000"/>
          <w:position w:val="0"/>
          <w:sz w:val="20"/>
          <w:u w:val="none"/>
          <w:vertAlign w:val="baseline"/>
        </w:rPr>
        <w:t xml:space="preserve">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for Fulbright-Hays GPA to: Reha Mallory, Fulbright-Hays Group Projects Abroad Program, U.S. Department of Education, 400 Maryland Avenue SW., Room 3E213, Washington, DC 20202-4260. FAX: (202) 453-7502.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84.021A),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(or a courier service) may deliver your paper application to the Department by hand. You must deliver the original and two copies of your application by hand, on or before the application deadline </w:t>
      </w:r>
      <w:r>
        <w:rPr>
          <w:rFonts w:ascii="arial" w:eastAsia="arial" w:hAnsi="arial" w:cs="arial"/>
          <w:b/>
          <w:i w:val="0"/>
          <w:strike w:val="0"/>
          <w:noProof w:val="0"/>
          <w:color w:val="000000"/>
          <w:position w:val="0"/>
          <w:sz w:val="20"/>
          <w:u w:val="none"/>
          <w:vertAlign w:val="baseline"/>
        </w:rPr>
        <w:t> [*1728] </w:t>
      </w:r>
      <w:r>
        <w:rPr>
          <w:rFonts w:ascii="arial" w:eastAsia="arial" w:hAnsi="arial" w:cs="arial"/>
          <w:b w:val="0"/>
          <w:i w:val="0"/>
          <w:strike w:val="0"/>
          <w:noProof w:val="0"/>
          <w:color w:val="000000"/>
          <w:position w:val="0"/>
          <w:sz w:val="20"/>
          <w:u w:val="none"/>
          <w:vertAlign w:val="baseline"/>
        </w:rPr>
        <w:t xml:space="preserve"> date, to the Department at the following address: U.S. Department of Education, Application Control Center, Attention: (CFDA Number 84.021A),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34 CFR 664.31 and are as follows: (a) Plan of operation (20 points); (b) Quality of key personnel (10 points); (c) Budget and cost effectiveness (10 points); (d) Evaluation plan (20 points); (e) Adequacy of resources (5 points); (f) Potential impact of the project on the development of the study of modern foreign languages and area studies in American education (15 points); (g) The project's relevance to the applicant's educational goals and its relationship to its program development in modern foreign languages and area studies (10 points); and (h) The extent to which direct experience abroad is necessary to achieve the project's objectives and the effectiveness with which relevant host country resources will be utilized (10 points). Additional information about these criteria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FY 2017, GPA short-term project applications will be reviewed by separate panels according to world area. GPA long-term projects will be reviewed by one panel across world areas. A rank order from highest to lowest score will be developed for each of the two types of projects and will be used for funding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2 CFR 200.205(a)(2)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Grantees are required to use the electronic data instrument International Resource Information System (IRIS) to complete the final report. The Secretary may also require more frequent performance reports under 34 CFR 75.720(c). For specific requirements on reporting, please go to </w:t>
      </w:r>
      <w:hyperlink r:id="rId24"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the following measure will be used by the Department to evaluate the success of the GPA short-term program: The percentage of GPA short-term project participants who disseminated information about or materials from their group project abroad through more than one outreach activity within six months of returning to their home institution. The following </w:t>
      </w:r>
      <w:r>
        <w:rPr>
          <w:rFonts w:ascii="arial" w:eastAsia="arial" w:hAnsi="arial" w:cs="arial"/>
          <w:b/>
          <w:i w:val="0"/>
          <w:strike w:val="0"/>
          <w:noProof w:val="0"/>
          <w:color w:val="000000"/>
          <w:position w:val="0"/>
          <w:sz w:val="20"/>
          <w:u w:val="none"/>
          <w:vertAlign w:val="baseline"/>
        </w:rPr>
        <w:t> [*1729] </w:t>
      </w:r>
      <w:r>
        <w:rPr>
          <w:rFonts w:ascii="arial" w:eastAsia="arial" w:hAnsi="arial" w:cs="arial"/>
          <w:b w:val="0"/>
          <w:i w:val="0"/>
          <w:strike w:val="0"/>
          <w:noProof w:val="0"/>
          <w:color w:val="000000"/>
          <w:position w:val="0"/>
          <w:sz w:val="20"/>
          <w:u w:val="none"/>
          <w:vertAlign w:val="baseline"/>
        </w:rPr>
        <w:t xml:space="preserve"> measure will be used by the Department to evaluate the success of the GPA long-term program: The percentage of GPA long-term project participants who increased their reading, writing, and/or listening/speaking foreign language scores by one proficiency level. The efficiency of the GPA short-term program and the GPA long-term program will be measured by considering the cost per GPA participant who increased his/her foreign language score in reading, writing, and/or listening/speaking by at least one proficiency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provided by grantees in their performance reports submitted via IRIS will be the source of data for this measure. Reporting screens for institutions can be viewed at:</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vertAlign w:val="baseline"/>
          </w:rPr>
          <w:t>http://iris.ed.gov/iris/pdfs/gpa_director.pdf</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http://iris.ed.gov/iris/pdfs/gpa_participant.pdf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Reha Mallory, Fulbright-Hays Group Projects Abroad Program, U.S. Department of Education, 400 Maryland Avenue SW., Room 3E213, Washington, DC 20202-4260. FAX: (202) 453-7502 or by email: </w:t>
      </w:r>
      <w:hyperlink r:id="rId27" w:history="1">
        <w:r>
          <w:rPr>
            <w:rFonts w:ascii="arial" w:eastAsia="arial" w:hAnsi="arial" w:cs="arial"/>
            <w:b w:val="0"/>
            <w:i/>
            <w:strike w:val="0"/>
            <w:noProof w:val="0"/>
            <w:color w:val="0077CC"/>
            <w:position w:val="0"/>
            <w:sz w:val="20"/>
            <w:u w:val="single"/>
            <w:vertAlign w:val="baseline"/>
          </w:rPr>
          <w:t>reha.mallory@ed.gov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1723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K1B-W790-006W-8045-00000-00&amp;context=" TargetMode="External" /><Relationship Id="rId11" Type="http://schemas.openxmlformats.org/officeDocument/2006/relationships/hyperlink" Target="https://advance.lexis.com/api/document?collection=administrative-codes&amp;id=urn:contentItem:5138-DJB0-006W-83JW-00000-00&amp;context=" TargetMode="External" /><Relationship Id="rId12" Type="http://schemas.openxmlformats.org/officeDocument/2006/relationships/hyperlink" Target="https://advance.lexis.com/api/document?collection=statutes-legislation&amp;id=urn:contentItem:4YF7-GV01-NRF4-41XD-00000-00&amp;context=" TargetMode="External" /><Relationship Id="rId13" Type="http://schemas.openxmlformats.org/officeDocument/2006/relationships/hyperlink" Target="https://advance.lexis.com/api/document?collection=statutes-legislation&amp;id=urn:contentItem:4YF7-GSD1-NRF4-425W-00000-00&amp;context=" TargetMode="External" /><Relationship Id="rId14" Type="http://schemas.openxmlformats.org/officeDocument/2006/relationships/hyperlink" Target="https://advance.lexis.com/api/document?collection=statutes-legislation&amp;id=urn:contentItem:4YF7-GW91-NRF4-44PV-00000-00&amp;context=" TargetMode="External" /><Relationship Id="rId15" Type="http://schemas.openxmlformats.org/officeDocument/2006/relationships/hyperlink" Target="http://www.Grants.gov" TargetMode="External" /><Relationship Id="rId16" Type="http://schemas.openxmlformats.org/officeDocument/2006/relationships/hyperlink" Target="http://www.EDPubs.gov" TargetMode="External" /><Relationship Id="rId17" Type="http://schemas.openxmlformats.org/officeDocument/2006/relationships/hyperlink" Target="mailto:edpubs@inet.ed.gov" TargetMode="External" /><Relationship Id="rId18" Type="http://schemas.openxmlformats.org/officeDocument/2006/relationships/hyperlink" Target="http://fedgov.dnb.com/webform" TargetMode="External" /><Relationship Id="rId19" Type="http://schemas.openxmlformats.org/officeDocument/2006/relationships/hyperlink" Target="http://www.SAM.gov" TargetMode="External" /><Relationship Id="rId2" Type="http://schemas.openxmlformats.org/officeDocument/2006/relationships/webSettings" Target="webSettings.xml" /><Relationship Id="rId20" Type="http://schemas.openxmlformats.org/officeDocument/2006/relationships/hyperlink" Target="http://www2.ed.gov/fund/grant/apply/sam-faqs.html" TargetMode="External" /><Relationship Id="rId21" Type="http://schemas.openxmlformats.org/officeDocument/2006/relationships/hyperlink" Target="http://www.grants.gov/web/grants/register.html" TargetMode="External" /><Relationship Id="rId22" Type="http://schemas.openxmlformats.org/officeDocument/2006/relationships/hyperlink" Target="http://www.G5.gov" TargetMode="External" /><Relationship Id="rId23" Type="http://schemas.openxmlformats.org/officeDocument/2006/relationships/hyperlink" Target="http://www.grants.gov/web/grants/applicants/apply-for-grants.html" TargetMode="External" /><Relationship Id="rId24" Type="http://schemas.openxmlformats.org/officeDocument/2006/relationships/hyperlink" Target="http://www.ed.gov/fund/grant/apply/appforms/appforms.html" TargetMode="External" /><Relationship Id="rId25" Type="http://schemas.openxmlformats.org/officeDocument/2006/relationships/hyperlink" Target="http://iris.ed.gov/iris/pdfs/gpa_director.pdf" TargetMode="External" /><Relationship Id="rId26" Type="http://schemas.openxmlformats.org/officeDocument/2006/relationships/hyperlink" Target="http://iris.ed.gov/iris/pdfs/gpa_participant.pdf" TargetMode="External" /><Relationship Id="rId27" Type="http://schemas.openxmlformats.org/officeDocument/2006/relationships/hyperlink" Target="mailto:reha.mallory@ed.gov" TargetMode="Externa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JV-VX90-006W-823S-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30523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71560261</vt:lpwstr>
  </property>
  <property fmtid="{D5CDD505-2E9C-101B-9397-08002B2CF9AE}" pid="3" name="LADocCount">
    <vt:lpwstr>1</vt:lpwstr>
  </property>
  <property fmtid="{D5CDD505-2E9C-101B-9397-08002B2CF9AE}" pid="4" name="UserPermID">
    <vt:lpwstr>urn:user:PA185916758</vt:lpwstr>
  </property>
</Properties>
</file>