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17545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069, Wednesday, April 12,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17545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Inflation Adjustments and Other Technical Amendments Under Titles I and III of the Jobs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technical amendments; interpretation.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33-10332; 34-80355; File No. S7-09-16]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3235-AL38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210, 227, 229, 230, 239, 240, and 249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adopting technical amendments to conform several rules and forms to amendments made to the Securities Act of 1933 ("Securities Act") and the Securities Exchange Act of 1934 ("Exchange Act") by Title I of the Jumpstart Our Business Startups ("JOBS") Act. To effectuate inflation adjustments required under Title I and Title III of the JOBS Act, we are also adopting new rules that include an inflation-adjusted threshold in the definition of the term "emerging growth company" as well as amendments to adjust the dollar amounts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adopting amendments to Rule 405 n1 and Forms C, n2 S-1, n3 S-3, n4 S-4, n5 S-8, n6 S-11, n7 F-1, n8 F-3 n9 and F-4 n10 under the Securities Act; n11 Rule 12b-2, n12 Rule 14a-21 n13 and Forms 10, n14 8-K, n15 10-Q, n16 10-K, n17 20-F n18 and 40-F n19 under the Exchange Act; n20 Rule 2-02 n21 and Rule 3-02 n22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n23 Rule 100 n24 and Rule 201 n25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n26 and Items 301, n27 303, n28 308, n29 402 n30 and 1101 n31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239.900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17 CFR.239.13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17 CFR 239.25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17 CFR 239.16b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17 CFR 239.31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17 CFR 239.33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6" w:history="1">
        <w:r>
          <w:rPr>
            <w:rFonts w:ascii="arial" w:eastAsia="arial" w:hAnsi="arial" w:cs="arial"/>
            <w:b w:val="0"/>
            <w:i/>
            <w:strike w:val="0"/>
            <w:noProof w:val="0"/>
            <w:color w:val="0077CC"/>
            <w:position w:val="0"/>
            <w:sz w:val="20"/>
            <w:u w:val="single"/>
            <w:vertAlign w:val="baseline"/>
          </w:rPr>
          <w:t>17 CFR 239.34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7"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17 CFR 240.14a-21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9" w:history="1">
        <w:r>
          <w:rPr>
            <w:rFonts w:ascii="arial" w:eastAsia="arial" w:hAnsi="arial" w:cs="arial"/>
            <w:b w:val="0"/>
            <w:i/>
            <w:strike w:val="0"/>
            <w:noProof w:val="0"/>
            <w:color w:val="0077CC"/>
            <w:position w:val="0"/>
            <w:sz w:val="20"/>
            <w:u w:val="single"/>
            <w:vertAlign w:val="baseline"/>
          </w:rPr>
          <w:t>17 CFR 249.210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0"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1"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2"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3"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4" w:history="1">
        <w:r>
          <w:rPr>
            <w:rFonts w:ascii="arial" w:eastAsia="arial" w:hAnsi="arial" w:cs="arial"/>
            <w:b w:val="0"/>
            <w:i/>
            <w:strike w:val="0"/>
            <w:noProof w:val="0"/>
            <w:color w:val="0077CC"/>
            <w:position w:val="0"/>
            <w:sz w:val="20"/>
            <w:u w:val="single"/>
            <w:vertAlign w:val="baseline"/>
          </w:rPr>
          <w:t>17 CFR 249.240f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5"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6" w:history="1">
        <w:r>
          <w:rPr>
            <w:rFonts w:ascii="arial" w:eastAsia="arial" w:hAnsi="arial" w:cs="arial"/>
            <w:b w:val="0"/>
            <w:i/>
            <w:strike w:val="0"/>
            <w:noProof w:val="0"/>
            <w:color w:val="0077CC"/>
            <w:position w:val="0"/>
            <w:sz w:val="20"/>
            <w:u w:val="single"/>
            <w:vertAlign w:val="baseline"/>
          </w:rPr>
          <w:t>17 CFR 210.2-02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7" w:history="1">
        <w:r>
          <w:rPr>
            <w:rFonts w:ascii="arial" w:eastAsia="arial" w:hAnsi="arial" w:cs="arial"/>
            <w:b w:val="0"/>
            <w:i/>
            <w:strike w:val="0"/>
            <w:noProof w:val="0"/>
            <w:color w:val="0077CC"/>
            <w:position w:val="0"/>
            <w:sz w:val="20"/>
            <w:u w:val="single"/>
            <w:vertAlign w:val="baseline"/>
          </w:rPr>
          <w:t>17 CFR 210.3-02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8" w:history="1">
        <w:r>
          <w:rPr>
            <w:rFonts w:ascii="arial" w:eastAsia="arial" w:hAnsi="arial" w:cs="arial"/>
            <w:b w:val="0"/>
            <w:i/>
            <w:strike w:val="0"/>
            <w:noProof w:val="0"/>
            <w:color w:val="0077CC"/>
            <w:position w:val="0"/>
            <w:sz w:val="20"/>
            <w:u w:val="single"/>
            <w:vertAlign w:val="baseline"/>
          </w:rPr>
          <w:t>17 CFR 210.1-01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9" w:history="1">
        <w:r>
          <w:rPr>
            <w:rFonts w:ascii="arial" w:eastAsia="arial" w:hAnsi="arial" w:cs="arial"/>
            <w:b w:val="0"/>
            <w:i/>
            <w:strike w:val="0"/>
            <w:noProof w:val="0"/>
            <w:color w:val="0077CC"/>
            <w:position w:val="0"/>
            <w:sz w:val="20"/>
            <w:u w:val="single"/>
            <w:vertAlign w:val="baseline"/>
          </w:rPr>
          <w:t>17 CFR 227.100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30" w:history="1">
        <w:r>
          <w:rPr>
            <w:rFonts w:ascii="arial" w:eastAsia="arial" w:hAnsi="arial" w:cs="arial"/>
            <w:b w:val="0"/>
            <w:i/>
            <w:strike w:val="0"/>
            <w:noProof w:val="0"/>
            <w:color w:val="0077CC"/>
            <w:position w:val="0"/>
            <w:sz w:val="20"/>
            <w:u w:val="single"/>
            <w:vertAlign w:val="baseline"/>
          </w:rPr>
          <w:t>17 CFR 227.201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9" w:history="1">
        <w:r>
          <w:rPr>
            <w:rFonts w:ascii="arial" w:eastAsia="arial" w:hAnsi="arial" w:cs="arial"/>
            <w:b w:val="0"/>
            <w:i/>
            <w:strike w:val="0"/>
            <w:noProof w:val="0"/>
            <w:color w:val="0077CC"/>
            <w:position w:val="0"/>
            <w:sz w:val="20"/>
            <w:u w:val="single"/>
            <w:vertAlign w:val="baseline"/>
          </w:rPr>
          <w:t>17 CFR 227.100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31" w:history="1">
        <w:r>
          <w:rPr>
            <w:rFonts w:ascii="arial" w:eastAsia="arial" w:hAnsi="arial" w:cs="arial"/>
            <w:b w:val="0"/>
            <w:i/>
            <w:strike w:val="0"/>
            <w:noProof w:val="0"/>
            <w:color w:val="0077CC"/>
            <w:position w:val="0"/>
            <w:sz w:val="20"/>
            <w:u w:val="single"/>
            <w:vertAlign w:val="baseline"/>
          </w:rPr>
          <w:t>17 CFR 229.301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32"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3" w:history="1">
        <w:r>
          <w:rPr>
            <w:rFonts w:ascii="arial" w:eastAsia="arial" w:hAnsi="arial" w:cs="arial"/>
            <w:b w:val="0"/>
            <w:i/>
            <w:strike w:val="0"/>
            <w:noProof w:val="0"/>
            <w:color w:val="0077CC"/>
            <w:position w:val="0"/>
            <w:sz w:val="20"/>
            <w:u w:val="single"/>
            <w:vertAlign w:val="baseline"/>
          </w:rPr>
          <w:t>17 CFR 229.308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4"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5" w:history="1">
        <w:r>
          <w:rPr>
            <w:rFonts w:ascii="arial" w:eastAsia="arial" w:hAnsi="arial" w:cs="arial"/>
            <w:b w:val="0"/>
            <w:i/>
            <w:strike w:val="0"/>
            <w:noProof w:val="0"/>
            <w:color w:val="0077CC"/>
            <w:position w:val="0"/>
            <w:sz w:val="20"/>
            <w:u w:val="single"/>
            <w:vertAlign w:val="baseline"/>
          </w:rPr>
          <w:t>17 CFR 229.1101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6"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several technical amendments to conform our rules and forms to certain provisions of Title I of the JOBS Act. n33 Title I amended the Securities Act and the Exchange Act to provide several exemptions from a number of shareholder voting, disclosure and other regulatory requirements for an issuer that qualifies as an "emerging growth company" n34 ("EGC"). Specifically, the regulatory </w:t>
      </w:r>
      <w:r>
        <w:rPr>
          <w:rFonts w:ascii="arial" w:eastAsia="arial" w:hAnsi="arial" w:cs="arial"/>
          <w:b/>
          <w:i w:val="0"/>
          <w:strike w:val="0"/>
          <w:noProof w:val="0"/>
          <w:color w:val="000000"/>
          <w:position w:val="0"/>
          <w:sz w:val="20"/>
          <w:u w:val="none"/>
          <w:vertAlign w:val="baseline"/>
        </w:rPr>
        <w:t> [*17546] </w:t>
      </w:r>
      <w:r>
        <w:rPr>
          <w:rFonts w:ascii="arial" w:eastAsia="arial" w:hAnsi="arial" w:cs="arial"/>
          <w:b w:val="0"/>
          <w:i w:val="0"/>
          <w:strike w:val="0"/>
          <w:noProof w:val="0"/>
          <w:color w:val="000000"/>
          <w:position w:val="0"/>
          <w:sz w:val="20"/>
          <w:u w:val="none"/>
          <w:vertAlign w:val="baseline"/>
        </w:rPr>
        <w:t xml:space="preserve"> relief provided under Sections 102 and 103 of the JOBS Act: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101(a) of the JOBS Act amended Section 2(a) of the Securities Act [</w:t>
      </w:r>
      <w:hyperlink r:id="rId37" w:history="1">
        <w:r>
          <w:rPr>
            <w:rFonts w:ascii="arial" w:eastAsia="arial" w:hAnsi="arial" w:cs="arial"/>
            <w:b w:val="0"/>
            <w:i/>
            <w:strike w:val="0"/>
            <w:noProof w:val="0"/>
            <w:color w:val="0077CC"/>
            <w:position w:val="0"/>
            <w:sz w:val="20"/>
            <w:u w:val="single"/>
            <w:vertAlign w:val="baseline"/>
          </w:rPr>
          <w:t>15 U.S.C. 77b(a)</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Section 3(a)</w:t>
        </w:r>
      </w:hyperlink>
      <w:r>
        <w:rPr>
          <w:rFonts w:ascii="arial" w:eastAsia="arial" w:hAnsi="arial" w:cs="arial"/>
          <w:b w:val="0"/>
          <w:i w:val="0"/>
          <w:strike w:val="0"/>
          <w:noProof w:val="0"/>
          <w:color w:val="000000"/>
          <w:position w:val="0"/>
          <w:sz w:val="20"/>
          <w:u w:val="none"/>
          <w:vertAlign w:val="baseline"/>
        </w:rPr>
        <w:t xml:space="preserve"> of the Exchange Act [</w:t>
      </w:r>
      <w:hyperlink r:id="rId39"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xml:space="preserve">] to define an "emerging growth company" as an issuer with less than $ 1 billion in total annual gross revenues during its most recently completed fiscal year. If an issuer qualifies as an EGC on the first day of its fiscal year, it maintains that status until the earliest of (1) the last day of the fiscal year of the issuer during which it has total annual gross revenues of $ 1 billion or more; (2) the last day of its fiscal year following the fifth anniversary of the first sale of its common equity securities pursuant to an effective registration statement; (3) the date on which the issuer has, during the previous three-year period, issued more than $ 1 billion in non-convertible debt; or (4) the date on which the issuer is deemed to be a "large accelerated filer" (as defined in Exchange Act Rule 12b-2).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2(a)(19) of the Securities Act [</w:t>
      </w:r>
      <w:hyperlink r:id="rId37"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Section 3(a)(80)</w:t>
        </w:r>
      </w:hyperlink>
      <w:r>
        <w:rPr>
          <w:rFonts w:ascii="arial" w:eastAsia="arial" w:hAnsi="arial" w:cs="arial"/>
          <w:b w:val="0"/>
          <w:i w:val="0"/>
          <w:strike w:val="0"/>
          <w:noProof w:val="0"/>
          <w:color w:val="000000"/>
          <w:position w:val="0"/>
          <w:sz w:val="20"/>
          <w:u w:val="none"/>
          <w:vertAlign w:val="baseline"/>
        </w:rPr>
        <w:t xml:space="preserve"> of the Exchange Act [</w:t>
      </w:r>
      <w:hyperlink r:id="rId39"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xml:space="preserve">]. A "large accelerated filer" is an issuer that, as of the end of its fiscal year, has an aggregate worldwide market value of the voting and non-voting common equity held by its non-affiliates of $ 700 million or more, as measured on the last business day of the issuer's most recently completed second fiscal quarter; has been subject to the requirements of Section 13(a) or 15(d) of the Exchange Act for a period of at least twelve calendar months; has filed at least one annual report pursuant to Section 13(a) or 15(d) of the Exchange Act; and is not eligible to use the scaled disclosure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smaller reporting companies for its annual and quarterly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12b-2. In Section IV.A of this release, we explain how we are adjusting for inflation the revenue threshold to qualify as an EGC, as required by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and 310.</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an EGC to include only two years of audited financial statements in its common equity initial public offering registration statement ("IPO registration statement");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Rule 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generally requires the filing of audited statements of income and cash flows for each of the three fiscal years preceding the date of the most recent audited balance sheet being filed.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an EGC to provide Management's Discussion and Analysis of Financial Condition and Results of Operations ("MD&amp;A") disclosures that correspond to the financial statements included in its IPO registration statement;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an EGC to omit in other Securities Act registration statements filed with the Commission selected financial data n37 for any period prior to the earliest audited period included in its IPO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See Section II.A for a discussion of the selected financial data requirements.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an EGC to omit selected financial data for any period prior to the earliest audited period included in its first registration statement that became effective under the Exchange Act or Securities Act in any Exchange Act registration statement, periodic report or other report filed with the Commission;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exempts an EGC from the advisory shareholder votes on the compensation of its named executive officers ("say-on-pay"), the frequency of the say-on-pay votes ("say-on-frequency") and golden parachute compensation arrangements with any named executive officers required by Sections 14A(a) n38 and (b) n39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40" w:history="1">
        <w:r>
          <w:rPr>
            <w:rFonts w:ascii="arial" w:eastAsia="arial" w:hAnsi="arial" w:cs="arial"/>
            <w:b w:val="0"/>
            <w:i/>
            <w:strike w:val="0"/>
            <w:noProof w:val="0"/>
            <w:color w:val="0077CC"/>
            <w:position w:val="0"/>
            <w:sz w:val="20"/>
            <w:u w:val="single"/>
            <w:vertAlign w:val="baseline"/>
          </w:rPr>
          <w:t>15 U.S.C. 78n-1(a)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40" w:history="1">
        <w:r>
          <w:rPr>
            <w:rFonts w:ascii="arial" w:eastAsia="arial" w:hAnsi="arial" w:cs="arial"/>
            <w:b w:val="0"/>
            <w:i/>
            <w:strike w:val="0"/>
            <w:noProof w:val="0"/>
            <w:color w:val="0077CC"/>
            <w:position w:val="0"/>
            <w:sz w:val="20"/>
            <w:u w:val="single"/>
            <w:vertAlign w:val="baseline"/>
          </w:rPr>
          <w:t>15 U.S.C. 78n-1(b)</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permits an EGC to comply with executive compensation disclosure requirements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by providing the same executive compensation disclosure as a smaller reporting company;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 "smaller reporting company" is defined in Rule 405 under the Securities Act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Rule 12b-2 of the Exchange Act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and Item 10(f)(1)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6"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 xml:space="preserve">] to mean an issuer that had a public float of less than $ 75 million as of the last business day of its most recently completed second fiscal quarter or had; or, in the case of an initial registration statement, had a public float of less than $ 75 million as of a date within 30 days of the date of the filing of the registration statement; or had a public float of zero and annual revenues of less than $ 50 million during the most recently completed fiscal year for which audited financial statements are available. </w:t>
      </w:r>
      <w:hyperlink r:id="rId36"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 xml:space="preserve">. Smaller reporting companies are subject to scaled executive compensation disclosure requirements. For example, they are not required to include a compensation discussion and analysis under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Commission recently proposed amendments that would increase the financial thresholds in the smaller reporting company definition. Under the proposed amendments, the $ 75 million public float threshold would be increased to $ 250 million and the $ 50 million revenue threshold would be increased to $ 100 million. See </w:t>
      </w:r>
      <w:r>
        <w:rPr>
          <w:rFonts w:ascii="arial" w:eastAsia="arial" w:hAnsi="arial" w:cs="arial"/>
          <w:b w:val="0"/>
          <w:i/>
          <w:strike w:val="0"/>
          <w:noProof w:val="0"/>
          <w:color w:val="000000"/>
          <w:position w:val="0"/>
          <w:sz w:val="20"/>
          <w:u w:val="none"/>
          <w:vertAlign w:val="baseline"/>
        </w:rPr>
        <w:t>Amendments to Smaller Reporting Company Definition,</w:t>
      </w:r>
      <w:r>
        <w:rPr>
          <w:rFonts w:ascii="arial" w:eastAsia="arial" w:hAnsi="arial" w:cs="arial"/>
          <w:b w:val="0"/>
          <w:i w:val="0"/>
          <w:strike w:val="0"/>
          <w:noProof w:val="0"/>
          <w:color w:val="000000"/>
          <w:position w:val="0"/>
          <w:sz w:val="20"/>
          <w:u w:val="none"/>
          <w:vertAlign w:val="baseline"/>
        </w:rPr>
        <w:t xml:space="preserve"> Release No. 33-10107 </w:t>
      </w:r>
      <w:hyperlink r:id="rId41" w:history="1">
        <w:r>
          <w:rPr>
            <w:rFonts w:ascii="arial" w:eastAsia="arial" w:hAnsi="arial" w:cs="arial"/>
            <w:b w:val="0"/>
            <w:i/>
            <w:strike w:val="0"/>
            <w:noProof w:val="0"/>
            <w:color w:val="0077CC"/>
            <w:position w:val="0"/>
            <w:sz w:val="20"/>
            <w:u w:val="single"/>
            <w:vertAlign w:val="baseline"/>
          </w:rPr>
          <w:t>[81 FR 43130]</w:t>
        </w:r>
      </w:hyperlink>
      <w:r>
        <w:rPr>
          <w:rFonts w:ascii="arial" w:eastAsia="arial" w:hAnsi="arial" w:cs="arial"/>
          <w:b w:val="0"/>
          <w:i w:val="0"/>
          <w:strike w:val="0"/>
          <w:noProof w:val="0"/>
          <w:color w:val="000000"/>
          <w:position w:val="0"/>
          <w:sz w:val="20"/>
          <w:u w:val="none"/>
          <w:vertAlign w:val="baseline"/>
        </w:rPr>
        <w:t xml:space="preserve"> (June 27, 2016).</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an EGC to defer compliance with any new or revised financial accounting standards until the date that companies that are not "issuers" as defined in Section 2(a) of the Sarbanes-Oxley Act n41 are required to comply; n42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2(a) of the Sarbanes-Oxley Act [</w:t>
      </w:r>
      <w:hyperlink r:id="rId42" w:history="1">
        <w:r>
          <w:rPr>
            <w:rFonts w:ascii="arial" w:eastAsia="arial" w:hAnsi="arial" w:cs="arial"/>
            <w:b w:val="0"/>
            <w:i/>
            <w:strike w:val="0"/>
            <w:noProof w:val="0"/>
            <w:color w:val="0077CC"/>
            <w:position w:val="0"/>
            <w:sz w:val="20"/>
            <w:u w:val="single"/>
            <w:vertAlign w:val="baseline"/>
          </w:rPr>
          <w:t>15 U.S.C. 7201(a)</w:t>
        </w:r>
      </w:hyperlink>
      <w:r>
        <w:rPr>
          <w:rFonts w:ascii="arial" w:eastAsia="arial" w:hAnsi="arial" w:cs="arial"/>
          <w:b w:val="0"/>
          <w:i w:val="0"/>
          <w:strike w:val="0"/>
          <w:noProof w:val="0"/>
          <w:color w:val="000000"/>
          <w:position w:val="0"/>
          <w:sz w:val="20"/>
          <w:u w:val="none"/>
          <w:vertAlign w:val="baseline"/>
        </w:rPr>
        <w:t xml:space="preserve">] defines the term "issuer" to mean an issuer (as defined in Section 3 of the Exchange Act [15 U.S.C. 78(c)]), the securities of which are registered under Section 12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 or that is required to file reports under Section 15(d) of the Exchange Act [</w:t>
      </w:r>
      <w:hyperlink r:id="rId43" w:history="1">
        <w:r>
          <w:rPr>
            <w:rFonts w:ascii="arial" w:eastAsia="arial" w:hAnsi="arial" w:cs="arial"/>
            <w:b w:val="0"/>
            <w:i/>
            <w:strike w:val="0"/>
            <w:noProof w:val="0"/>
            <w:color w:val="0077CC"/>
            <w:position w:val="0"/>
            <w:sz w:val="20"/>
            <w:u w:val="single"/>
            <w:vertAlign w:val="baseline"/>
          </w:rPr>
          <w:t>15 U.S.C. 78o(d)</w:t>
        </w:r>
      </w:hyperlink>
      <w:r>
        <w:rPr>
          <w:rFonts w:ascii="arial" w:eastAsia="arial" w:hAnsi="arial" w:cs="arial"/>
          <w:b w:val="0"/>
          <w:i w:val="0"/>
          <w:strike w:val="0"/>
          <w:noProof w:val="0"/>
          <w:color w:val="000000"/>
          <w:position w:val="0"/>
          <w:sz w:val="20"/>
          <w:u w:val="none"/>
          <w:vertAlign w:val="baseline"/>
        </w:rPr>
        <w:t>], or that files or has filed a registration statement that has not yet become effective under the Securities Act, and that it has not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exempts an EGC from the Sarbanes-Oxley Act Section 404(b) n43 auditor attestation on management's assessment of its internal controls.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44" w:history="1">
        <w:r>
          <w:rPr>
            <w:rFonts w:ascii="arial" w:eastAsia="arial" w:hAnsi="arial" w:cs="arial"/>
            <w:b w:val="0"/>
            <w:i/>
            <w:strike w:val="0"/>
            <w:noProof w:val="0"/>
            <w:color w:val="0077CC"/>
            <w:position w:val="0"/>
            <w:sz w:val="20"/>
            <w:u w:val="single"/>
            <w:vertAlign w:val="baseline"/>
          </w:rPr>
          <w:t>15 U.S.C. 7262(b)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In addition, Section 102 of the JOBS Act exempts EGCs from the "pay versus performance" proxy disclosure requirements of Section 14(i) of the Exchange Act and from the pay ratio disclosure requirements of Section 953(b) of the Dodd-Frank Wall Street Reform and Consumer Protection Act of 2010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1904 (2010). These exemptions are addressed in separate rulemakings, one that has been proposed (pay versus performance) and one that has been adopted (pay ratio). </w:t>
      </w:r>
      <w:r>
        <w:rPr>
          <w:rFonts w:ascii="arial" w:eastAsia="arial" w:hAnsi="arial" w:cs="arial"/>
          <w:b w:val="0"/>
          <w:i/>
          <w:strike w:val="0"/>
          <w:noProof w:val="0"/>
          <w:color w:val="000000"/>
          <w:position w:val="0"/>
          <w:sz w:val="20"/>
          <w:u w:val="none"/>
          <w:vertAlign w:val="baseline"/>
        </w:rPr>
        <w:t>See Pay Versus Performance,</w:t>
      </w:r>
      <w:r>
        <w:rPr>
          <w:rFonts w:ascii="arial" w:eastAsia="arial" w:hAnsi="arial" w:cs="arial"/>
          <w:b w:val="0"/>
          <w:i w:val="0"/>
          <w:strike w:val="0"/>
          <w:noProof w:val="0"/>
          <w:color w:val="000000"/>
          <w:position w:val="0"/>
          <w:sz w:val="20"/>
          <w:u w:val="none"/>
          <w:vertAlign w:val="baseline"/>
        </w:rPr>
        <w:t xml:space="preserve"> Release No. 34-74835 </w:t>
      </w:r>
      <w:hyperlink r:id="rId45" w:history="1">
        <w:r>
          <w:rPr>
            <w:rFonts w:ascii="arial" w:eastAsia="arial" w:hAnsi="arial" w:cs="arial"/>
            <w:b w:val="0"/>
            <w:i/>
            <w:strike w:val="0"/>
            <w:noProof w:val="0"/>
            <w:color w:val="0077CC"/>
            <w:position w:val="0"/>
            <w:sz w:val="20"/>
            <w:u w:val="single"/>
            <w:vertAlign w:val="baseline"/>
          </w:rPr>
          <w:t>[80 FR 26330]</w:t>
        </w:r>
      </w:hyperlink>
      <w:r>
        <w:rPr>
          <w:rFonts w:ascii="arial" w:eastAsia="arial" w:hAnsi="arial" w:cs="arial"/>
          <w:b w:val="0"/>
          <w:i w:val="0"/>
          <w:strike w:val="0"/>
          <w:noProof w:val="0"/>
          <w:color w:val="000000"/>
          <w:position w:val="0"/>
          <w:sz w:val="20"/>
          <w:u w:val="none"/>
          <w:vertAlign w:val="baseline"/>
        </w:rPr>
        <w:t xml:space="preserve"> (May 7, 2015) and </w:t>
      </w:r>
      <w:r>
        <w:rPr>
          <w:rFonts w:ascii="arial" w:eastAsia="arial" w:hAnsi="arial" w:cs="arial"/>
          <w:b w:val="0"/>
          <w:i/>
          <w:strike w:val="0"/>
          <w:noProof w:val="0"/>
          <w:color w:val="000000"/>
          <w:position w:val="0"/>
          <w:sz w:val="20"/>
          <w:u w:val="none"/>
          <w:vertAlign w:val="baseline"/>
        </w:rPr>
        <w:t>Pay Ratio Disclosure,</w:t>
      </w:r>
      <w:r>
        <w:rPr>
          <w:rFonts w:ascii="arial" w:eastAsia="arial" w:hAnsi="arial" w:cs="arial"/>
          <w:b w:val="0"/>
          <w:i w:val="0"/>
          <w:strike w:val="0"/>
          <w:noProof w:val="0"/>
          <w:color w:val="000000"/>
          <w:position w:val="0"/>
          <w:sz w:val="20"/>
          <w:u w:val="none"/>
          <w:vertAlign w:val="baseline"/>
        </w:rPr>
        <w:t xml:space="preserve"> Release No. 33-9877 </w:t>
      </w:r>
      <w:hyperlink r:id="rId46" w:history="1">
        <w:r>
          <w:rPr>
            <w:rFonts w:ascii="arial" w:eastAsia="arial" w:hAnsi="arial" w:cs="arial"/>
            <w:b w:val="0"/>
            <w:i/>
            <w:strike w:val="0"/>
            <w:noProof w:val="0"/>
            <w:color w:val="0077CC"/>
            <w:position w:val="0"/>
            <w:sz w:val="20"/>
            <w:u w:val="single"/>
            <w:vertAlign w:val="baseline"/>
          </w:rPr>
          <w:t>[80 FR 50104]</w:t>
        </w:r>
      </w:hyperlink>
      <w:r>
        <w:rPr>
          <w:rFonts w:ascii="arial" w:eastAsia="arial" w:hAnsi="arial" w:cs="arial"/>
          <w:b w:val="0"/>
          <w:i w:val="0"/>
          <w:strike w:val="0"/>
          <w:noProof w:val="0"/>
          <w:color w:val="000000"/>
          <w:position w:val="0"/>
          <w:sz w:val="20"/>
          <w:u w:val="none"/>
          <w:vertAlign w:val="baseline"/>
        </w:rPr>
        <w:t xml:space="preserve"> (Aug.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the Securities Act and Exchange Act included in Sections 102 and 103 of the JOBS Act are self-executing and became effective once that Act was signed into law. However, several of our rules and forms for registration under the Securities Act and the Exchange Act, as well as Exchange Act periodic and current reports,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currently do not reflect these JOBS Act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 of the JOBS Act also added new Securities Act Section 2(a)(19) and Exchange Act Section 3(a)(80) to define the term "emerging growth company." Pursuant to the statutory definition, the Commission is required every five years to index to inflation the annual gross revenue amount used to determine EGC status to reflect the change in the Consumer Price Index for All Urban Consumers ("CPI-U") published by the Bureau of Labor Statistics ("BLS"). n45 We are adopting amendments to our rules to define the term "emerging growth company" so as to reflect the inflation adjustment to the annual gross revenue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CPI-U is the statistical metric developed by the BLS to monitor the change in the price of a set list of products. The CPI-U represents changes in prices of all goods and services purchased for consumption by urban households.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"Consumer Price Index" available at </w:t>
      </w:r>
      <w:hyperlink r:id="rId47" w:history="1">
        <w:r>
          <w:rPr>
            <w:rFonts w:ascii="arial" w:eastAsia="arial" w:hAnsi="arial" w:cs="arial"/>
            <w:b w:val="0"/>
            <w:i/>
            <w:strike w:val="0"/>
            <w:noProof w:val="0"/>
            <w:color w:val="0077CC"/>
            <w:position w:val="0"/>
            <w:sz w:val="20"/>
            <w:u w:val="single"/>
            <w:vertAlign w:val="baseline"/>
          </w:rPr>
          <w:t>https://www.bls.gov/cpi/home.htm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of the JOBS Act also added new Securities Act Section 4(a)(6), n46 which provides an exemption from the registration requirements of Securities Act Section 5 n47 for certain crowdfunding transactions, and the Commission has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n48 to implement that exemption. Sections 4(a)(6) and 4A n49 of the Securities Act set forth dollar amounts used in connection with the crowdfunding exemption, and Section 4A(h)(1) n50 states that such dollar amounts shall be adjusted by the Commission not less frequently than once every five years to reflect the change in the CPI-U published by the BLS. Pursuant to this directive, we are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to adjust those dollar amounts for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48"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49"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29" w:history="1">
        <w:r>
          <w:rPr>
            <w:rFonts w:ascii="arial" w:eastAsia="arial" w:hAnsi="arial" w:cs="arial"/>
            <w:b w:val="0"/>
            <w:i/>
            <w:strike w:val="0"/>
            <w:noProof w:val="0"/>
            <w:color w:val="0077CC"/>
            <w:position w:val="0"/>
            <w:sz w:val="20"/>
            <w:u w:val="single"/>
            <w:vertAlign w:val="baseline"/>
          </w:rPr>
          <w:t>17 CFR 227.100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50" w:history="1">
        <w:r>
          <w:rPr>
            <w:rFonts w:ascii="arial" w:eastAsia="arial" w:hAnsi="arial" w:cs="arial"/>
            <w:b w:val="0"/>
            <w:i/>
            <w:strike w:val="0"/>
            <w:noProof w:val="0"/>
            <w:color w:val="0077CC"/>
            <w:position w:val="0"/>
            <w:sz w:val="20"/>
            <w:u w:val="single"/>
            <w:vertAlign w:val="baseline"/>
          </w:rPr>
          <w:t>15 U.S.C. 77d-1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50" w:history="1">
        <w:r>
          <w:rPr>
            <w:rFonts w:ascii="arial" w:eastAsia="arial" w:hAnsi="arial" w:cs="arial"/>
            <w:b w:val="0"/>
            <w:i/>
            <w:strike w:val="0"/>
            <w:noProof w:val="0"/>
            <w:color w:val="0077CC"/>
            <w:position w:val="0"/>
            <w:sz w:val="20"/>
            <w:u w:val="single"/>
            <w:vertAlign w:val="baseline"/>
          </w:rPr>
          <w:t>15 U.S.C. 77d-1(h)(1)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amendments are discussed in more detail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the JOBS Act Technical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Scaled Disclosure Requirements for Emerging Growth Companies' Financial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Securities Act Registration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102(b)(1) of the JOBS Act amended Section 7(a) of the Securities Act to provide that (1) an EGC is permitted to present only two years of audited financial statements in its IPO registration statement, and (2) in any Securities Act registration statement other than its IPO registration statement, an EGC need not present selected financial data n51 under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any period prior to the earliest audited period presented in its IPO registration statement. Under Rule 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issuers that are not smaller reporting companies are generally required to include three years of audited financial statements in a Securities Act registration statement. We are adopting amendments to Rule 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Form 20-F to </w:t>
      </w:r>
      <w:r>
        <w:rPr>
          <w:rFonts w:ascii="arial" w:eastAsia="arial" w:hAnsi="arial" w:cs="arial"/>
          <w:b/>
          <w:i w:val="0"/>
          <w:strike w:val="0"/>
          <w:noProof w:val="0"/>
          <w:color w:val="000000"/>
          <w:position w:val="0"/>
          <w:sz w:val="20"/>
          <w:u w:val="none"/>
          <w:vertAlign w:val="baseline"/>
        </w:rPr>
        <w:t> [*17547] </w:t>
      </w:r>
      <w:r>
        <w:rPr>
          <w:rFonts w:ascii="arial" w:eastAsia="arial" w:hAnsi="arial" w:cs="arial"/>
          <w:b w:val="0"/>
          <w:i w:val="0"/>
          <w:strike w:val="0"/>
          <w:noProof w:val="0"/>
          <w:color w:val="000000"/>
          <w:position w:val="0"/>
          <w:sz w:val="20"/>
          <w:u w:val="none"/>
          <w:vertAlign w:val="baseline"/>
        </w:rPr>
        <w:t xml:space="preserve"> conform them to amended Section 7(a) of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This information generally includes net sales or operating revenues; income (loss) from continuing operations; income (loss) from continuing operations per common share; total assets; long-term obligations and redeemable preferred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issuers that are not smaller reporting companies to include five years of selected financial data (or such shorter period as the issuer has been in existence) in any filing for which such disclosure is required. The language in amended Section 7(a) of the Securities Act refers to "any other" registration statement and does not expressly address the application of the five years of selected financial data requirement in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IPO registration statements filed by EGCs. n52 In light of the other relief provided in amended Section 7(a), which permits an EGC to present only two years of audited financial statements in its IPO registration statement and, in subsequent registered offerings, to present selected financial data for no period earlier than that presented in its IPO registration statement, we interpret amended Section 7(a) to mean that an EGC need not present selected financial data for any period prior to the earliest audited period presented in its IPO registration statement. n53 Otherwise, the intended relief of Section 7(a) with respect to selected financial data would not be available in an IPO registration statement, as it is with subsequent registration statements. Accordingly, we are adopting amendments to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reflect this statutory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 U.S.C. 77g(a)(2)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In 2012, the Division of Corporation Finance provided guidance on the JOBS Act, including that the Division would not object if an emerging growth company presenting two years of audited financial statements in its initial public offering registration statement in accordance with Securities Act Section 7(a)(2)(A) were to limit the number of years of selected financial data under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two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Frequently Asked Questions of General Applicability on Title I of the JOBS Act (Dec. 21, 2015 revised), Question 11, available at </w:t>
      </w:r>
      <w:hyperlink r:id="rId52" w:history="1">
        <w:r>
          <w:rPr>
            <w:rFonts w:ascii="arial" w:eastAsia="arial" w:hAnsi="arial" w:cs="arial"/>
            <w:b w:val="0"/>
            <w:i/>
            <w:strike w:val="0"/>
            <w:noProof w:val="0"/>
            <w:color w:val="0077CC"/>
            <w:position w:val="0"/>
            <w:sz w:val="20"/>
            <w:u w:val="single"/>
            <w:vertAlign w:val="baseline"/>
          </w:rPr>
          <w:t>http://www.sec.gov/divisions/corpfin/guidance/cfjjobsactfaq-title-i-general.htm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Registration Statements and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102(b)(2) of the JOBS Act amended Section 13(a) of the Exchange Act to provide that an EGC need not present selected financial data in an Exchange Act registration statement or periodic report for any period prior to the earliest audited period presented in the EGC's first effective registration statement under either the Exchange Act or Securities Act. We are adopting amendments to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conform that provision to amended Section 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MD&amp;A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102(c) of the JOBS Act provides that an EGC is permitted to comply with the MD&amp;A requirements of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by providing disclosure covering only the audited financial statements for each period that Section 7(a) of the Securities Act requires to be presented in its IPO registration statement.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generally requires an issuer to discuss, among other things, the company's financial condition, changes in financial condition and results of operations for the previous three fiscal years and any interim periods. To conform the Item to Section 102(c), we are adopting amendments to Instruction 1 to Item 303(a). The amendments specify that if an EGC, pursuant to Section 7(a) of the Securities Act, provides audited financial statements for two years in a Securities Act registration statement for the initial public offering of its common equity securities, it may provide the discussion required by Item 303(a) for its two most recent fiscal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Auditor Attestation of Management's Report on Internal Control Over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the JOBS Act amended Section 404(b) of the Sarbanes-Oxley Act to provide that the auditor of an EGC does not need to attest to, and report on, management's assessment of the effectiveness of the EGC's internal control over financial reporting ("ICFR"). An EGC, however, is still required to establish and maintain internal control over financial reporting and, when applicable, to include a management's report on ICFR in its annual report. To conform our rules and forms to amended Section 404(b), we are adopting amendments to Article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Item 308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Forms 20-F and 40-F to specify that the auditor of an EGC does not need to attest to, and report on, management's report on ICFR and that management does not need to include the auditor's attestation report on ICFR in an annual report required by Section 13(a) or 15(d)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Compensation Disclosure and Shareholder Advisory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102(c) of the JOBS Act provides in part that an EGC shall only be required to provide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the same extent as a registrant "with a market value of outstanding voting and nonvoting common equity held by non-affiliates of less than $ 75,000,000." Item 402(l)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allows an issuer that is a smaller reporting company to provide the scaled executive compensation disclosures set forth in Items 402(m)-(r)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conform this Item to Section 102(c), we are amending Item 402(l)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specify that EGCs also are permitted to provide the scaled executive compensation disclosure in Items 402(m)-(r)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Rule 14a-21 requires registrants to conduct shareholder advisory votes on say-on-pay, say-on-frequency and golden parachute compensation arrangements with any "named executive officers." n54 The rule applies to all registrants making a solicitation in connection with a meeting of shareholders at which directors are to be elected and for which compensation disclosure is required to be provided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to registrants making a solicitation in connection with a meeting at which shareholders are asked to approve a merger, acquisition or sale of all or substantially all of the assets of an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4" w:history="1">
        <w:r>
          <w:rPr>
            <w:rFonts w:ascii="arial" w:eastAsia="arial" w:hAnsi="arial" w:cs="arial"/>
            <w:b w:val="0"/>
            <w:i/>
            <w:strike w:val="0"/>
            <w:noProof w:val="0"/>
            <w:color w:val="0077CC"/>
            <w:position w:val="0"/>
            <w:sz w:val="20"/>
            <w:u w:val="single"/>
            <w:vertAlign w:val="baseline"/>
          </w:rPr>
          <w:t>17 CFR 229.402(a)(3)</w:t>
        </w:r>
      </w:hyperlink>
      <w:r>
        <w:rPr>
          <w:rFonts w:ascii="arial" w:eastAsia="arial" w:hAnsi="arial" w:cs="arial"/>
          <w:b w:val="0"/>
          <w:i w:val="0"/>
          <w:strike w:val="0"/>
          <w:noProof w:val="0"/>
          <w:color w:val="000000"/>
          <w:position w:val="0"/>
          <w:sz w:val="20"/>
          <w:u w:val="none"/>
          <w:vertAlign w:val="baseline"/>
        </w:rPr>
        <w:t>] defines named executive officers as (1) all individuals serving as the registrant's principal executive officer or acting in a similar capacity during the last completed fiscal year ("PEO"), regardless of compensation level, (2) all individuals serving as the registrant's principal financial officer or acting in a similar capacity during the last completed fiscal year ("PFO"), regardless of compensation level, (3) the registrant's three most highly compensated executive officers other than the PEO and PFO who were serving as executive officers at the end of the last completed fiscal year, and (4) up to two additional individuals for whom Item 402 disclosure would have been provided but for the fact that the individual was not serving as an executive officer of the registrant at the end of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102(a) of the JOBS Act amended Section 14A(e) of the Exchange Act to exempt EGCs from say-on-pay, say-on-frequency votes, golden parachute compensation votes and the related disclosure provisions. We are adopting conforming amendments to Exchange Act Rule 14a-21 and Item 402(t) and Instruction 1 to Item 1011(b)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specify that an EGC is not required to conduct shareholder advisory votes on say-on-pay, say-on-frequency, and golden parachute compensation, or provide the related disclosures. In addition, Section 102(a) of the JOBS Act amended Section 14A of the Exchange Act to provide for a transition period when an EGC exits EGC status before it has to seek a shareholder advisory vote on say-on-pay. We are adding a new instruction to Rule 14a-21 to reflect the transition period set forth in the JOBS Act. </w:t>
      </w:r>
      <w:r>
        <w:rPr>
          <w:rFonts w:ascii="arial" w:eastAsia="arial" w:hAnsi="arial" w:cs="arial"/>
          <w:b/>
          <w:i w:val="0"/>
          <w:strike w:val="0"/>
          <w:noProof w:val="0"/>
          <w:color w:val="000000"/>
          <w:position w:val="0"/>
          <w:sz w:val="20"/>
          <w:u w:val="none"/>
          <w:vertAlign w:val="baseline"/>
        </w:rPr>
        <w:t> [*17548]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"emerging growth company" in Section 101(a) of the JOBS Act applies to any company meeting the criteria specified therein and is not dependent on the jurisdiction of incorporation or organization, the holders of the issuer's voting securities or that of its executive officers or directors, assets or business operations. Accordingly, a foreign private issuer n55 that qualifies as an EGC may comply with the scaled disclosure provisions available to EGCs to the same extent as a domestic issuer. Sections 102 and 103 of the JOBS Act, however, refer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provisions that apply to domestic issuers, whereas the corresponding disclosure requirements for foreign private issuers are applied through the disclosure content of Form 20-F or, where applicable, Form 40-F. Under Item 8.A. of Form 20-F, a foreign private issuer is generally required to include three years of audited financial statements. In addition, Item 3.A. generally requires a foreign private issuer to include five years of selected financial data. To conform the disclosure requirements of Form 20-F with the disclosure relief provided under the JOBS Act, n56 we are amending the form to add instructions to Items 8.A. n57 and 3.A. to reflect the availability of the scaled financial disclosure requirements under Sections 102 and 103 of the JOBS Act to a foreign private issuer that is an EGC. n58 We are making revisions to Form 40-F to reflect the availability of the scaled financial disclosure requirements under Section 103 of the JOBS Act to a foreign private issuer that is an EGC.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and Exchange Act Rule 3b-4(c) [</w:t>
      </w:r>
      <w:hyperlink r:id="rId53" w:history="1">
        <w:r>
          <w:rPr>
            <w:rFonts w:ascii="arial" w:eastAsia="arial" w:hAnsi="arial" w:cs="arial"/>
            <w:b w:val="0"/>
            <w:i/>
            <w:strike w:val="0"/>
            <w:noProof w:val="0"/>
            <w:color w:val="0077CC"/>
            <w:position w:val="0"/>
            <w:sz w:val="20"/>
            <w:u w:val="single"/>
            <w:vertAlign w:val="baseline"/>
          </w:rPr>
          <w:t>17 CFR 240.3b-4(c)</w:t>
        </w:r>
      </w:hyperlink>
      <w:r>
        <w:rPr>
          <w:rFonts w:ascii="arial" w:eastAsia="arial" w:hAnsi="arial" w:cs="arial"/>
          <w:b w:val="0"/>
          <w:i w:val="0"/>
          <w:strike w:val="0"/>
          <w:noProof w:val="0"/>
          <w:color w:val="000000"/>
          <w:position w:val="0"/>
          <w:sz w:val="20"/>
          <w:u w:val="none"/>
          <w:vertAlign w:val="baseline"/>
        </w:rPr>
        <w:t>] define the term "foreign private issuer" as any foreign issuer other than a foreign government except for an issuer meeting the following conditions as of the last business day of its most recently completed second fiscal quarter: (1) More than 50 percent of the issuer's outstanding voting securities are directly or indirectly held of record by residents of the United States; and (2) either the majority of the executive officers or directors are United States citizens or residents, more than 50 percent of the assets of the issuer are located in the United States, or the business of the issuer is administered principally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Form 20-F does not require the same level of detail about individual executive compensation and compensation philosophy and analysis as required by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applicable to issuers that are not smaller reporting companies or the scaled requirements in Items 402(m)-(r) applicable to smaller reporting companies. Accordingly, no conforming amendments to Form 20-F are needed in regard to Section 102(c)'s scaled executive compensation disclosure requirements. To the extent that a foreign private issuer that is an EGC elects to use forms available to domestic issuers rather than the foreign private issuer forms, it would be able to use the scaled disclosure provisions available to EGCs.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These amendments do not affect the requirement for a foreign private issuer that is either a first-time adopter of International Financial Reporting Standards or is subject to the disclosure requirements of paragraph 10(f) of IAS 1, to provide three statements of financial position in its IPO registration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Frequently Asked Questions of General Applicability on Title I of the JOBS Act (Dec. 21, 2015 revised), Question 39, available at </w:t>
      </w:r>
      <w:hyperlink r:id="rId52" w:history="1">
        <w:r>
          <w:rPr>
            <w:rFonts w:ascii="arial" w:eastAsia="arial" w:hAnsi="arial" w:cs="arial"/>
            <w:b w:val="0"/>
            <w:i/>
            <w:strike w:val="0"/>
            <w:noProof w:val="0"/>
            <w:color w:val="0077CC"/>
            <w:position w:val="0"/>
            <w:sz w:val="20"/>
            <w:u w:val="single"/>
            <w:vertAlign w:val="baseline"/>
          </w:rPr>
          <w:t>http://www.sec.gov/divisions/corpfin/guidance/cfjjobsactfaq-title-i-general.htm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No conforming amendment is needed to Item 5 of Form 20-F (Operating and Financial Review and Prospects), which requires a discussion of a foreign private issuer's financial statements similar to MD&amp;A, because Instruction 2 to Item 5 requires a discussion of the primary financial statements presented in the document without referring to the required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"Check Box" Notice of EGC Status and Compliance With New or Revised Accounting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102(b) of the JOBS Act amended Section 7(a)(2)(B) of the Securities Act and Section 13(a) of the Exchange Act to state that an EGC "may not be required to comply with any new or revised financial accounting standard" until such standard is applicable to companies that are not "issuers" under Section 2(a) of the Sarbanes-Oxley Act, if such standard applies to companies that are not issuers. These revisions provide EGCs with additional time to apply any updates to the Financial Accounting Standards Board ("FASB") Accounting Standards codification as compared to non-EGC issuers.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In July 2009, the Financial Accounting Standards Board issued the FASB Accounting Standards Codification ("ASC") as the single source of authoritative nongovernmental U.S. generally accepted accounting principles. The ASC was effective for annual periods ending after September 15, 2009. All preexisting accounting standards were superseded.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107 of the JOBS Act, an EGC may forgo any of the Title I disclosure exemptions and instead comply with the requirements that apply to an issuer that is not an EGC. Section 107(b), however, provides that if an EGC opts out of the extended transition period for complying with new or revised accounting standards, it must do so at the time it is "first required to file a registration statement, periodic report, or other report with the Commission under Section 13 of the Securities Exchange Act of 1934" and notify the Commission of its choice. n60 Pursuant to Section 107, an EGC that opts out of the extended transition period must comply with all new or revised accounting standards to the same extent that a non-EGC is required to comply with such standards and continue to do so for as long as the issuer remains an EGC. n61 This election is irrevocable.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107(b) does not specify where the opt-out notice language should appear in a registration statement or report. EGCs that have opted out of the extended transition period have placed this notice in different parts of our disclosure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107(b)(3) of the JOBS Act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uniform method for an EGC to notify the Commission and the public pursuant to Section 107 of the JOBS Act that it is an EGC and of its decision as to whether or not to opt out of the extended transition period for complying with new or revised accounting standards, we are adopting minor revisions to Securities Act Forms S-1, S-3, S-4, S-8, S-11, F-1, F-3 and F-4 and Exchange Act Forms 10, 8-K, 10-Q, 10-K, 20-F and 40-F. These amendments modify the cover page of those forms to include two check boxes for an issuer to indicate whether, at the time of the filing, the issuer is an EGC and whether it has elected not to use the extended transition period for complying with any new or revised financial accounting standards provided pursuant to Section 7(a)(2)(B) of the Securities Act and Section 13(a) of the Exchange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Amendments To Effectuate Inflation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"Emerging Growth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JOBS Act Section 101 amended Section 2(a)(19) of the Securities Act and Section 3(a)(80) of the Exchange Act to define "emerging growth company" to mean an issuer that had total annual gross revenues of less than $ 1 billion, as such amount is indexed for inflation every five years by the Commission to reflect the change in the CPI-U during its most recently completed fiscal year. By statute, the adjusted threshold must be set to the nearest $ 1,000,000. Pursuant to this directive, we are adopting an amendment to Securities Act Rule 405 and to Exchange Act Rule 12b-2 to include a definition for the term "emerging growth company" that indexes the statutory annual gross revenues amount to the CPI-U.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new EGC gross revenue threshold to be included in the amendments, first we determine the appropriate CPI-U for December of the calendar year preceding the year of adjustment. Because we are making the inflation adjustment for the definition of EGC in 2017, we use the CPI-U for December 2016, which was 241.432 ("2016 CPI-U"). n62 We then determine the CPI-U for December of the calendar </w:t>
      </w:r>
      <w:r>
        <w:rPr>
          <w:rFonts w:ascii="arial" w:eastAsia="arial" w:hAnsi="arial" w:cs="arial"/>
          <w:b/>
          <w:i w:val="0"/>
          <w:strike w:val="0"/>
          <w:noProof w:val="0"/>
          <w:color w:val="000000"/>
          <w:position w:val="0"/>
          <w:sz w:val="20"/>
          <w:u w:val="none"/>
          <w:vertAlign w:val="baseline"/>
        </w:rPr>
        <w:t> [*17549] </w:t>
      </w:r>
      <w:r>
        <w:rPr>
          <w:rFonts w:ascii="arial" w:eastAsia="arial" w:hAnsi="arial" w:cs="arial"/>
          <w:b w:val="0"/>
          <w:i w:val="0"/>
          <w:strike w:val="0"/>
          <w:noProof w:val="0"/>
          <w:color w:val="000000"/>
          <w:position w:val="0"/>
          <w:sz w:val="20"/>
          <w:u w:val="none"/>
          <w:vertAlign w:val="baseline"/>
        </w:rPr>
        <w:t xml:space="preserve"> year before the EGC definition was established by the JOBS Act, which was 2011. We thus use the CPI-U for December 2011, which was 225.672 ("2011 CPI-U").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JOBS Act was enacted on April 5, 2012. Under the definition of an EGC in Section 2(a)(19) of the Securities Act and Section 3(a)(80) of the Exchange Act the Commission is required to adjust the total gross revenue amount to inflation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calculate the cost-of-living adjustment or inflation factor. To do this we divide the 2016 CPI-U by the 2011 CPI-U. The resulting inflation factor is 1.06984.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calculate the raw inflation adjustment, which is the inflation adjustment before rounding. To do this, we multiply the current EGC gross revenue threshold, $ 1,000,000,000, by the inflation factor 1.06984, which equals $ 1,069,840,000.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round the raw inflation amounts according to the convention set forth in the statutory definition. n63 Since we round only the increase amount, we calculate the increased amount by subtracting the current EGC gross revenue threshold from the raw maximum inflation adjustments. Accordingly, the increase in the EGC gross revenue threshold is $ 69,840,000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$ 1,069,840,000 less $ 1,000,000,000). Under the statutory rounding convention, the threshold is set to the nearest $ 1,000,000. Therefore, the rounded increase in the EGC gross revenue threshold is $ 70,000,000.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2(a)(19) of the Securities Act and Section 3(a)(80) of the Exchange Act, which require the amount to be set to the nearest $ 1,000,000.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we add the rounded increase to the current EGC revenue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$ 1,000,000,000). The inflation-adjusted EGC gross revenue threshold is $ 1,000,000,000 plus $ 70,000,000, which yields a maximum inflation-adjusted EGC revenue threshold of $ 1,070,000,000. The "emerging growth company" definitions being adopted in Securities Act Rule 405 and Exchange Act Rule 12b-2 reflect this adjusted threshold, and will henceforth be amended every five years to account for future inflation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Crowdfunding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of the JOBS Act amended the Securities Act to add Section 4(a)(6), which provides an exemption from the registration requirements of Section 5 of the Securities Act for certain crowdfunding transactions. The Commission has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to implement that exemption. n64 Sections 4(a)(6) and 4A of the Securities Act set forth dollar amounts used in connection with the crowdfunding exemption, n65 and Section 4A(h)(1) n66 states that those dollar amounts shall be adjusted by the Commission not less frequently than once every five years to reflect any changes in the CPI-U. Pursuant to this directive, we are amending Rules 100 and 201(t)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Securities Act Form C to adjust the dollar amounts set forth in these rules to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Crowdfunding,</w:t>
      </w:r>
      <w:r>
        <w:rPr>
          <w:rFonts w:ascii="arial" w:eastAsia="arial" w:hAnsi="arial" w:cs="arial"/>
          <w:b w:val="0"/>
          <w:i w:val="0"/>
          <w:strike w:val="0"/>
          <w:noProof w:val="0"/>
          <w:color w:val="000000"/>
          <w:position w:val="0"/>
          <w:sz w:val="20"/>
          <w:u w:val="none"/>
          <w:vertAlign w:val="baseline"/>
        </w:rPr>
        <w:t xml:space="preserve"> Release No. 33-9974 (Oct. 30, 2015) </w:t>
      </w:r>
      <w:hyperlink r:id="rId54" w:history="1">
        <w:r>
          <w:rPr>
            <w:rFonts w:ascii="arial" w:eastAsia="arial" w:hAnsi="arial" w:cs="arial"/>
            <w:b w:val="0"/>
            <w:i/>
            <w:strike w:val="0"/>
            <w:noProof w:val="0"/>
            <w:color w:val="0077CC"/>
            <w:position w:val="0"/>
            <w:sz w:val="20"/>
            <w:u w:val="single"/>
            <w:vertAlign w:val="baseline"/>
          </w:rPr>
          <w:t>[80 FR 71388].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Section 4(a)(6)(A) sets forth the maximum amount an issuer may sell in reliance on the crowdfunding exemption in a 12-month period, and Section 4(a)(6)(B) sets limits on the dollar amount that may be sold to any investor by an issuer in reliance on the crowdfunding exemption. These amounts are reflected in Rule 100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t>
      </w:r>
      <w:hyperlink r:id="rId29" w:history="1">
        <w:r>
          <w:rPr>
            <w:rFonts w:ascii="arial" w:eastAsia="arial" w:hAnsi="arial" w:cs="arial"/>
            <w:b w:val="0"/>
            <w:i/>
            <w:strike w:val="0"/>
            <w:noProof w:val="0"/>
            <w:color w:val="0077CC"/>
            <w:position w:val="0"/>
            <w:sz w:val="20"/>
            <w:u w:val="single"/>
            <w:vertAlign w:val="baseline"/>
          </w:rPr>
          <w:t>17 CFR 227.100</w:t>
        </w:r>
      </w:hyperlink>
      <w:r>
        <w:rPr>
          <w:rFonts w:ascii="arial" w:eastAsia="arial" w:hAnsi="arial" w:cs="arial"/>
          <w:b w:val="0"/>
          <w:i w:val="0"/>
          <w:strike w:val="0"/>
          <w:noProof w:val="0"/>
          <w:color w:val="000000"/>
          <w:position w:val="0"/>
          <w:sz w:val="20"/>
          <w:u w:val="none"/>
          <w:vertAlign w:val="baseline"/>
        </w:rPr>
        <w:t xml:space="preserve">). Section 4A(b)(1)(D) sets forth thresholds for determining the level of financial statements required, and those thresholds are reflected in Rule 201(t)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t>
      </w:r>
      <w:hyperlink r:id="rId30" w:history="1">
        <w:r>
          <w:rPr>
            <w:rFonts w:ascii="arial" w:eastAsia="arial" w:hAnsi="arial" w:cs="arial"/>
            <w:b w:val="0"/>
            <w:i/>
            <w:strike w:val="0"/>
            <w:noProof w:val="0"/>
            <w:color w:val="0077CC"/>
            <w:position w:val="0"/>
            <w:sz w:val="20"/>
            <w:u w:val="single"/>
            <w:vertAlign w:val="baseline"/>
          </w:rPr>
          <w:t>17 CFR 227.201(t)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50" w:history="1">
        <w:r>
          <w:rPr>
            <w:rFonts w:ascii="arial" w:eastAsia="arial" w:hAnsi="arial" w:cs="arial"/>
            <w:b w:val="0"/>
            <w:i/>
            <w:strike w:val="0"/>
            <w:noProof w:val="0"/>
            <w:color w:val="0077CC"/>
            <w:position w:val="0"/>
            <w:sz w:val="20"/>
            <w:u w:val="single"/>
            <w:vertAlign w:val="baseline"/>
          </w:rPr>
          <w:t>15 U.S.C. 77d-1(h)(1)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adjusted dollar amounts, we use the same process as described above in connection with the EGC adjustment to determine the raw inflation amounts. n67 Then we round up the raw inflation amounts to the nearest $ 100 for amounts under $ 100,000 and to the nearest $ 1,000 for amounts that equal or exceed $ 100,000. Tables 1 and 2 show the inflation-adjusted amounts for Rules 100 and 201(t).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2016 CPI-U is divided by the 2011 CPI-U to derive the inflation factor of 1.06984. Each dollar amount is then multiplied by the inflation factor to determine the raw inflation adjusted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We have reflected the adjusted amounts for the financial statement thresholds where those are referenced in Question 29 of the "Optional Question &amp; Answer Format" portion of Form 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1--Inflation-Adjusted Amounts in Rule 100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Maximum and Investment Limits)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aggregate amount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issuer can sell under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Crowdfunding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12-month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100(a)(1))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for assessing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annual income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net worth to determine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limits (Rule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100(a)(2)(i) and (ii))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threshold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Crowdfunding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permitted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sold to an investor if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income or net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worth is less than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$ 107,000 (Rule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100(a)(2)(i))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amount that can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sold to an investor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Crowdfunding in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period (Rule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100(a)(2)(ii))</w:t>
            </w:r>
          </w:p>
        </w:tc>
        <w:tc>
          <w:tcPr>
            <w:tcW w:w="3120" w:type="dxa"/>
            <w:tcBorders>
              <w:right w:val="nil"/>
            </w:tcBorders>
          </w:tcP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2--Inflation-Adjusted Amounts in Rule 201(t)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(Financial Statement Requirements)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201(t)(1)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201(t)(2)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535,000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201(t)(3)</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[*17550]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and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Procedure Act ("APA") generally requires an agency to publish notice of a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provide an opportunity for public comment. This requirement does not apply, however, if the agency "for good cause finds . . . that notice and public procedure are impracticable, unnecessary, or contrary to the public interest."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5 U.S.C. 553(b)(3)(B)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amendments and the implementation of statutory inflation adjustments pursuant to Title I and Title III of the JOBS Act do not impose any new substantive regulatory requirements on any person. The technical amendments merely conform our rules and forms to the provisions of the JOBS Act, or reflect reasonable interpretations thereof, and involve the exercise of minimal discretion. Similarly, the amendments to implement the statutory inflation adjustments will effectuate the adjusted dollar amount thresholds mandated by the JOBS Act and involve minimal discretion. For these reasons, for good cause, we find that it is unnecessary to publish notice of these amendments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thereon.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This finding also satisfies the requirements of </w:t>
      </w:r>
      <w:hyperlink r:id="rId55" w:history="1">
        <w:r>
          <w:rPr>
            <w:rFonts w:ascii="arial" w:eastAsia="arial" w:hAnsi="arial" w:cs="arial"/>
            <w:b w:val="0"/>
            <w:i/>
            <w:strike w:val="0"/>
            <w:noProof w:val="0"/>
            <w:color w:val="0077CC"/>
            <w:position w:val="0"/>
            <w:sz w:val="20"/>
            <w:u w:val="single"/>
            <w:vertAlign w:val="baseline"/>
          </w:rPr>
          <w:t>5 U.S.C. 808(2)</w:t>
        </w:r>
      </w:hyperlink>
      <w:r>
        <w:rPr>
          <w:rFonts w:ascii="arial" w:eastAsia="arial" w:hAnsi="arial" w:cs="arial"/>
          <w:b w:val="0"/>
          <w:i w:val="0"/>
          <w:strike w:val="0"/>
          <w:noProof w:val="0"/>
          <w:color w:val="000000"/>
          <w:position w:val="0"/>
          <w:sz w:val="20"/>
          <w:u w:val="none"/>
          <w:vertAlign w:val="baseline"/>
        </w:rPr>
        <w:t xml:space="preserve">, allowing the amendments to become effective notwithstanding the requirement of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(if a federal agency finds that notice and public comment are impractical, unnecessary or contrary to the public interest, a rule shall take effect at such time as the federal agency promulgating the rule determines). The amendments also do not require analysis under the Regulatory Flexibility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604(a)</w:t>
      </w:r>
      <w:r>
        <w:rPr>
          <w:rFonts w:ascii="arial" w:eastAsia="arial" w:hAnsi="arial" w:cs="arial"/>
          <w:b w:val="0"/>
          <w:i w:val="0"/>
          <w:strike w:val="0"/>
          <w:noProof w:val="0"/>
          <w:color w:val="000000"/>
          <w:position w:val="0"/>
          <w:sz w:val="20"/>
          <w:u w:val="none"/>
          <w:vertAlign w:val="baseline"/>
        </w:rPr>
        <w:t xml:space="preserve"> (requiring a final regulatory flexibility analysis only for rules required by the APA or other law to undergo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although the APA generally requires publication of a rule at least 30 days before its effective date, we find there is good cause for the amendments to take effect on April 12, 2017.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of the provisions of these amendments,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of the costs imposed by, and the benefits to be obtained from, our rules. Section 2(b) of the Securities Act and Section 3(f) of the Exchange Act require the Commission, whenever it engages in rulemaking and is required to consider or determine whether an action is necessary or appropriate in the public interest, to consider, in addition to the protection of investors, whether the action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n72 In addition, Section 23(a)(2) of the Exchange Act requires the Commission, when making rules under the Exchange Act, to consider the impact such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n73 Section 23(a)(2) of the Exchange Act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n74 Below we address the costs and benefits, as well as the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of the various amendments being adopted in this release. Because the amendments merely make conforming changes to our rules and forms to reflect certain provisions of the JOBS Act and implement the statutory inflation adjustments mandated by the JOBS Act, we do not believe there are reasonable alternatives to the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Discussion of the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technical amendments to conform several of our rules and forms to amendments made to the Securities Act and the Exchange Act by Title I of the JOBS Act. For the purposes of analyzing the economic effects of these amendments, we use as a baseline the scaled disclosure requirements and other accommodations applicable to EGCs discussed in Section II. These amendments merely make conforming changes to our rules and forms to reflect certain provisions of the JOBS Act. As a result, these amendments will not substantially alter the costs and benefits, relative to the baseline, associated with complying with these rules and forms, and do not impose any substantive regulatory obligations on any person or otherwise. To the extent they have an economic effect, we expect the amendments will help to minimize potential confusion concerning any inconsistencies between the statutory provisions of the JOBS Act and our rules and forms and could result in some marginal cost savings to the extent that filers have fewer questions to research when completing the form. Similarly, we do not anticipate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or disadvantages will be created as a result of the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the Amendments to Effectuate Inflation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inflation adjustments required under the JOBS Act, we are also adopting new rules that include an inflation-adjusted threshold in the definition of the term "emerging growth company." These amendments adjust the total annual gross revenue threshold for EGCs in accordance with inflation as required by the JOBS Act and have no impact on disclosure or compliance costs per filer. As the number of eligible filers that may qualify for scaled disclosure increases, it may reduce disclosure costs in the aggregate, n75 to the extent that eligible filers take advantage of the EGC accommodations, relative to a baseline without this inflation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See Section II.A for a summary of scaled disclosure requirements for EGCs.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inflation adjustment affects both domestic issuers and foreign private issuers. We estimate that there are approximately 7,200 issuers that file on domestic forms and 800 foreign private issuers that file on F-forms, of which 13.2% of issuers that file on domestic forms and 15.1% of foreign private issuers that file on Forms 20-F and 40-F also identified themselves as EGCs in filings made in 2016. Not all EGCs self-identify as such every year, so annual filings-based counts likely underestimate the EGC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inflation adjustment to the total annual gross revenue threshold for EGCs is designed to maintain the scope of registrants that may qualify as an EGC, preserving the economic effects associated with the option to claim EGC status. It does so by not allowing the level of revenue, in real terms, that determines the eligibility for EGC status to be diminished by inflation. The inflation adjustment amendment may marginally expand the number of firms that may claim EGC status, thus extending the economic effects, including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associated with the option to claim this status to firms that fall between the $ 1,000,000,000 gross revenue threshold that previously determined EGC eligibility and the $ 1,070,000,000 gross revenue threshold that will define EGC eligibility under the amendment. Assuming that the number of domestic and foreign private issuers in calendar years subsequent to adoption of the amendments is similar to that obtained in calendar year 2016, the inflation adjustment of the EGC revenue </w:t>
      </w:r>
      <w:r>
        <w:rPr>
          <w:rFonts w:ascii="arial" w:eastAsia="arial" w:hAnsi="arial" w:cs="arial"/>
          <w:b/>
          <w:i w:val="0"/>
          <w:strike w:val="0"/>
          <w:noProof w:val="0"/>
          <w:color w:val="000000"/>
          <w:position w:val="0"/>
          <w:sz w:val="20"/>
          <w:u w:val="none"/>
          <w:vertAlign w:val="baseline"/>
        </w:rPr>
        <w:t> [*17551] </w:t>
      </w:r>
      <w:r>
        <w:rPr>
          <w:rFonts w:ascii="arial" w:eastAsia="arial" w:hAnsi="arial" w:cs="arial"/>
          <w:b w:val="0"/>
          <w:i w:val="0"/>
          <w:strike w:val="0"/>
          <w:noProof w:val="0"/>
          <w:color w:val="000000"/>
          <w:position w:val="0"/>
          <w:sz w:val="20"/>
          <w:u w:val="none"/>
          <w:vertAlign w:val="baseline"/>
        </w:rPr>
        <w:t xml:space="preserve"> threshold would increase the percentage of domestic issuers that qualify as EGCs from 13.2% to approximately 13.8% and foreign private issuers that qualify as EGCs from 15.1% to approximately 16.3% on the basis of the distribution of revenues of filers in calendar year 2016, where data is available.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number of domestic filers and foreign private issuers affected by the inflation adjustment of total annual gross revenues is estimated as the number of unique companies, identified by Central Index Key (CIK), that filed Form 10-K, Form 20-F, or Form 40-F with the Commission during the calendar year 2016. The number of filers that identify themselves as EGCs is estimated by analyzing several types of filings filed with the Commission during calendar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analyzing the economic effects of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we use as our baseline the regulatory framework established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as adopted in 2015. n77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adjust the thresholds in Rules 100 and 201(t)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 227.100 and 227.201(t)) in accordance with inflation as required by Section 4A(h) of the Securities Act and are not expected to increase disclosure or compliance costs incurred by an issuer, to the extent that the issuer remains subject to the same financial statement requirements. The adjustment may cause some issuers to become subject to less extensive financial statement requirements, and may lower disclosure or compliance costs for these issuers.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Crowdfunding</w:t>
      </w:r>
      <w:r>
        <w:rPr>
          <w:rFonts w:ascii="arial" w:eastAsia="arial" w:hAnsi="arial" w:cs="arial"/>
          <w:b w:val="0"/>
          <w:i w:val="0"/>
          <w:strike w:val="0"/>
          <w:noProof w:val="0"/>
          <w:color w:val="000000"/>
          <w:position w:val="0"/>
          <w:sz w:val="20"/>
          <w:u w:val="none"/>
          <w:vertAlign w:val="baseline"/>
        </w:rPr>
        <w:t xml:space="preserve"> supra note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inflation adjustment to the thresholds in Rules 100 and 201(t) is intended to allow these thresholds to keep pace with inflation, preserving the economic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in real terms. n79 For example, the inflation adjustments to the financial statement thresholds ensure that issuers can take advantage of the inflation-adjusted offering amounts without incurring a fixed cost of complying with additional financial statement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Substantively, the inflation adjustments to Rule 100 and Rule 201(t) marginally affect the amount of capital that issuers may raise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the number of investors who may participate in crowdfunding offerings, and the amounts that investors may invest in crowdfunding offerings.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believe the substantive impact of these amendments to our rules and forms is likely to be marginal, we do not believe they will substantially impact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including those to effect the statutory inflation adjustments, do not make any substantive modifications to any existing collection of information requirements or impose any new substantive recordkeeping or information collection requirements within the meaning of the Paperwork Reduction Act of 1995 ("PRA"). n80 Accordingly, we are not revising any burden and cost estimates in connection with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5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new check boxes that will appear on the cover page of affected Exchange Act forms and Securities Act registration statements will result in an incremental paperwork burden for EGCs; however, we believe that the incremental burden associated with checking one or both of the new boxes will be so minimal that it will not affect the overall burden estimates associated with these forms. Similarly, the amendments to reflect the statutory inflation adjustments to certain dollar amount thresholds in Titles I and III of the JOBS Act will have only marginal effects on the application of these thresholds for eligibility and reporting purposes and therefore are not expected to affect the overall burden estimates for affected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VI.C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contained in this release are being adopted under the authority set forth in in Sections 2, 4(a)(6), 4A, 5, 6, 7, 10, and 19 of the Securities Act; Sections 3, 12, 13, 14, 15(d), and 23(a) of the Exchange Act; and Sections 102, 103 and 107 of the JOBS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Accountants, Accounting,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227, 229, 230, 239, 240 and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Text of the Final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Commission is amending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9"/>
        </w:numPr>
        <w:spacing w:before="120" w:line="240" w:lineRule="atLeast"/>
      </w:pPr>
      <w:r>
        <w:rPr>
          <w:b/>
          <w:i w:val="0"/>
          <w:sz w:val="20"/>
        </w:rPr>
        <w:t xml:space="preserve"> AND REQUIREMENTS FOR FINANCIAL STATEMENTS, SECURITIES ACT OF 1933, SECURITIES EXCHANGE ACT OF 1934, PUBLIC UTILITY HOLDING COMPANY ACT OF 1935, INVESTMENT COMPANY ACT OF 1940, INVESTMENT ADVISERS ACT OF 1940, AND ENERGY POLICY AND CONSERVATION ACT OF 1975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77nn(25), 77nn(26), </w:t>
      </w:r>
      <w:hyperlink r:id="rId39"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78mm</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80a-8</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80a-20</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80a-30</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80a-31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7202</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7262</w:t>
        </w:r>
      </w:hyperlink>
      <w:r>
        <w:rPr>
          <w:rFonts w:ascii="arial" w:eastAsia="arial" w:hAnsi="arial" w:cs="arial"/>
          <w:b w:val="0"/>
          <w:i w:val="0"/>
          <w:strike w:val="0"/>
          <w:noProof w:val="0"/>
          <w:color w:val="000000"/>
          <w:position w:val="0"/>
          <w:sz w:val="20"/>
          <w:u w:val="none"/>
          <w:vertAlign w:val="baseline"/>
        </w:rPr>
        <w:t xml:space="preserve">, and sec. 102(c),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310</w:t>
      </w:r>
      <w:r>
        <w:rPr>
          <w:rFonts w:ascii="arial" w:eastAsia="arial" w:hAnsi="arial" w:cs="arial"/>
          <w:b w:val="0"/>
          <w:i w:val="0"/>
          <w:strike w:val="0"/>
          <w:noProof w:val="0"/>
          <w:color w:val="000000"/>
          <w:position w:val="0"/>
          <w:sz w:val="20"/>
          <w:u w:val="none"/>
          <w:vertAlign w:val="baseline"/>
        </w:rPr>
        <w:t xml:space="preserve"> (2012), unless otherwise noted.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210.2-02 by revising paragraph (f)(1) to read as follows:</w:t>
      </w:r>
    </w:p>
    <w:p>
      <w:pPr>
        <w:numPr>
          <w:numId w:val="11"/>
        </w:numPr>
        <w:spacing w:before="120" w:line="240" w:lineRule="atLeast"/>
      </w:pPr>
      <w:r>
        <w:rPr>
          <w:b/>
          <w:i w:val="0"/>
          <w:sz w:val="20"/>
        </w:rPr>
        <w:t>s and attestation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
        </w:numPr>
        <w:spacing w:before="120" w:line="240" w:lineRule="atLeast"/>
      </w:pPr>
      <w:r>
        <w:rPr>
          <w:b/>
          <w:i/>
          <w:sz w:val="20"/>
        </w:rPr>
        <w:t>rnal control over financial reporting.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registered public accounting firm that issues or prepares an accountant's report for a registrant, other than a registrant that is neither an accelerated filer nor a large accelerated filer (as defined in § 240.12b-2 of this chapter), or is an emerging growth company, as defined in Rule 405 of the Securities Act (§ 230.405 of this chapter) or Rule 12b-2 of the Exchange Act (§ 240.12b-2 of this chapter), or an investment company registered under Section 8 of the Investment Company Act of 1940 (</w:t>
      </w:r>
      <w:hyperlink r:id="rId73"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that is included in an annual report required by section 13(a) or 15(d) of the Securities Exchange Act of 1934 (</w:t>
      </w:r>
      <w:hyperlink r:id="rId25"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containing an assessment by management of the effectiveness of the registrant's internal control over financial reporting must include an attestation report on internal control over financial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210.3-02 by revising paragraph (a) to read as follows:</w:t>
      </w:r>
    </w:p>
    <w:p>
      <w:pPr>
        <w:numPr>
          <w:numId w:val="14"/>
        </w:numPr>
        <w:spacing w:before="120" w:line="240" w:lineRule="atLeast"/>
      </w:pPr>
      <w:r>
        <w:rPr>
          <w:b/>
          <w:i w:val="0"/>
          <w:sz w:val="20"/>
        </w:rPr>
        <w:t>ents of income and changes in financial positions.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shall be filed, for the registrant and its subsidiaries consolidated and for its predecessors, audited statements of income and cash flows for each of the three fiscal years preceding the date of the most recent audited balance sheet being filed or such shorter period as the registrant (including predecessors) has been in existence. A registrant that is an emerging growth company, as defined </w:t>
      </w:r>
      <w:r>
        <w:rPr>
          <w:rFonts w:ascii="arial" w:eastAsia="arial" w:hAnsi="arial" w:cs="arial"/>
          <w:b/>
          <w:i w:val="0"/>
          <w:strike w:val="0"/>
          <w:noProof w:val="0"/>
          <w:color w:val="000000"/>
          <w:position w:val="0"/>
          <w:sz w:val="20"/>
          <w:u w:val="none"/>
          <w:vertAlign w:val="baseline"/>
        </w:rPr>
        <w:t> [*17552] </w:t>
      </w:r>
      <w:r>
        <w:rPr>
          <w:rFonts w:ascii="arial" w:eastAsia="arial" w:hAnsi="arial" w:cs="arial"/>
          <w:b w:val="0"/>
          <w:i w:val="0"/>
          <w:strike w:val="0"/>
          <w:noProof w:val="0"/>
          <w:color w:val="000000"/>
          <w:position w:val="0"/>
          <w:sz w:val="20"/>
          <w:u w:val="none"/>
          <w:vertAlign w:val="baseline"/>
        </w:rPr>
        <w:t xml:space="preserve"> in Rule 405 of the Securities Act (§ 230.405 of this chapter) or Rule 12b-2 of the Exchange Act (§ 240.12b-2 of this chapter), may, in a Securities Act registration statement for the initial public offering of the emerging growth company's equity securities, provide audited statements of income and cash flows for each of the two fiscal years preceding the date of the most recent audited balance sheet (or such shorter period as the registrant has been in existence).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sz w:val="20"/>
        </w:rPr>
        <w:t>DING, GENERAL RULES AND REGULATIONS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77d</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77d-1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78mm</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secs. 301-305,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227.100 by: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removing reference to "$ 1,000,000" and adding in its place "$ 1,070,000";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(a)(2)(i), removing reference to "$ 2,000" and adding in its place "$ 2,200"; and removing "$ 100,000" and adding in its place "$ 107,000";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(a)(2)(ii), removing the two references to "$ 100,000" and adding in their place "$ 107,000."</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227.201 by: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(t)(1), removing reference to "$ 100,000" and adding in its place "$ 107,000";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(t)(2), removing reference to "$ 100,000" and adding in its place "$ 107,000"; and removing reference to "$ 500,000" and adding in its place "$ 535,000";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(t)(3), removing the two references to "$ 500,000" and adding in their place "$ 535,000"; and removing reference to "$ 1,000,000" and adding in its place "$ 1,070,000."</w:t>
      </w:r>
    </w:p>
    <w:p>
      <w:pPr>
        <w:numPr>
          <w:numId w:val="24"/>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78 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(2010); and sec. 102(c),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310</w:t>
      </w:r>
      <w:r>
        <w:rPr>
          <w:rFonts w:ascii="arial" w:eastAsia="arial" w:hAnsi="arial" w:cs="arial"/>
          <w:b w:val="0"/>
          <w:i w:val="0"/>
          <w:strike w:val="0"/>
          <w:noProof w:val="0"/>
          <w:color w:val="000000"/>
          <w:position w:val="0"/>
          <w:sz w:val="20"/>
          <w:u w:val="none"/>
          <w:vertAlign w:val="baseline"/>
        </w:rPr>
        <w:t xml:space="preserve"> (2012).</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229.301 by adding paragraph (d) before the Instructions to Item 301 to read as follows:</w:t>
      </w:r>
    </w:p>
    <w:p>
      <w:pPr>
        <w:numPr>
          <w:numId w:val="26"/>
        </w:numPr>
        <w:spacing w:before="120" w:line="240" w:lineRule="atLeast"/>
      </w:pPr>
      <w:r>
        <w:rPr>
          <w:b/>
          <w:i w:val="0"/>
          <w:sz w:val="20"/>
        </w:rPr>
        <w:t>financial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emerging growth company, as defined in Rule 405 of the Securities Act of 1933 (§ 230.405 of this chapter) or Rule 12b-2 of the Securities Exchange Act of 1934 (§ 240.12b-2 of this chapter), that is providing the information called for by this Item in: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Securities Act registration statement, need not present selected financial data for any period prior to the earliest audited financial statements presented in connection with the registrant's initial public offering of its common equity securities;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registration statement, periodic report, or other report filed under the Exchange Act, need not present selected financial data for any period prior to the earliest audited financial statements presented in connection with its first registration statement that became effective under the Exchange Act or the Securities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229.303 by revising instruction 1 of the Instructions to Paragraph 303(a) to read as follows:</w:t>
      </w:r>
    </w:p>
    <w:p>
      <w:pPr>
        <w:numPr>
          <w:numId w:val="29"/>
        </w:numPr>
        <w:spacing w:before="120" w:line="240" w:lineRule="atLeast"/>
      </w:pPr>
      <w:r>
        <w:rPr>
          <w:b/>
          <w:i w:val="0"/>
          <w:sz w:val="20"/>
        </w:rPr>
        <w:t>t's discussion and analysis of financial condition and results of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Instructions to paragraph 303(a):</w:t>
      </w:r>
      <w:r>
        <w:rPr>
          <w:rFonts w:ascii="arial" w:eastAsia="arial" w:hAnsi="arial" w:cs="arial"/>
          <w:b w:val="0"/>
          <w:i w:val="0"/>
          <w:strike w:val="0"/>
          <w:noProof w:val="0"/>
          <w:color w:val="000000"/>
          <w:position w:val="0"/>
          <w:sz w:val="20"/>
          <w:u w:val="none"/>
          <w:vertAlign w:val="baseline"/>
        </w:rPr>
        <w:t xml:space="preserve"> 1. The registrant's discussion and analysis shall be of the financial statements and other statistical data that the registrant believes will enhance a reader's understanding of its financial condition, changes in financial condition and results of operations. Generally, the discussion shall cover the three-year period covered by the financial statements and shall use year-to-year comparisons or any other formats that in the registrant's judgment enhance a reader's understanding. However, where trend information is relevant, reference to the five-year selected financial data appearing pursuant to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229.301) may be necessary. A smaller reporting company's discussion shall cover the two-year period required in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shall use year-to-year comparisons or any other formats that in the registrant's judgment enhance a reader's understanding. An emerging growth company, as defined in Rule 405 of the Securities Act (§ 230.405 of this chapter) or Rule 12b-2 of the Exchange Act (§ 240.12b-2 of this chapter), may provide the discussion required in paragraph (a) of this Item for its two most recent fiscal years if, pursuant to Section 7(a) of the Securities Act of 1933 (</w:t>
      </w:r>
      <w:hyperlink r:id="rId51" w:history="1">
        <w:r>
          <w:rPr>
            <w:rFonts w:ascii="arial" w:eastAsia="arial" w:hAnsi="arial" w:cs="arial"/>
            <w:b w:val="0"/>
            <w:i/>
            <w:strike w:val="0"/>
            <w:noProof w:val="0"/>
            <w:color w:val="0077CC"/>
            <w:position w:val="0"/>
            <w:sz w:val="20"/>
            <w:u w:val="single"/>
            <w:vertAlign w:val="baseline"/>
          </w:rPr>
          <w:t>15 U.S.C 77g(a)</w:t>
        </w:r>
      </w:hyperlink>
      <w:r>
        <w:rPr>
          <w:rFonts w:ascii="arial" w:eastAsia="arial" w:hAnsi="arial" w:cs="arial"/>
          <w:b w:val="0"/>
          <w:i w:val="0"/>
          <w:strike w:val="0"/>
          <w:noProof w:val="0"/>
          <w:color w:val="000000"/>
          <w:position w:val="0"/>
          <w:sz w:val="20"/>
          <w:u w:val="none"/>
          <w:vertAlign w:val="baseline"/>
        </w:rPr>
        <w:t>), it provides audited financial statements for two years in a Securities Act registration statement for the initial public offering of the emerging growth company's common equity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229.308 by revising paragraph (b) to read as follows:</w:t>
      </w:r>
    </w:p>
    <w:p>
      <w:pPr>
        <w:numPr>
          <w:numId w:val="31"/>
        </w:numPr>
        <w:spacing w:before="120" w:line="240" w:lineRule="atLeast"/>
      </w:pPr>
      <w:r>
        <w:rPr>
          <w:b/>
          <w:i w:val="0"/>
          <w:sz w:val="20"/>
        </w:rPr>
        <w:t>control over financial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
        </w:numPr>
        <w:spacing w:before="120" w:after="0" w:line="260" w:lineRule="atLeast"/>
        <w:ind w:right="0"/>
        <w:jc w:val="both"/>
      </w:pPr>
      <w:r>
        <w:rPr>
          <w:b/>
          <w:i/>
          <w:sz w:val="20"/>
        </w:rPr>
        <w:t>registered public accounting firm.</w:t>
      </w:r>
      <w:r>
        <w:rPr>
          <w:rFonts w:ascii="arial" w:eastAsia="arial" w:hAnsi="arial" w:cs="arial"/>
          <w:b w:val="0"/>
          <w:i w:val="0"/>
          <w:strike w:val="0"/>
          <w:noProof w:val="0"/>
          <w:color w:val="000000"/>
          <w:position w:val="0"/>
          <w:sz w:val="20"/>
          <w:u w:val="none"/>
          <w:vertAlign w:val="baseline"/>
        </w:rPr>
        <w:t>If the registrant, other than a registrant that is an emerging growth company, as defined in Rule 405 of the Securities Act of 1933 (§ 230.405 of this chapter) or Rule 12b-2 of the Securities Exchange Act of 1934 (§ 240.12b-2 of this chapter), is an accelerated filer or a large accelerated filer (as defined in § 240.12b-2 of this chapter), provide the registered public accounting firm's attestation report on the registrant's internal control over financial reporting in the registrant's annual report containing the disclosure required by this Item.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229.402 by revising paragraph (l) and the introductory text to paragraph (t)(1) to read as follows:</w:t>
      </w:r>
    </w:p>
    <w:p>
      <w:pPr>
        <w:numPr>
          <w:numId w:val="34"/>
        </w:numPr>
        <w:spacing w:before="120" w:line="240" w:lineRule="atLeast"/>
      </w:pPr>
      <w:r>
        <w:rPr>
          <w:b/>
          <w:i w:val="0"/>
          <w:sz w:val="20"/>
        </w:rPr>
        <w:t xml:space="preserve">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
        </w:numPr>
        <w:spacing w:before="120" w:after="0" w:line="260" w:lineRule="atLeast"/>
        <w:ind w:right="0"/>
        <w:jc w:val="both"/>
      </w:pPr>
      <w:r>
        <w:rPr>
          <w:b/>
          <w:i/>
          <w:sz w:val="20"/>
        </w:rPr>
        <w:t>s and emerging growth companies.</w:t>
      </w:r>
      <w:r>
        <w:rPr>
          <w:rFonts w:ascii="arial" w:eastAsia="arial" w:hAnsi="arial" w:cs="arial"/>
          <w:b w:val="0"/>
          <w:i w:val="0"/>
          <w:strike w:val="0"/>
          <w:noProof w:val="0"/>
          <w:color w:val="000000"/>
          <w:position w:val="0"/>
          <w:sz w:val="20"/>
          <w:u w:val="none"/>
          <w:vertAlign w:val="baseline"/>
        </w:rPr>
        <w:t>A registrant that qualifies as a "smaller reporting company," as defined by Item 10(f) (§ 229.10(f)(1)), or is an "emerging growth company," as defined in Rule 405 of the Securities Act (§ 230.405 of this chapter) or Rule 12b-2 of the Exchange Act (§ 240.12b-2 of this chapter), may provide the scaled disclosure in paragraphs (m) through (r) instead of paragraphs (a) through (k), (s), and (u) of this Item.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
        </w:numPr>
        <w:spacing w:before="120" w:line="240" w:lineRule="atLeast"/>
      </w:pPr>
      <w:r>
        <w:rPr>
          <w:b/>
          <w:i/>
          <w:sz w:val="20"/>
        </w:rPr>
        <w: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any proxy or consent solicitation material providing the disclosure required by section 14A(b)(1) of the Exchange Act (</w:t>
      </w:r>
      <w:hyperlink r:id="rId40" w:history="1">
        <w:r>
          <w:rPr>
            <w:rFonts w:ascii="arial" w:eastAsia="arial" w:hAnsi="arial" w:cs="arial"/>
            <w:b w:val="0"/>
            <w:i/>
            <w:strike w:val="0"/>
            <w:noProof w:val="0"/>
            <w:color w:val="0077CC"/>
            <w:position w:val="0"/>
            <w:sz w:val="20"/>
            <w:u w:val="single"/>
            <w:vertAlign w:val="baseline"/>
          </w:rPr>
          <w:t>15 U.S.C. 78n-1(b)(1)</w:t>
        </w:r>
      </w:hyperlink>
      <w:r>
        <w:rPr>
          <w:rFonts w:ascii="arial" w:eastAsia="arial" w:hAnsi="arial" w:cs="arial"/>
          <w:b w:val="0"/>
          <w:i w:val="0"/>
          <w:strike w:val="0"/>
          <w:noProof w:val="0"/>
          <w:color w:val="000000"/>
          <w:position w:val="0"/>
          <w:sz w:val="20"/>
          <w:u w:val="none"/>
          <w:vertAlign w:val="baseline"/>
        </w:rPr>
        <w:t xml:space="preserve">) or any proxy or consent </w:t>
      </w:r>
      <w:r>
        <w:rPr>
          <w:rFonts w:ascii="arial" w:eastAsia="arial" w:hAnsi="arial" w:cs="arial"/>
          <w:b/>
          <w:i w:val="0"/>
          <w:strike w:val="0"/>
          <w:noProof w:val="0"/>
          <w:color w:val="000000"/>
          <w:position w:val="0"/>
          <w:sz w:val="20"/>
          <w:u w:val="none"/>
          <w:vertAlign w:val="baseline"/>
        </w:rPr>
        <w:t> [*17553] </w:t>
      </w:r>
      <w:r>
        <w:rPr>
          <w:rFonts w:ascii="arial" w:eastAsia="arial" w:hAnsi="arial" w:cs="arial"/>
          <w:b w:val="0"/>
          <w:i w:val="0"/>
          <w:strike w:val="0"/>
          <w:noProof w:val="0"/>
          <w:color w:val="000000"/>
          <w:position w:val="0"/>
          <w:sz w:val="20"/>
          <w:u w:val="none"/>
          <w:vertAlign w:val="baseline"/>
        </w:rPr>
        <w:t xml:space="preserve"> solicitation that includes disclosure under Item 14 of Schedule 14A (§ 240.14a-101 of this chapter) pursuant to Note A of Schedule 14A (excluding any proxy or consent solicitation of an "emerging growth company," as defined in Rule 405 of the Securities Act (§ 230.405 of this chapter) or Rule 12b-2 of the Exchange Act (§ 240.12b-2 of this chapter)), with respect to each named executive officer of the acquiring company and the target company, provide the information specified in paragraphs (t)(2) and (3) of this section regarding any agreement or understanding, whether written or unwritten, between such named executive officer and the acquiring company or target company, concerning any type of compensation, whether present, deferred or contingent, that is based on or otherwise relates to an acquisition, merger, consolidation, sale or other disposition of all or substantially all assets of the issuer, as follows: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229.1011 by revising instruction 1 of the Instructions to Item 1011(b) to read as follows:</w:t>
      </w:r>
    </w:p>
    <w:p>
      <w:pPr>
        <w:numPr>
          <w:numId w:val="39"/>
        </w:numPr>
        <w:spacing w:before="120" w:line="240" w:lineRule="atLeast"/>
      </w:pPr>
      <w:r>
        <w:rPr>
          <w:b/>
          <w:i w:val="0"/>
          <w:sz w:val="20"/>
        </w:rPr>
        <w:t>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to Item 1011(b).</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obligation to provide the information in paragraph (b) of this section shall not apply where the issuer whose securities are the subject of the Rule 13e-3 transaction or tender offer is a foreign private issuer, as defined in § 240.3b-4 of this chapter, or an emerging growth company, as defined in Rule 405 of the Securities Act (§ 230.405 of this chapter) or Rule 12b-2 of the Exchange Act (§ 240.12b-2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
        </w:numPr>
        <w:spacing w:before="120" w:line="240" w:lineRule="atLeast"/>
      </w:pPr>
      <w:r>
        <w:rPr>
          <w:b/>
          <w:i/>
          <w:sz w:val="20"/>
        </w:rPr>
        <w:t>EGULATIONS, SECURITIES ACT OF 1933</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w:t>
      </w:r>
    </w:p>
    <w:p>
      <w:pPr>
        <w:keepNext w:val="0"/>
        <w:numPr>
          <w:numId w:val="43"/>
        </w:numPr>
        <w:spacing w:before="0" w:after="0" w:line="260" w:lineRule="atLeast"/>
        <w:ind w:right="0"/>
        <w:jc w:val="both"/>
      </w:pPr>
      <w:r>
        <w:rPr>
          <w:b/>
          <w:i w:val="0"/>
          <w:sz w:val="20"/>
        </w:rPr>
        <w:t xml:space="preserve"> under </w:t>
      </w:r>
      <w:hyperlink r:id="rId61" w:history="1">
        <w:r>
          <w:rPr>
            <w:rFonts w:ascii="arial" w:eastAsia="arial" w:hAnsi="arial" w:cs="arial"/>
            <w:b/>
            <w:i/>
            <w:strike w:val="0"/>
            <w:color w:val="0077CC"/>
            <w:sz w:val="20"/>
            <w:u w:val="single"/>
            <w:vertAlign w:val="baseline"/>
          </w:rPr>
          <w:t>15 U.S.C. 77s(a)</w:t>
        </w:r>
      </w:hyperlink>
      <w:r>
        <w:rPr>
          <w:rFonts w:ascii="arial" w:eastAsia="arial" w:hAnsi="arial" w:cs="arial"/>
          <w:b w:val="0"/>
          <w:i w:val="0"/>
          <w:strike w:val="0"/>
          <w:noProof w:val="0"/>
          <w:color w:val="000000"/>
          <w:position w:val="0"/>
          <w:sz w:val="20"/>
          <w:u w:val="none"/>
          <w:vertAlign w:val="baseline"/>
        </w:rPr>
        <w:t>.</w:t>
      </w:r>
    </w:p>
    <w:p>
      <w:pPr>
        <w:numPr>
          <w:numId w:val="44"/>
        </w:numPr>
        <w:spacing w:before="120" w:line="240" w:lineRule="atLeast"/>
      </w:pPr>
      <w:r>
        <w:rPr>
          <w:b/>
          <w:i w:val="0"/>
          <w:sz w:val="20"/>
        </w:rPr>
        <w:t xml:space="preserve"> under Section 104(d) of the Electronic Signatures Act.</w:t>
      </w:r>
    </w:p>
    <w:p>
      <w:pPr>
        <w:numPr>
          <w:numId w:val="45"/>
        </w:numPr>
        <w:spacing w:before="120" w:line="240" w:lineRule="atLeast"/>
      </w:pPr>
      <w:r>
        <w:rPr>
          <w:b/>
          <w:i/>
          <w:sz w:val="20"/>
        </w:rPr>
        <w:t xml:space="preserve"> under sec. 943, Public Law 111-203, 124 Stat. 1376.</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issued under </w:t>
      </w:r>
      <w:hyperlink r:id="rId5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49"/>
        </w:numPr>
        <w:spacing w:before="120" w:after="0" w:line="260" w:lineRule="atLeast"/>
        <w:ind w:left="1080" w:right="0" w:firstLine="0"/>
        <w:jc w:val="both"/>
      </w:pPr>
      <w:r>
        <w:rPr>
          <w:b/>
          <w:i w:val="0"/>
          <w:sz w:val="20"/>
        </w:rPr>
        <w:t xml:space="preserve"> under </w:t>
      </w:r>
      <w:hyperlink r:id="rId73" w:history="1">
        <w:r>
          <w:rPr>
            <w:rFonts w:ascii="arial" w:eastAsia="arial" w:hAnsi="arial" w:cs="arial"/>
            <w:b/>
            <w:i/>
            <w:strike w:val="0"/>
            <w:color w:val="0077CC"/>
            <w:sz w:val="20"/>
            <w:u w:val="single"/>
            <w:vertAlign w:val="baseline"/>
          </w:rPr>
          <w:t>15 U.S.C. 80a-8</w:t>
        </w:r>
      </w:hyperlink>
      <w:hyperlink r:id="rId75" w:history="1">
        <w:r>
          <w:rPr>
            <w:rFonts w:ascii="arial" w:eastAsia="arial" w:hAnsi="arial" w:cs="arial"/>
            <w:b w:val="0"/>
            <w:i/>
            <w:strike w:val="0"/>
            <w:color w:val="0077CC"/>
            <w:sz w:val="20"/>
            <w:u w:val="single"/>
            <w:vertAlign w:val="baseline"/>
          </w:rPr>
          <w:t>80a-29</w:t>
        </w:r>
      </w:hyperlink>
      <w:hyperlink r:id="rId76" w:history="1">
        <w:r>
          <w:rPr>
            <w:rFonts w:ascii="arial" w:eastAsia="arial" w:hAnsi="arial" w:cs="arial"/>
            <w:b w:val="0"/>
            <w:i/>
            <w:strike w:val="0"/>
            <w:color w:val="0077CC"/>
            <w:sz w:val="20"/>
            <w:u w:val="single"/>
            <w:vertAlign w:val="baseline"/>
          </w:rPr>
          <w:t>80a-30</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230.405 by adding the definition "Emerging growth company" in alphabetical order to read as follows:</w:t>
      </w:r>
    </w:p>
    <w:p>
      <w:pPr>
        <w:numPr>
          <w:numId w:val="5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Emerging growth company.</w:t>
      </w:r>
      <w:r>
        <w:rPr>
          <w:rFonts w:ascii="arial" w:eastAsia="arial" w:hAnsi="arial" w:cs="arial"/>
          <w:b w:val="0"/>
          <w:i w:val="0"/>
          <w:strike w:val="0"/>
          <w:noProof w:val="0"/>
          <w:color w:val="000000"/>
          <w:position w:val="0"/>
          <w:sz w:val="20"/>
          <w:u w:val="none"/>
          <w:vertAlign w:val="baseline"/>
        </w:rPr>
        <w:t xml:space="preserve"> (1) The term </w:t>
      </w:r>
      <w:r>
        <w:rPr>
          <w:rFonts w:ascii="arial" w:eastAsia="arial" w:hAnsi="arial" w:cs="arial"/>
          <w:b w:val="0"/>
          <w:i/>
          <w:strike w:val="0"/>
          <w:noProof w:val="0"/>
          <w:color w:val="000000"/>
          <w:position w:val="0"/>
          <w:sz w:val="20"/>
          <w:u w:val="none"/>
          <w:vertAlign w:val="baseline"/>
        </w:rPr>
        <w:t>emerging growth company</w:t>
      </w:r>
      <w:r>
        <w:rPr>
          <w:rFonts w:ascii="arial" w:eastAsia="arial" w:hAnsi="arial" w:cs="arial"/>
          <w:b w:val="0"/>
          <w:i w:val="0"/>
          <w:strike w:val="0"/>
          <w:noProof w:val="0"/>
          <w:color w:val="000000"/>
          <w:position w:val="0"/>
          <w:sz w:val="20"/>
          <w:u w:val="none"/>
          <w:vertAlign w:val="baseline"/>
        </w:rPr>
        <w:t xml:space="preserve"> means an issuer that had total annual gross revenues of less than $ 1,070,000,000 during its most recently completed fiscal year.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is an emerging growth company as of the first day of that fiscal year shall continue to be deemed an emerging growth company until the earliest of:</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fiscal year of the issuer during which it had total annual gross revenues of $ 1,070,000,000 or more;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fiscal year of the issuer following the fifth anniversary of the date of the first sale of common equity securities of the issuer pursuant to an effective registration statement under the Securities Act of 1933;</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such issuer has, during the previous three year period, issued more than $ 1,000,000,000 in non-convertible debt;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such issuer is deemed to be a large accelerated filer, as defined in Rule 12b-2 of the Exchange Act (§ 240.12b-2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7"/>
        </w:numPr>
        <w:spacing w:before="120" w:line="240" w:lineRule="atLeast"/>
      </w:pPr>
      <w:r>
        <w:rPr>
          <w:b/>
          <w:i w:val="0"/>
          <w:sz w:val="20"/>
        </w:rPr>
        <w:t>DER THE SECURITIES ACT OF 1933</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is revised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78m,78n, 78o(d), 78o-7 note, 78u-5,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80a-2(a), 80a-3, 80a-8, 80a-9, 80a-10, 80a-13, 80a-24, 80a-26, 80a-29, 80a-30, and 80a-37; and sec. 107,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312</w:t>
      </w:r>
      <w:r>
        <w:rPr>
          <w:rFonts w:ascii="arial" w:eastAsia="arial" w:hAnsi="arial" w:cs="arial"/>
          <w:b w:val="0"/>
          <w:i w:val="0"/>
          <w:strike w:val="0"/>
          <w:noProof w:val="0"/>
          <w:color w:val="000000"/>
          <w:position w:val="0"/>
          <w:sz w:val="20"/>
          <w:u w:val="none"/>
          <w:vertAlign w:val="baseline"/>
        </w:rPr>
        <w:t>, unless otherwise noted.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S-1 (referenced in § 239.11) by revising the text and check boxes on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S-3 (referenced in § 239.13) by revising the text and check boxes on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an emerging growth company, indicate by check mark if the registrant </w:t>
      </w:r>
      <w:r>
        <w:rPr>
          <w:rFonts w:ascii="arial" w:eastAsia="arial" w:hAnsi="arial" w:cs="arial"/>
          <w:b/>
          <w:i w:val="0"/>
          <w:strike w:val="0"/>
          <w:noProof w:val="0"/>
          <w:color w:val="000000"/>
          <w:position w:val="0"/>
          <w:sz w:val="20"/>
          <w:u w:val="none"/>
          <w:vertAlign w:val="baseline"/>
        </w:rPr>
        <w:t> [*17554] </w:t>
      </w:r>
      <w:r>
        <w:rPr>
          <w:rFonts w:ascii="arial" w:eastAsia="arial" w:hAnsi="arial" w:cs="arial"/>
          <w:b w:val="0"/>
          <w:i w:val="0"/>
          <w:strike w:val="0"/>
          <w:noProof w:val="0"/>
          <w:color w:val="000000"/>
          <w:position w:val="0"/>
          <w:sz w:val="20"/>
          <w:u w:val="none"/>
          <w:vertAlign w:val="baseline"/>
        </w:rPr>
        <w:t xml:space="preserve"> has elected not to use the extended transition period for complying with any new or revised financial accounting standards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S-8 (referenced in § 239.16b) by revising the text and check boxes on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S-8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S-11 (referenced in § 239.18) by revising the text and check boxes on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S-11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S-11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S-4 (referenced in § 239.25) by revising the text and check boxes on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F-1 (referenced in § 239.31) by adding text and two check boxes to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an emerging growth company as defined in Rule 405 of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that prepares its financial statements in accordance with U.S. GAAP, indicate by check mark if the registrant has elected not to use the extended transition period for complying with any new or revised financial accounting standards +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The term "new or revised financial accounting standard" refers to any update issued by the Financial Accounting Standards Board to its Accounting Standards Codification after April 5,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F-3 (referenced in § 239.33) by adding text and two check boxes to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an emerging growth company as defined in Rule 405 of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that prepares its financial statements in accordance with U.S. GAAP, indicate by check mark if the registrant has elected not to use the extended transition period for complying with any new or revised financial accounting standards +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The term "new or revised financial accounting standard" refers to any update issued by the Financial </w:t>
      </w:r>
      <w:r>
        <w:rPr>
          <w:rFonts w:ascii="arial" w:eastAsia="arial" w:hAnsi="arial" w:cs="arial"/>
          <w:b/>
          <w:i w:val="0"/>
          <w:strike w:val="0"/>
          <w:noProof w:val="0"/>
          <w:color w:val="000000"/>
          <w:position w:val="0"/>
          <w:sz w:val="20"/>
          <w:u w:val="none"/>
          <w:vertAlign w:val="baseline"/>
        </w:rPr>
        <w:t> [*17555] </w:t>
      </w:r>
      <w:r>
        <w:rPr>
          <w:rFonts w:ascii="arial" w:eastAsia="arial" w:hAnsi="arial" w:cs="arial"/>
          <w:b w:val="0"/>
          <w:i w:val="0"/>
          <w:strike w:val="0"/>
          <w:noProof w:val="0"/>
          <w:color w:val="000000"/>
          <w:position w:val="0"/>
          <w:sz w:val="20"/>
          <w:u w:val="none"/>
          <w:vertAlign w:val="baseline"/>
        </w:rPr>
        <w:t xml:space="preserve"> Accounting Standards Board to its Accounting Standards Codification after April 5,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F-4 (referenced in § 239.34) by adding text and two check boxes to the cover page immediately before the "Calculation of Registration Fee:" table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an emerging growth company as defined in Rule 405 of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that prepares its financial statements in accordance with U.S. GAAP, indicate by check mark if the registrant has elected not to use the extended transition period for complying with any new or revised financial accounting standards + provided pursuant to Section 7(a)(2)(B) of the Securities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The term "new or revised financial accounting standard" refers to any update issued by the Financial Accounting Standards Board to its Accounting Standards Codification after April 5,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C (referenced in § 239.900) by revising the dollar amounts in Question 29 of the "OPTIONAL QUESTION &amp; ANSWER FORMAT FOR AN OFFERING STATEMENT"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C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references to "$ 100,000" and adding in their place "$ 107,000";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references to "$ 500,000" and adding in their place "$ 535,000";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reference to "$ 1,000,000" and adding in its place "$ 1,070,000."</w:t>
      </w:r>
    </w:p>
    <w:p>
      <w:pPr>
        <w:numPr>
          <w:numId w:val="69"/>
        </w:numPr>
        <w:spacing w:before="120" w:line="240" w:lineRule="atLeast"/>
      </w:pPr>
      <w:r>
        <w:rPr>
          <w:b/>
          <w:i/>
          <w:sz w:val="20"/>
        </w:rPr>
        <w:t>EGULATIONS, SECURITIES EXCHANGE ACT OF 1934</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04"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1887</w:t>
      </w:r>
      <w:r>
        <w:rPr>
          <w:rFonts w:ascii="arial" w:eastAsia="arial" w:hAnsi="arial" w:cs="arial"/>
          <w:b w:val="0"/>
          <w:i w:val="0"/>
          <w:strike w:val="0"/>
          <w:noProof w:val="0"/>
          <w:color w:val="000000"/>
          <w:position w:val="0"/>
          <w:sz w:val="20"/>
          <w:u w:val="none"/>
          <w:vertAlign w:val="baseline"/>
        </w:rPr>
        <w:t xml:space="preserve"> (2010); and secs. 503 and 602,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240.12b-2 by adding the definition "Emerging growth company" in alphabetical order to read as follows:</w:t>
      </w:r>
    </w:p>
    <w:p>
      <w:pPr>
        <w:numPr>
          <w:numId w:val="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Emerging growth company.</w:t>
      </w:r>
      <w:r>
        <w:rPr>
          <w:rFonts w:ascii="arial" w:eastAsia="arial" w:hAnsi="arial" w:cs="arial"/>
          <w:b w:val="0"/>
          <w:i w:val="0"/>
          <w:strike w:val="0"/>
          <w:noProof w:val="0"/>
          <w:color w:val="000000"/>
          <w:position w:val="0"/>
          <w:sz w:val="20"/>
          <w:u w:val="none"/>
          <w:vertAlign w:val="baseline"/>
        </w:rPr>
        <w:t xml:space="preserve"> (1) The term </w:t>
      </w:r>
      <w:r>
        <w:rPr>
          <w:rFonts w:ascii="arial" w:eastAsia="arial" w:hAnsi="arial" w:cs="arial"/>
          <w:b w:val="0"/>
          <w:i/>
          <w:strike w:val="0"/>
          <w:noProof w:val="0"/>
          <w:color w:val="000000"/>
          <w:position w:val="0"/>
          <w:sz w:val="20"/>
          <w:u w:val="none"/>
          <w:vertAlign w:val="baseline"/>
        </w:rPr>
        <w:t>emerging growth company</w:t>
      </w:r>
      <w:r>
        <w:rPr>
          <w:rFonts w:ascii="arial" w:eastAsia="arial" w:hAnsi="arial" w:cs="arial"/>
          <w:b w:val="0"/>
          <w:i w:val="0"/>
          <w:strike w:val="0"/>
          <w:noProof w:val="0"/>
          <w:color w:val="000000"/>
          <w:position w:val="0"/>
          <w:sz w:val="20"/>
          <w:u w:val="none"/>
          <w:vertAlign w:val="baseline"/>
        </w:rPr>
        <w:t xml:space="preserve"> means an issuer that had total annual gross revenues of less than $ 1,070,000,000 during its most recently completed fiscal year.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is an emerging growth company as of the first day of that fiscal year shall continue to be deemed an emerging growth company until the earliest of:</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fiscal year of the issuer during which it had total annual gross revenues of $ 1,070,000,000 or more;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fiscal year of the issuer following the fifth anniversary of the date of the first sale of common equity securities of the issuer pursuant to an effective registration statement under the Securities Act of 1933;</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such issuer has, during the previous three year period, issued more than $ 1,000,000,000 in non-convertible debt;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such issuer is deemed to be a large accelerated filer, as defined in Rule 12b-2 (§ 240.12b-2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240.14a-21 by: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paragraphs (a) and (b), removing "If a solicitation is made by a registrant and the solicitation relates to an annual or other meeting of shareholders at which directors will be elected and for which the rules of the Commission require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229.402 of this chapter)" and adding in its place "If a solicitation is made by a registrant, other than an emerging growth company as defined in Rule 12b-2 (§ 240.12b-2), and the solicitation relates to an annual or other meeting of shareholders at which directors will be elected and for which the rules of the Commission require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229.402 of this chapter)";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(c), removing "If a solicitation is made by a registrant for a meeting of shareholders at which shareholders are asked to approve an acquisition, merger, consolidation or proposed sale or other disposition of all or substantially all the assets of the registrant, the registrant shall include a separate resolution subject to shareholder advisory vote to approve any agreements or understandings and compensation disclosed pursuant to Item 402(t)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229.402(t) of this chapter)" and adding in its place "If a solicitation is made by a registrant, other than an emerging growth company as defined in Rule 12b-2 (§ 240.12b-2), for a meeting of shareholders at which shareholders are asked to approve an acquisition, merger, consolidation or proposed sale or other disposition of all or substantially all the assets of the registrant, the registrant shall include a separate resolution subject to shareholder advisory vote to approve any agreements or understandings and compensation disclosed pursuant to Item 402(t)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229.402(t) of this chapter)";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item 4 to the Instructions to § 240.14a-21.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80"/>
        </w:numPr>
        <w:spacing w:before="120" w:line="240" w:lineRule="atLeast"/>
      </w:pPr>
      <w:r>
        <w:rPr>
          <w:b/>
          <w:i w:val="0"/>
          <w:sz w:val="20"/>
        </w:rPr>
        <w:t>val of executive compensation, frequency of votes for approval of executive compensation and shareholder approval of golden parachute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to § 240.14a-21: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has ceased being an emerging growth company shall include the first separate resolution described under § 240.14a-21(a) not later than the end of (i) in the case of a registrant that was an emerging growth company for less than two years after the date of first sale of common equity securities of the registrant pursuant to an effective registration statement under the Securities Act of 1933 (</w:t>
      </w:r>
      <w:hyperlink r:id="rId17"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three-year period beginning on such date; and (ii) in the case of any other registrant, the one-year period beginning on the date the registrant is no longer an emerging growth company.</w:t>
      </w:r>
    </w:p>
    <w:p>
      <w:pPr>
        <w:numPr>
          <w:numId w:val="82"/>
        </w:numPr>
        <w:spacing w:before="120" w:line="240" w:lineRule="atLeast"/>
      </w:pPr>
      <w:r>
        <w:rPr>
          <w:b/>
          <w:i w:val="0"/>
          <w:sz w:val="20"/>
        </w:rPr>
        <w:t>XCHANGE ACT OF 1934</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[*17556] </w:t>
      </w:r>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(2012), Sec. 107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and Sec. 72001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unless otherwise noted.    *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 (referenced in § 249.210) by revising the text and check boxes on the cover page immediately before the text "Information Required in the Registration Statement"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FORM FOR REGISTRATION OF SECURITIES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Pursuant to Section 12(b) or (g)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20-F (referenced in § 249.220f) by: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text and check boxes on the cover page immediately before the text "Indicate by check mark which basis of accounting the registrant has used to prepare the financial statements included in this filing";</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Instruction 3 to "Item 3.A";</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Instruction 4 to "Item 8.A.2";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20-F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20-F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or an emerging growth company. See the definitions of "large accelerated filer," "accelerated filer,"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that prepares its financial statements in accordance with U.S. GAAP, indicate by check mark if the registrant has elected not to use the extended transition period for complying with any new or revised financial accounting standards + provided pursuant to Section 13(a) of the Exchange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The term "new or revised financial accounting standard" refers to any update issued by the Financial Accounting Standards Board to its Accounting Standards Codification after April 5,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to Item 3A: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an emerging growth company, as defined in Rule 12b-2 of the Exchange Act (§ 240.12b-2 of this chapter), that is providing the information called for by Item 3.A.1 in: (1) A Securities Act registration statement, you do not need to present selected financial data for any period prior to the earliest audited financial statements presented in connection with the initial public offering of your common equity securities; or (2) a registration statement, periodic report, or other report filed under the Exchange Act, you do not need to present selected financial data in accordance with this Item for any period prior to the earliest audited financial statements presented in connection with your first registration statement that became effective under the Exchange Act or the Securities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to Item 8.A.2: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an emerging growth company, as defined in Rule 12b-2 (§ 240.12b-2 of this chapter), you do not need to present more than two years of audited financial statements in your registration statement for an initial public offering of your common equity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1"/>
        </w:numPr>
        <w:spacing w:before="120" w:after="0" w:line="260" w:lineRule="atLeast"/>
        <w:ind w:right="0"/>
        <w:jc w:val="both"/>
      </w:pPr>
      <w:r>
        <w:rPr>
          <w:b/>
          <w:i w:val="0"/>
          <w:sz w:val="20"/>
        </w:rPr>
        <w:t>es</w:t>
      </w:r>
      <w:r>
        <w:rPr>
          <w:rFonts w:ascii="arial" w:eastAsia="arial" w:hAnsi="arial" w:cs="arial"/>
          <w:b w:val="0"/>
          <w:i w:val="0"/>
          <w:strike w:val="0"/>
          <w:noProof w:val="0"/>
          <w:color w:val="000000"/>
          <w:position w:val="0"/>
          <w:sz w:val="20"/>
          <w:u w:val="none"/>
          <w:vertAlign w:val="baseline"/>
        </w:rPr>
        <w:t>*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is an accelerated filer or a large accelerated filer (as defined in § 240.12b-2 of this chapter), other than an emerging growth company (as defined in § 240.12b-2 of this chapter), or otherwise includes in its annual report a registered public accounting firm's attestation report on internal control over financial reporting, a statement that the registered public accounting firm that audited the financial statements included in the annual report containing the disclosure required by this Item has issued an attestation report on management's assessment of the issuer's internal control over financial reporting.</w:t>
      </w:r>
    </w:p>
    <w:p>
      <w:pPr>
        <w:keepNext w:val="0"/>
        <w:numPr>
          <w:numId w:val="93"/>
        </w:numPr>
        <w:spacing w:before="120" w:after="0" w:line="260" w:lineRule="atLeast"/>
        <w:ind w:right="0"/>
        <w:jc w:val="both"/>
      </w:pPr>
      <w:r>
        <w:rPr>
          <w:b/>
          <w:i/>
          <w:sz w:val="20"/>
        </w:rPr>
        <w:t>registered public accounting firm.</w:t>
      </w:r>
      <w:r>
        <w:rPr>
          <w:rFonts w:ascii="arial" w:eastAsia="arial" w:hAnsi="arial" w:cs="arial"/>
          <w:b w:val="0"/>
          <w:i w:val="0"/>
          <w:strike w:val="0"/>
          <w:noProof w:val="0"/>
          <w:color w:val="000000"/>
          <w:position w:val="0"/>
          <w:sz w:val="20"/>
          <w:u w:val="none"/>
          <w:vertAlign w:val="baseline"/>
        </w:rPr>
        <w:t>If an issuer is an accelerated filer or a large accelerated filer (as defined in § 240.12b-2 of this chapter), other than an emerging growth company (as defined in § 240.12b-2 of this chapter), and where the Form is being used as an annual report filed under Section 13(a) or 15(d) of the Exchange Act, provide the registered public accounting firm's attestation report on management's assessment of the issuer's internal control over financial reporting in the issuer's annual report containing the disclosure required by this Item.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40-F (referenced in § 249.240f) by: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text and two check boxes to the cover page immediately before the General Instructions;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(6)(c)(4) and (d) to General Instruction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40-F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40-F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an emerging growth company as defined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an emerging growth company that prepares its financial statements in accordance with U.S. GAAP, indicate by check mark if the registrant has elected not to use the extended transition period for complying with any new or revised financial accounting standards + </w:t>
      </w:r>
      <w:r>
        <w:rPr>
          <w:rFonts w:ascii="arial" w:eastAsia="arial" w:hAnsi="arial" w:cs="arial"/>
          <w:b/>
          <w:i w:val="0"/>
          <w:strike w:val="0"/>
          <w:noProof w:val="0"/>
          <w:color w:val="000000"/>
          <w:position w:val="0"/>
          <w:sz w:val="20"/>
          <w:u w:val="none"/>
          <w:vertAlign w:val="baseline"/>
        </w:rPr>
        <w:t> [*17557] </w:t>
      </w:r>
      <w:r>
        <w:rPr>
          <w:rFonts w:ascii="arial" w:eastAsia="arial" w:hAnsi="arial" w:cs="arial"/>
          <w:b w:val="0"/>
          <w:i w:val="0"/>
          <w:strike w:val="0"/>
          <w:noProof w:val="0"/>
          <w:color w:val="000000"/>
          <w:position w:val="0"/>
          <w:sz w:val="20"/>
          <w:u w:val="none"/>
          <w:vertAlign w:val="baseline"/>
        </w:rPr>
        <w:t xml:space="preserve"> provided pursuant to Section 13(a) of the Exchange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The term "new or revised financial accounting standard" refers to any update issued by the Financial Accounting Standards Board to its Accounting Standards Codification after April 5,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
        </w:numPr>
        <w:spacing w:before="120" w:after="0" w:line="260" w:lineRule="atLeast"/>
        <w:ind w:right="0"/>
        <w:jc w:val="both"/>
      </w:pPr>
      <w:r>
        <w:rPr>
          <w:b/>
          <w:i w:val="0"/>
          <w:sz w:val="20"/>
        </w:rPr>
        <w:t>This Form</w:t>
      </w: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b/>
          <w:i/>
          <w:sz w:val="20"/>
        </w:rPr>
        <w:t xml:space="preserve"> on internal control over financial reporting.</w:t>
      </w:r>
      <w:r>
        <w:rPr>
          <w:rFonts w:ascii="arial" w:eastAsia="arial" w:hAnsi="arial" w:cs="arial"/>
          <w:b w:val="0"/>
          <w:i w:val="0"/>
          <w:strike w:val="0"/>
          <w:noProof w:val="0"/>
          <w:color w:val="000000"/>
          <w:position w:val="0"/>
          <w:sz w:val="20"/>
          <w:u w:val="none"/>
          <w:vertAlign w:val="baseline"/>
        </w:rPr>
        <w:t>*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other than an emerging growth company, as defined in Rule 12b-2 of the Exchange Act, a statement that the registered public accounting firm that audited the financial statements included in the annual report containing the disclosure required by this Item has issued an attestation report on management's assessment of the issuer's internal control over financial reporting.</w:t>
      </w:r>
    </w:p>
    <w:p>
      <w:pPr>
        <w:keepNext w:val="0"/>
        <w:numPr>
          <w:numId w:val="100"/>
        </w:numPr>
        <w:spacing w:before="120" w:after="0" w:line="260" w:lineRule="atLeast"/>
        <w:ind w:right="0"/>
        <w:jc w:val="both"/>
      </w:pPr>
      <w:r>
        <w:rPr>
          <w:b/>
          <w:i/>
          <w:sz w:val="20"/>
        </w:rPr>
        <w:t>registered public accounting firm.</w:t>
      </w:r>
      <w:r>
        <w:rPr>
          <w:rFonts w:ascii="arial" w:eastAsia="arial" w:hAnsi="arial" w:cs="arial"/>
          <w:b w:val="0"/>
          <w:i w:val="0"/>
          <w:strike w:val="0"/>
          <w:noProof w:val="0"/>
          <w:color w:val="000000"/>
          <w:position w:val="0"/>
          <w:sz w:val="20"/>
          <w:u w:val="none"/>
          <w:vertAlign w:val="baseline"/>
        </w:rPr>
        <w:t>Where the Form is being used as an annual report filed under Section 13(a) or 15(d) of the Exchange Act, the issuer, other than an emerging growth company, as defined in Rule 12b-2 of the Exchange Act, must provide the registered public accounting firm's attestation report on management's assessment of internal control over financial reporting in the annual report containing the disclosure required by this Item.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8-K (referenced in § 249.308) by adding text and two check boxes to the cover page immediately before the General Instructions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8-K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8-K</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CURRENT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Section 13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an emerging growth company as defined in as defined in Rule 405 of the Securities Act of 1933 (§ 230.405 of this chapter) or Rule 12b-2 of the Securities Exchange Act of 1934 (§ 240.12b-2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10-Q (referenced in § 249.308a) by revising the text and check boxes on the cover page immediately before the text "Indicate by check mark whether the registrant is a shell company (as defined in Rule 12b-2 of the Exchange Act)."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10-Q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10-K (referenced in § 249.310) by revising the text and check boxes on the cover page immediately before the text "Indicate by check mark whether the registrant is a shell company (as defined in Rule 12b-2 of the Exchange Act)."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Large 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Accelerated filer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Non-accelerated filer [] (Do not check if a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Emerging growth company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31,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2017-06797 Filed 4-11-17;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April 12,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With regard to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Julie Davis at (202) 551-3460, in the Office of Small Business Policy, Division of Corporation Finance, and with regard to the other amendments, N. Sean Harrison at (202) 551-3430, in the Office of Rulemaking, Division of Corporation Finance,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17545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210-- FORM AND CONTEN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210.2-02 Accountants'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f) Attestation report on in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210.3-02 Consolidated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227-- REGULATION CROWDFU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227.1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227.2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229.301 (Item 301) Selec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d) Emerging growth compa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229.303 (Item 303) Mana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29.308 (Item 308) Inter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b) Attestation report of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229.402 (Item 402) Execu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l) Smaller reporting compan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t) Golden parachute compens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29.1011 (Item 1011) Ad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Section 230.151 is also issu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ection 230.160 is also issu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ection 230.193 is also issu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Sections 230.400 to 230.49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Section 230.502 is also issu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230.405 Definitions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 240.12b-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240.14a-21 Shareholder ap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4"/>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Item 3. Key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Item 8. Financial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4"/>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Item 15. Controls and Procedu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c) Attestation report of th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B. Information To Be Filed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6"/>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c) Management's annual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4"/>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d) Attestation report of th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TW-JSJ0-008G-Y3KR-00000-00&amp;context=" TargetMode="External" /><Relationship Id="rId100" Type="http://schemas.openxmlformats.org/officeDocument/2006/relationships/hyperlink" Target="https://advance.lexis.com/api/document?collection=statutes-legislation&amp;id=urn:contentItem:4YF7-GPC1-NRF4-4309-00000-00&amp;context=" TargetMode="External" /><Relationship Id="rId101" Type="http://schemas.openxmlformats.org/officeDocument/2006/relationships/hyperlink" Target="https://advance.lexis.com/api/document?collection=statutes-legislation&amp;id=urn:contentItem:4YF7-GTJ1-NRF4-4357-00000-00&amp;context=" TargetMode="External" /><Relationship Id="rId102" Type="http://schemas.openxmlformats.org/officeDocument/2006/relationships/hyperlink" Target="https://advance.lexis.com/api/document?collection=statutes-legislation&amp;id=urn:contentItem:4YF7-GMJ1-NRF4-401D-00000-00&amp;context=" TargetMode="External" /><Relationship Id="rId103" Type="http://schemas.openxmlformats.org/officeDocument/2006/relationships/hyperlink" Target="https://advance.lexis.com/api/document?collection=statutes-legislation&amp;id=urn:contentItem:4YF7-GK71-NRF4-4360-00000-00&amp;context=" TargetMode="External" /><Relationship Id="rId104" Type="http://schemas.openxmlformats.org/officeDocument/2006/relationships/hyperlink" Target="https://advance.lexis.com/api/document?collection=statutes-legislation&amp;id=urn:contentItem:4YF7-GJ91-NRF4-44CM-00000-00&amp;context=" TargetMode="External" /><Relationship Id="rId105" Type="http://schemas.openxmlformats.org/officeDocument/2006/relationships/hyperlink" Target="https://advance.lexis.com/api/document?collection=statutes-legislation&amp;id=urn:contentItem:4YF7-GVK1-NRF4-438D-00000-00&amp;context=" TargetMode="External" /><Relationship Id="rId106" Type="http://schemas.openxmlformats.org/officeDocument/2006/relationships/hyperlink" Target="https://advance.lexis.com/api/document?collection=statutes-legislation&amp;id=urn:contentItem:50S9-6TD1-NRF4-4001-00000-00&amp;context=" TargetMode="Externa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hyperlink" Target="https://advance.lexis.com/api/document?collection=administrative-codes&amp;id=urn:contentItem:5STW-JSJ0-008G-Y3M9-00000-00&amp;context=" TargetMode="External" /><Relationship Id="rId12" Type="http://schemas.openxmlformats.org/officeDocument/2006/relationships/hyperlink" Target="https://advance.lexis.com/api/document?collection=administrative-codes&amp;id=urn:contentItem:5STW-JSD0-008G-Y369-00000-00&amp;context=" TargetMode="External" /><Relationship Id="rId13" Type="http://schemas.openxmlformats.org/officeDocument/2006/relationships/hyperlink" Target="https://advance.lexis.com/api/document?collection=administrative-codes&amp;id=urn:contentItem:5STW-JS90-008G-Y30F-00000-00&amp;context=" TargetMode="External" /><Relationship Id="rId14" Type="http://schemas.openxmlformats.org/officeDocument/2006/relationships/hyperlink" Target="https://advance.lexis.com/api/document?collection=administrative-codes&amp;id=urn:contentItem:5RB9-CWN0-008G-Y10J-00000-00&amp;context=" TargetMode="External" /><Relationship Id="rId15" Type="http://schemas.openxmlformats.org/officeDocument/2006/relationships/hyperlink" Target="https://advance.lexis.com/api/document?collection=administrative-codes&amp;id=urn:contentItem:5RB9-CWX0-008G-Y1K4-00000-00&amp;context=" TargetMode="External" /><Relationship Id="rId16" Type="http://schemas.openxmlformats.org/officeDocument/2006/relationships/hyperlink" Target="https://advance.lexis.com/api/document?collection=administrative-codes&amp;id=urn:contentItem:5RB9-CWX0-008G-Y1K5-00000-00&amp;context=" TargetMode="External" /><Relationship Id="rId17" Type="http://schemas.openxmlformats.org/officeDocument/2006/relationships/hyperlink" Target="https://advance.lexis.com/api/document?collection=statutes-legislation&amp;id=urn:contentItem:4YF7-GJ31-NRF4-41XS-00000-00&amp;context=" TargetMode="External" /><Relationship Id="rId18" Type="http://schemas.openxmlformats.org/officeDocument/2006/relationships/hyperlink" Target="https://advance.lexis.com/api/document?collection=administrative-codes&amp;id=urn:contentItem:5NBM-FMX0-008G-Y14S-00000-00&amp;context=" TargetMode="External" /><Relationship Id="rId19" Type="http://schemas.openxmlformats.org/officeDocument/2006/relationships/hyperlink" Target="https://advance.lexis.com/api/document?collection=administrative-codes&amp;id=urn:contentItem:5STW-JS90-008G-Y2Y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S7-P930-008G-Y3YF-00000-00&amp;context=" TargetMode="External" /><Relationship Id="rId21" Type="http://schemas.openxmlformats.org/officeDocument/2006/relationships/hyperlink" Target="https://advance.lexis.com/api/document?collection=administrative-codes&amp;id=urn:contentItem:5STW-JSG0-008G-Y3C2-00000-00&amp;context=" TargetMode="External" /><Relationship Id="rId22" Type="http://schemas.openxmlformats.org/officeDocument/2006/relationships/hyperlink" Target="https://advance.lexis.com/api/document?collection=administrative-codes&amp;id=urn:contentItem:5STW-JSG0-008G-Y3C3-00000-00&amp;context=" TargetMode="External" /><Relationship Id="rId23" Type="http://schemas.openxmlformats.org/officeDocument/2006/relationships/hyperlink" Target="https://advance.lexis.com/api/document?collection=administrative-codes&amp;id=urn:contentItem:5RS7-P930-008G-Y3Y7-00000-00&amp;context=" TargetMode="External" /><Relationship Id="rId24" Type="http://schemas.openxmlformats.org/officeDocument/2006/relationships/hyperlink" Target="https://advance.lexis.com/api/document?collection=administrative-codes&amp;id=urn:contentItem:5RS7-P930-008G-Y3Y8-00000-00&amp;context=" TargetMode="External" /><Relationship Id="rId25" Type="http://schemas.openxmlformats.org/officeDocument/2006/relationships/hyperlink" Target="https://advance.lexis.com/api/document?collection=statutes-legislation&amp;id=urn:contentItem:4YF7-GHK1-NRF4-42KX-00000-00&amp;context=" TargetMode="External" /><Relationship Id="rId26" Type="http://schemas.openxmlformats.org/officeDocument/2006/relationships/hyperlink" Target="https://advance.lexis.com/api/document?collection=administrative-codes&amp;id=urn:contentItem:5NBM-FMT0-008G-Y14F-00000-00&amp;context=" TargetMode="External" /><Relationship Id="rId27" Type="http://schemas.openxmlformats.org/officeDocument/2006/relationships/hyperlink" Target="https://advance.lexis.com/api/document?collection=administrative-codes&amp;id=urn:contentItem:5NBM-FJV0-008G-Y0H0-00000-00&amp;context=" TargetMode="External" /><Relationship Id="rId28" Type="http://schemas.openxmlformats.org/officeDocument/2006/relationships/hyperlink" Target="https://advance.lexis.com/api/document?collection=administrative-codes&amp;id=urn:contentItem:5NBM-FNT0-008G-Y180-00000-00&amp;context=" TargetMode="External" /><Relationship Id="rId29" Type="http://schemas.openxmlformats.org/officeDocument/2006/relationships/hyperlink" Target="https://advance.lexis.com/api/document?collection=administrative-codes&amp;id=urn:contentItem:5NBM-FP30-008G-Y1D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P30-008G-Y1DJ-00000-00&amp;context=" TargetMode="External" /><Relationship Id="rId31" Type="http://schemas.openxmlformats.org/officeDocument/2006/relationships/hyperlink" Target="https://advance.lexis.com/api/document?collection=administrative-codes&amp;id=urn:contentItem:5RS7-P920-008G-Y3WD-00000-00&amp;context=" TargetMode="External" /><Relationship Id="rId32" Type="http://schemas.openxmlformats.org/officeDocument/2006/relationships/hyperlink" Target="https://advance.lexis.com/api/document?collection=administrative-codes&amp;id=urn:contentItem:5RS7-P930-008G-Y3Y1-00000-00&amp;context=" TargetMode="External" /><Relationship Id="rId33" Type="http://schemas.openxmlformats.org/officeDocument/2006/relationships/hyperlink" Target="https://advance.lexis.com/api/document?collection=administrative-codes&amp;id=urn:contentItem:5RS7-P930-008G-Y3X7-00000-00&amp;context=" TargetMode="External" /><Relationship Id="rId34" Type="http://schemas.openxmlformats.org/officeDocument/2006/relationships/hyperlink" Target="https://advance.lexis.com/api/document?collection=administrative-codes&amp;id=urn:contentItem:5RS7-P930-008G-Y3Y3-00000-00&amp;context=" TargetMode="External" /><Relationship Id="rId35" Type="http://schemas.openxmlformats.org/officeDocument/2006/relationships/hyperlink" Target="https://advance.lexis.com/api/document?collection=administrative-codes&amp;id=urn:contentItem:5RS7-P920-008G-Y3SD-00000-00&amp;context=" TargetMode="External" /><Relationship Id="rId36" Type="http://schemas.openxmlformats.org/officeDocument/2006/relationships/hyperlink" Target="https://advance.lexis.com/api/document?collection=administrative-codes&amp;id=urn:contentItem:5STW-JSH0-008G-Y3KN-00000-00&amp;context=" TargetMode="External" /><Relationship Id="rId37" Type="http://schemas.openxmlformats.org/officeDocument/2006/relationships/hyperlink" Target="https://advance.lexis.com/api/document?collection=statutes-legislation&amp;id=urn:contentItem:4YF7-GP91-NRF4-424S-00000-00&amp;context=" TargetMode="External" /><Relationship Id="rId38" Type="http://schemas.openxmlformats.org/officeDocument/2006/relationships/hyperlink" Target="https://advance.lexis.com/api/document?collection=statutes-legislation&amp;id=urn:contentItem:4YF7-GHK1-NRF4-4295-00000-00&amp;context=" TargetMode="External" /><Relationship Id="rId39" Type="http://schemas.openxmlformats.org/officeDocument/2006/relationships/hyperlink" Target="https://advance.lexis.com/api/document?collection=statutes-legislation&amp;id=urn:contentItem:4YF7-GHC1-NRF4-407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0S9-4YN1-NRF4-4001-00000-00&amp;context=" TargetMode="External" /><Relationship Id="rId41" Type="http://schemas.openxmlformats.org/officeDocument/2006/relationships/hyperlink" Target="https://advance.lexis.com/api/document?collection=administrative-codes&amp;id=urn:contentItem:5K4J-B5H0-006W-81WJ-00000-00&amp;context=" TargetMode="External" /><Relationship Id="rId42" Type="http://schemas.openxmlformats.org/officeDocument/2006/relationships/hyperlink" Target="https://advance.lexis.com/api/document?collection=statutes-legislation&amp;id=urn:contentItem:4YF7-GHB1-NRF4-401B-00000-00&amp;context=" TargetMode="External" /><Relationship Id="rId43" Type="http://schemas.openxmlformats.org/officeDocument/2006/relationships/hyperlink" Target="https://advance.lexis.com/api/document?collection=statutes-legislation&amp;id=urn:contentItem:4YF7-GSJ1-NRF4-43NM-00000-00&amp;context=" TargetMode="External" /><Relationship Id="rId44" Type="http://schemas.openxmlformats.org/officeDocument/2006/relationships/hyperlink" Target="https://advance.lexis.com/api/document?collection=statutes-legislation&amp;id=urn:contentItem:4YF7-GNP1-NRF4-40Y4-00000-00&amp;context=" TargetMode="External" /><Relationship Id="rId45" Type="http://schemas.openxmlformats.org/officeDocument/2006/relationships/hyperlink" Target="https://advance.lexis.com/api/document?collection=administrative-codes&amp;id=urn:contentItem:5FXS-DPM0-006W-82CB-00000-00&amp;context=" TargetMode="External" /><Relationship Id="rId46" Type="http://schemas.openxmlformats.org/officeDocument/2006/relationships/hyperlink" Target="https://advance.lexis.com/api/document?collection=administrative-codes&amp;id=urn:contentItem:5GPR-RHD0-006W-83V4-00000-00&amp;context=" TargetMode="External" /><Relationship Id="rId47" Type="http://schemas.openxmlformats.org/officeDocument/2006/relationships/hyperlink" Target="https://www.bls.gov/cpi/home.htm" TargetMode="External" /><Relationship Id="rId48" Type="http://schemas.openxmlformats.org/officeDocument/2006/relationships/hyperlink" Target="https://advance.lexis.com/api/document?collection=statutes-legislation&amp;id=urn:contentItem:4YF7-GN31-NRF4-40BF-00000-00&amp;context=" TargetMode="External" /><Relationship Id="rId49" Type="http://schemas.openxmlformats.org/officeDocument/2006/relationships/hyperlink" Target="https://advance.lexis.com/api/document?collection=statutes-legislation&amp;id=urn:contentItem:4YF7-GP21-NRF4-452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5CY-81P1-NRF4-4001-00000-00&amp;context=" TargetMode="External" /><Relationship Id="rId51" Type="http://schemas.openxmlformats.org/officeDocument/2006/relationships/hyperlink" Target="https://advance.lexis.com/api/document?collection=statutes-legislation&amp;id=urn:contentItem:4YF7-GN91-NRF4-42NP-00000-00&amp;context=" TargetMode="External" /><Relationship Id="rId52" Type="http://schemas.openxmlformats.org/officeDocument/2006/relationships/hyperlink" Target="http://www.sec.gov/divisions/corpfin/guidance/cfjjobsactfaq-title-i-general.htm" TargetMode="External" /><Relationship Id="rId53" Type="http://schemas.openxmlformats.org/officeDocument/2006/relationships/hyperlink" Target="https://advance.lexis.com/api/document?collection=administrative-codes&amp;id=urn:contentItem:5NBM-FM90-008G-Y103-00000-00&amp;context=" TargetMode="External" /><Relationship Id="rId54" Type="http://schemas.openxmlformats.org/officeDocument/2006/relationships/hyperlink" Target="https://advance.lexis.com/api/document?collection=administrative-codes&amp;id=urn:contentItem:5HCY-PC70-006W-831N-00000-00&amp;context=" TargetMode="External" /><Relationship Id="rId55" Type="http://schemas.openxmlformats.org/officeDocument/2006/relationships/hyperlink" Target="https://advance.lexis.com/api/document?collection=statutes-legislation&amp;id=urn:contentItem:4YF7-GHK1-NRF4-42MG-00000-00&amp;context=" TargetMode="External" /><Relationship Id="rId56" Type="http://schemas.openxmlformats.org/officeDocument/2006/relationships/hyperlink" Target="https://advance.lexis.com/api/document?collection=statutes-legislation&amp;id=urn:contentItem:4YF7-GVC1-NRF4-40TD-00000-00&amp;context=" TargetMode="External" /><Relationship Id="rId57" Type="http://schemas.openxmlformats.org/officeDocument/2006/relationships/hyperlink" Target="https://advance.lexis.com/api/document?collection=statutes-legislation&amp;id=urn:contentItem:4YF7-GNM1-NRF4-408K-00000-00&amp;context=" TargetMode="External" /><Relationship Id="rId58" Type="http://schemas.openxmlformats.org/officeDocument/2006/relationships/hyperlink" Target="https://advance.lexis.com/api/document?collection=statutes-legislation&amp;id=urn:contentItem:4YF7-GJ11-NRF4-41B8-00000-00&amp;context=" TargetMode="External" /><Relationship Id="rId59" Type="http://schemas.openxmlformats.org/officeDocument/2006/relationships/hyperlink" Target="https://advance.lexis.com/api/document?collection=statutes-legislation&amp;id=urn:contentItem:4YF7-GVJ1-NRF4-42V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81-NRF4-411F-00000-00&amp;context=" TargetMode="External" /><Relationship Id="rId61" Type="http://schemas.openxmlformats.org/officeDocument/2006/relationships/hyperlink" Target="https://advance.lexis.com/api/document?collection=statutes-legislation&amp;id=urn:contentItem:4YF7-GN41-NRF4-40NY-00000-00&amp;context=" TargetMode="External" /><Relationship Id="rId62" Type="http://schemas.openxmlformats.org/officeDocument/2006/relationships/hyperlink" Target="https://advance.lexis.com/api/document?collection=statutes-legislation&amp;id=urn:contentItem:4YF7-GT21-NRF4-438V-00000-00&amp;context=" TargetMode="External" /><Relationship Id="rId63" Type="http://schemas.openxmlformats.org/officeDocument/2006/relationships/hyperlink" Target="https://advance.lexis.com/api/document?collection=statutes-legislation&amp;id=urn:contentItem:4YF7-GTF1-NRF4-41YH-00000-00&amp;context=" TargetMode="External" /><Relationship Id="rId64" Type="http://schemas.openxmlformats.org/officeDocument/2006/relationships/hyperlink" Target="https://advance.lexis.com/api/document?collection=statutes-legislation&amp;id=urn:contentItem:4YF7-GST1-NRF4-40JR-00000-00&amp;context=" TargetMode="External" /><Relationship Id="rId65" Type="http://schemas.openxmlformats.org/officeDocument/2006/relationships/hyperlink" Target="https://advance.lexis.com/api/document?collection=statutes-legislation&amp;id=urn:contentItem:4YF7-GTM1-NRF4-43MS-00000-00&amp;context=" TargetMode="External" /><Relationship Id="rId66" Type="http://schemas.openxmlformats.org/officeDocument/2006/relationships/hyperlink" Target="https://advance.lexis.com/api/document?collection=statutes-legislation&amp;id=urn:contentItem:4YF7-GVH1-NRF4-42BY-00000-00&amp;context=" TargetMode="External" /><Relationship Id="rId67" Type="http://schemas.openxmlformats.org/officeDocument/2006/relationships/hyperlink" Target="https://advance.lexis.com/api/document?collection=statutes-legislation&amp;id=urn:contentItem:4YF7-GMX1-NRF4-4436-00000-00&amp;context=" TargetMode="External" /><Relationship Id="rId68" Type="http://schemas.openxmlformats.org/officeDocument/2006/relationships/hyperlink" Target="https://advance.lexis.com/api/document?collection=statutes-legislation&amp;id=urn:contentItem:4YF7-GRS1-NRF4-40N1-00000-00&amp;context=" TargetMode="External" /><Relationship Id="rId69" Type="http://schemas.openxmlformats.org/officeDocument/2006/relationships/hyperlink" Target="https://advance.lexis.com/api/document?collection=statutes-legislation&amp;id=urn:contentItem:4YF7-GKJ1-NRF4-40VC-00000-00&amp;context=" TargetMode="External" /><Relationship Id="rId7" Type="http://schemas.openxmlformats.org/officeDocument/2006/relationships/hyperlink" Target="https://advance.lexis.com/api/document?collection=administrative-codes&amp;id=urn:contentItem:5N99-TS90-006W-80V4-00000-00&amp;context=" TargetMode="External" /><Relationship Id="rId70" Type="http://schemas.openxmlformats.org/officeDocument/2006/relationships/hyperlink" Target="https://advance.lexis.com/api/document?collection=statutes-legislation&amp;id=urn:contentItem:4YF7-GN31-NRF4-403H-00000-00&amp;context=" TargetMode="External" /><Relationship Id="rId71" Type="http://schemas.openxmlformats.org/officeDocument/2006/relationships/hyperlink" Target="https://advance.lexis.com/api/document?collection=statutes-legislation&amp;id=urn:contentItem:4YF7-GNW1-NRF4-434D-00000-00&amp;context=" TargetMode="External" /><Relationship Id="rId72" Type="http://schemas.openxmlformats.org/officeDocument/2006/relationships/hyperlink" Target="https://advance.lexis.com/api/document?collection=statutes-legislation&amp;id=urn:contentItem:4YF7-GMD1-NRF4-441X-00000-00&amp;context=" TargetMode="External" /><Relationship Id="rId73" Type="http://schemas.openxmlformats.org/officeDocument/2006/relationships/hyperlink" Target="https://advance.lexis.com/api/document?collection=statutes-legislation&amp;id=urn:contentItem:4YF7-GPF1-NRF4-43P9-00000-00&amp;context=" TargetMode="External" /><Relationship Id="rId74" Type="http://schemas.openxmlformats.org/officeDocument/2006/relationships/hyperlink" Target="https://advance.lexis.com/api/document?collection=statutes-legislation&amp;id=urn:contentItem:4YF7-GMS1-NRF4-42X7-00000-00&amp;context=" TargetMode="External" /><Relationship Id="rId75" Type="http://schemas.openxmlformats.org/officeDocument/2006/relationships/hyperlink" Target="https://advance.lexis.com/api/document?collection=statutes-legislation&amp;id=urn:contentItem:4YF7-GMD1-NRF4-4461-00000-00&amp;context=" TargetMode="External" /><Relationship Id="rId76" Type="http://schemas.openxmlformats.org/officeDocument/2006/relationships/hyperlink" Target="https://advance.lexis.com/api/document?collection=statutes-legislation&amp;id=urn:contentItem:4YF7-GRX1-NRF4-4224-00000-00&amp;context=" TargetMode="External" /><Relationship Id="rId77" Type="http://schemas.openxmlformats.org/officeDocument/2006/relationships/hyperlink" Target="https://advance.lexis.com/api/document?collection=statutes-legislation&amp;id=urn:contentItem:4YF7-GVD1-NRF4-4118-00000-00&amp;context=" TargetMode="External" /><Relationship Id="rId78" Type="http://schemas.openxmlformats.org/officeDocument/2006/relationships/hyperlink" Target="https://advance.lexis.com/api/document?collection=statutes-legislation&amp;id=urn:contentItem:4YF7-GPC1-NRF4-433B-00000-00&amp;context=" TargetMode="External" /><Relationship Id="rId79" Type="http://schemas.openxmlformats.org/officeDocument/2006/relationships/hyperlink" Target="https://advance.lexis.com/api/document?collection=statutes-legislation&amp;id=urn:contentItem:4YF7-GV41-NRF4-43NC-00000-00&amp;context=" TargetMode="External" /><Relationship Id="rId8" Type="http://schemas.openxmlformats.org/officeDocument/2006/relationships/hyperlink" Target="https://advance.lexis.com/api/document?collection=administrative-codes&amp;id=urn:contentItem:5RB9-CX20-008G-Y23K-00000-00&amp;context=" TargetMode="External" /><Relationship Id="rId80" Type="http://schemas.openxmlformats.org/officeDocument/2006/relationships/hyperlink" Target="https://advance.lexis.com/api/document?collection=statutes-legislation&amp;id=urn:contentItem:4YF7-GK41-NRF4-424D-00000-00&amp;context=" TargetMode="External" /><Relationship Id="rId81" Type="http://schemas.openxmlformats.org/officeDocument/2006/relationships/hyperlink" Target="https://advance.lexis.com/api/document?collection=statutes-legislation&amp;id=urn:contentItem:4YF7-GK81-NRF4-43J1-00000-00&amp;context=" TargetMode="External" /><Relationship Id="rId82" Type="http://schemas.openxmlformats.org/officeDocument/2006/relationships/hyperlink" Target="https://advance.lexis.com/api/document?collection=statutes-legislation&amp;id=urn:contentItem:4YF7-GT61-NRF4-452M-00000-00&amp;context=" TargetMode="External" /><Relationship Id="rId83" Type="http://schemas.openxmlformats.org/officeDocument/2006/relationships/hyperlink" Target="https://advance.lexis.com/api/document?collection=statutes-legislation&amp;id=urn:contentItem:4YF7-GVK1-NRF4-4389-00000-00&amp;context=" TargetMode="External" /><Relationship Id="rId84" Type="http://schemas.openxmlformats.org/officeDocument/2006/relationships/hyperlink" Target="https://advance.lexis.com/api/document?collection=statutes-legislation&amp;id=urn:contentItem:4YF7-GNY1-NRF4-4414-00000-00&amp;context=" TargetMode="External" /><Relationship Id="rId85" Type="http://schemas.openxmlformats.org/officeDocument/2006/relationships/hyperlink" Target="https://advance.lexis.com/api/document?collection=statutes-legislation&amp;id=urn:contentItem:4YF7-GPK1-NRF4-44YY-00000-00&amp;context=" TargetMode="External" /><Relationship Id="rId86" Type="http://schemas.openxmlformats.org/officeDocument/2006/relationships/hyperlink" Target="https://advance.lexis.com/api/document?collection=statutes-legislation&amp;id=urn:contentItem:4YF7-GHR1-NRF4-43NP-00000-00&amp;context=" TargetMode="External" /><Relationship Id="rId87" Type="http://schemas.openxmlformats.org/officeDocument/2006/relationships/hyperlink" Target="https://advance.lexis.com/api/document?collection=statutes-legislation&amp;id=urn:contentItem:4YF7-GKK1-NRF4-416W-00000-00&amp;context=" TargetMode="External" /><Relationship Id="rId88" Type="http://schemas.openxmlformats.org/officeDocument/2006/relationships/hyperlink" Target="https://advance.lexis.com/api/document?collection=statutes-legislation&amp;id=urn:contentItem:4YF7-GRH1-NRF4-4400-00000-00&amp;context=" TargetMode="External" /><Relationship Id="rId89" Type="http://schemas.openxmlformats.org/officeDocument/2006/relationships/hyperlink" Target="https://advance.lexis.com/api/document?collection=statutes-legislation&amp;id=urn:contentItem:4YF7-GNP1-NRF4-417B-00000-00&amp;context=" TargetMode="External" /><Relationship Id="rId9" Type="http://schemas.openxmlformats.org/officeDocument/2006/relationships/hyperlink" Target="https://advance.lexis.com/api/document?collection=administrative-codes&amp;id=urn:contentItem:5STW-JS90-008G-Y2Y3-00000-00&amp;context=" TargetMode="External" /><Relationship Id="rId90" Type="http://schemas.openxmlformats.org/officeDocument/2006/relationships/hyperlink" Target="https://advance.lexis.com/api/document?collection=statutes-legislation&amp;id=urn:contentItem:4YF7-GM91-NRF4-42T7-00000-00&amp;context=" TargetMode="External" /><Relationship Id="rId91" Type="http://schemas.openxmlformats.org/officeDocument/2006/relationships/hyperlink" Target="https://advance.lexis.com/api/document?collection=statutes-legislation&amp;id=urn:contentItem:4YF7-GP91-NRF4-42BX-00000-00&amp;context=" TargetMode="External" /><Relationship Id="rId92" Type="http://schemas.openxmlformats.org/officeDocument/2006/relationships/hyperlink" Target="https://advance.lexis.com/api/document?collection=statutes-legislation&amp;id=urn:contentItem:50S9-4YC1-NRF4-4001-00000-00&amp;context=" TargetMode="External" /><Relationship Id="rId93" Type="http://schemas.openxmlformats.org/officeDocument/2006/relationships/hyperlink" Target="https://advance.lexis.com/api/document?collection=statutes-legislation&amp;id=urn:contentItem:4YF7-GWF1-NRF4-40P8-00000-00&amp;context=" TargetMode="External" /><Relationship Id="rId94" Type="http://schemas.openxmlformats.org/officeDocument/2006/relationships/hyperlink" Target="https://advance.lexis.com/api/document?collection=statutes-legislation&amp;id=urn:contentItem:4YF7-GWF1-NRF4-40ND-00000-00&amp;context=" TargetMode="External" /><Relationship Id="rId95" Type="http://schemas.openxmlformats.org/officeDocument/2006/relationships/hyperlink" Target="https://advance.lexis.com/api/document?collection=statutes-legislation&amp;id=urn:contentItem:4YF7-GSX1-NRF4-41YG-00000-00&amp;context=" TargetMode="External" /><Relationship Id="rId96" Type="http://schemas.openxmlformats.org/officeDocument/2006/relationships/hyperlink" Target="https://advance.lexis.com/api/document?collection=statutes-legislation&amp;id=urn:contentItem:50S9-3N11-NRF4-4001-00000-00&amp;context=" TargetMode="External" /><Relationship Id="rId97" Type="http://schemas.openxmlformats.org/officeDocument/2006/relationships/hyperlink" Target="https://advance.lexis.com/api/document?collection=statutes-legislation&amp;id=urn:contentItem:50S9-3P01-NRF4-4001-00000-00&amp;context=" TargetMode="External" /><Relationship Id="rId98" Type="http://schemas.openxmlformats.org/officeDocument/2006/relationships/hyperlink" Target="https://advance.lexis.com/api/document?collection=statutes-legislation&amp;id=urn:contentItem:4YF7-GW11-NRF4-41R0-00000-00&amp;context=" TargetMode="External" /><Relationship Id="rId99" Type="http://schemas.openxmlformats.org/officeDocument/2006/relationships/hyperlink" Target="https://advance.lexis.com/api/document?collection=statutes-legislation&amp;id=urn:contentItem:4YF7-GTP1-NRF4-44G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