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1786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004, Part II, Friday, January 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1786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Residential Central Air Conditioners and Heat Pumps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Direct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EERE-2014-BT-STD-0048]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1904-AD37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residential central air conditioners and heat pumps. EPCA also requires the U.S. Department of Energy (DOE) to periodically determine whether more-stringent, amended standards would be technologically feasible and economically justified, and would save a significant amount of energy. In this direct final rule, DOE adopts amended energy conservation standards for residential central air conditioners and heat pumps.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the Current CAC/HP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2015-2016 ASRAC Working Group Recommended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Standby Mode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Representative Capacities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Tabulated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Split-System Central Air Conditioner: Blower-Coil to Coil-Only Efficiency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Split-System Central Air Conditioner: Coil-Only Efficiency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Split-System Central Air Conditioner: Coil-Only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Fan Energy Use During Continuous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Inputs to Installed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Inputs to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Product Efficiency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Inputs to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Model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Inputs and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Cost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Accounting for Repaired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Net Present Value of Consumer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 </w:t>
      </w:r>
      <w:r>
        <w:rPr>
          <w:rFonts w:ascii="arial" w:eastAsia="arial" w:hAnsi="arial" w:cs="arial"/>
          <w:b/>
          <w:i w:val="0"/>
          <w:strike w:val="0"/>
          <w:noProof w:val="0"/>
          <w:color w:val="000000"/>
          <w:position w:val="0"/>
          <w:sz w:val="20"/>
          <w:u w:val="none"/>
          <w:vertAlign w:val="baseline"/>
        </w:rPr>
        <w:t> [*1787]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Product Utility 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Central Air Conditioner and Heat Pump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Benefits and Costs (Annualized) of the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central air conditioners (CACs) and heat pumps (HPs), the subject of this rulemaking. (</w:t>
      </w:r>
      <w:hyperlink r:id="rId11" w:history="1">
        <w:r>
          <w:rPr>
            <w:rFonts w:ascii="arial" w:eastAsia="arial" w:hAnsi="arial" w:cs="arial"/>
            <w:b w:val="0"/>
            <w:i/>
            <w:strike w:val="0"/>
            <w:noProof w:val="0"/>
            <w:color w:val="0077CC"/>
            <w:position w:val="0"/>
            <w:sz w:val="20"/>
            <w:u w:val="single"/>
            <w:vertAlign w:val="baseline"/>
          </w:rPr>
          <w:t>42 U.S.C. 6292(a)(3)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(EEIA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the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The statute also provides that not later than six years after issuance of any final rule establishing or amending a standard, DOE must publish either a notice of determination that standards for the product do not need to be amended or a notice of proposed rulemaking including new proposed energy conservation standards (proceeding to a final rule, as appropriate).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Once complete, this rulemaking will satisfy these statutory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above and under the authority provided by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DOE is issuing this direct final rule amending the energy conservation standards for residential central air conditioners and heat pumps. The amendments outlined in this document reflect the culmination of a DOE rulemaking that included the following notices and stakeholder comments thereon: November 2014 request for information (RFI) </w:t>
      </w:r>
      <w:r>
        <w:rPr>
          <w:rFonts w:ascii="arial" w:eastAsia="arial" w:hAnsi="arial" w:cs="arial"/>
          <w:b w:val="0"/>
          <w:i/>
          <w:strike w:val="0"/>
          <w:noProof w:val="0"/>
          <w:color w:val="000000"/>
          <w:position w:val="0"/>
          <w:sz w:val="20"/>
          <w:u w:val="none"/>
          <w:vertAlign w:val="baseline"/>
        </w:rPr>
        <w:t>(79 FR 65603</w:t>
      </w:r>
      <w:r>
        <w:rPr>
          <w:rFonts w:ascii="arial" w:eastAsia="arial" w:hAnsi="arial" w:cs="arial"/>
          <w:b w:val="0"/>
          <w:i w:val="0"/>
          <w:strike w:val="0"/>
          <w:noProof w:val="0"/>
          <w:color w:val="000000"/>
          <w:position w:val="0"/>
          <w:sz w:val="20"/>
          <w:u w:val="none"/>
          <w:vertAlign w:val="baseline"/>
        </w:rPr>
        <w:t xml:space="preserve"> (Nov. 5, 2014)); August 2015 notice of data availability (NODA) </w:t>
      </w:r>
      <w:hyperlink r:id="rId13" w:history="1">
        <w:r>
          <w:rPr>
            <w:rFonts w:ascii="arial" w:eastAsia="arial" w:hAnsi="arial" w:cs="arial"/>
            <w:b w:val="0"/>
            <w:i/>
            <w:strike w:val="0"/>
            <w:noProof w:val="0"/>
            <w:color w:val="0077CC"/>
            <w:position w:val="0"/>
            <w:sz w:val="20"/>
            <w:u w:val="single"/>
            <w:vertAlign w:val="baseline"/>
          </w:rPr>
          <w:t>(80 FR 52206</w:t>
        </w:r>
      </w:hyperlink>
      <w:r>
        <w:rPr>
          <w:rFonts w:ascii="arial" w:eastAsia="arial" w:hAnsi="arial" w:cs="arial"/>
          <w:b w:val="0"/>
          <w:i w:val="0"/>
          <w:strike w:val="0"/>
          <w:noProof w:val="0"/>
          <w:color w:val="000000"/>
          <w:position w:val="0"/>
          <w:sz w:val="20"/>
          <w:u w:val="none"/>
          <w:vertAlign w:val="baseline"/>
        </w:rPr>
        <w:t xml:space="preserve"> (August 28, 2015)); and the 2015-2016 Appliance Standards and Rulemaking Federal Advisory Committee (ASRAC) central air conditioners and heat pumps working group negotiations, hereinafter referred to as "the Negotiations" </w:t>
      </w:r>
      <w:hyperlink r:id="rId14" w:history="1">
        <w:r>
          <w:rPr>
            <w:rFonts w:ascii="arial" w:eastAsia="arial" w:hAnsi="arial" w:cs="arial"/>
            <w:b w:val="0"/>
            <w:i/>
            <w:strike w:val="0"/>
            <w:noProof w:val="0"/>
            <w:color w:val="0077CC"/>
            <w:position w:val="0"/>
            <w:sz w:val="20"/>
            <w:u w:val="single"/>
            <w:vertAlign w:val="baseline"/>
          </w:rPr>
          <w:t>(80 FR 40938</w:t>
        </w:r>
      </w:hyperlink>
      <w:r>
        <w:rPr>
          <w:rFonts w:ascii="arial" w:eastAsia="arial" w:hAnsi="arial" w:cs="arial"/>
          <w:b w:val="0"/>
          <w:i w:val="0"/>
          <w:strike w:val="0"/>
          <w:noProof w:val="0"/>
          <w:color w:val="000000"/>
          <w:position w:val="0"/>
          <w:sz w:val="20"/>
          <w:u w:val="none"/>
          <w:vertAlign w:val="baseline"/>
        </w:rPr>
        <w:t xml:space="preserve"> (July 14, 2015)). See section II.B.2 for a detailed history of the current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consensus reached by the CAC/HP ASRAC Working Group, hereinafter referred to as "the CAC/HP Working Group," on amended energy conservation standards is outlined in the ASRAC Working Group Term Sheet, hereinafter referred to as "the Term Sheet." (ASRAC Working Group Term Sheet, Docket No. EERE-2014-BT-STD-0048, No. 0076) After carefully considering the Term Sheet, DOE determined that the recommendations contained therein are compliant with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as required by </w:t>
      </w:r>
      <w:hyperlink r:id="rId12" w:history="1">
        <w:r>
          <w:rPr>
            <w:rFonts w:ascii="arial" w:eastAsia="arial" w:hAnsi="arial" w:cs="arial"/>
            <w:b w:val="0"/>
            <w:i/>
            <w:strike w:val="0"/>
            <w:noProof w:val="0"/>
            <w:color w:val="0077CC"/>
            <w:position w:val="0"/>
            <w:sz w:val="20"/>
            <w:u w:val="single"/>
            <w:vertAlign w:val="baseline"/>
          </w:rPr>
          <w:t>42 U.S.C. 6295(p)(4)(A)(i)</w:t>
        </w:r>
      </w:hyperlink>
      <w:r>
        <w:rPr>
          <w:rFonts w:ascii="arial" w:eastAsia="arial" w:hAnsi="arial" w:cs="arial"/>
          <w:b w:val="0"/>
          <w:i w:val="0"/>
          <w:strike w:val="0"/>
          <w:noProof w:val="0"/>
          <w:color w:val="000000"/>
          <w:position w:val="0"/>
          <w:sz w:val="20"/>
          <w:u w:val="none"/>
          <w:vertAlign w:val="baseline"/>
        </w:rPr>
        <w:t xml:space="preserve"> for the issuance of a direct final rule. As required by </w:t>
      </w:r>
      <w:hyperlink r:id="rId12" w:history="1">
        <w:r>
          <w:rPr>
            <w:rFonts w:ascii="arial" w:eastAsia="arial" w:hAnsi="arial" w:cs="arial"/>
            <w:b w:val="0"/>
            <w:i/>
            <w:strike w:val="0"/>
            <w:noProof w:val="0"/>
            <w:color w:val="0077CC"/>
            <w:position w:val="0"/>
            <w:sz w:val="20"/>
            <w:u w:val="single"/>
            <w:vertAlign w:val="baseline"/>
          </w:rPr>
          <w:t>42 U.S.C. 6295(p)(4)(A)(i)</w:t>
        </w:r>
      </w:hyperlink>
      <w:r>
        <w:rPr>
          <w:rFonts w:ascii="arial" w:eastAsia="arial" w:hAnsi="arial" w:cs="arial"/>
          <w:b w:val="0"/>
          <w:i w:val="0"/>
          <w:strike w:val="0"/>
          <w:noProof w:val="0"/>
          <w:color w:val="000000"/>
          <w:position w:val="0"/>
          <w:sz w:val="20"/>
          <w:u w:val="none"/>
          <w:vertAlign w:val="baseline"/>
        </w:rPr>
        <w:t>, DOE is simultaneously publishing a NOPR proposing that the identical standard levels contained in this direct final rule be adopted. Consistent with the statute, DOE is providing a 110-day public comment period on the direct final rule. (</w:t>
      </w:r>
      <w:hyperlink r:id="rId12" w:history="1">
        <w:r>
          <w:rPr>
            <w:rFonts w:ascii="arial" w:eastAsia="arial" w:hAnsi="arial" w:cs="arial"/>
            <w:b w:val="0"/>
            <w:i/>
            <w:strike w:val="0"/>
            <w:noProof w:val="0"/>
            <w:color w:val="0077CC"/>
            <w:position w:val="0"/>
            <w:sz w:val="20"/>
            <w:u w:val="single"/>
            <w:vertAlign w:val="baseline"/>
          </w:rPr>
          <w:t>42 U.S.C. 6295(p)(4)(B)</w:t>
        </w:r>
      </w:hyperlink>
      <w:r>
        <w:rPr>
          <w:rFonts w:ascii="arial" w:eastAsia="arial" w:hAnsi="arial" w:cs="arial"/>
          <w:b w:val="0"/>
          <w:i w:val="0"/>
          <w:strike w:val="0"/>
          <w:noProof w:val="0"/>
          <w:color w:val="000000"/>
          <w:position w:val="0"/>
          <w:sz w:val="20"/>
          <w:u w:val="none"/>
          <w:vertAlign w:val="baseline"/>
        </w:rPr>
        <w:t xml:space="preserve">) If DOE determines that any comments received provide a reasonable basis for withdrawal of the direct final rule under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DOE will continue the rulemaking under the NOPR. (</w:t>
      </w:r>
      <w:hyperlink r:id="rId12" w:history="1">
        <w:r>
          <w:rPr>
            <w:rFonts w:ascii="arial" w:eastAsia="arial" w:hAnsi="arial" w:cs="arial"/>
            <w:b w:val="0"/>
            <w:i/>
            <w:strike w:val="0"/>
            <w:noProof w:val="0"/>
            <w:color w:val="0077CC"/>
            <w:position w:val="0"/>
            <w:sz w:val="20"/>
            <w:u w:val="single"/>
            <w:vertAlign w:val="baseline"/>
          </w:rPr>
          <w:t>42 U.S.C. 6295(p)(4)(C)</w:t>
        </w:r>
      </w:hyperlink>
      <w:r>
        <w:rPr>
          <w:rFonts w:ascii="arial" w:eastAsia="arial" w:hAnsi="arial" w:cs="arial"/>
          <w:b w:val="0"/>
          <w:i w:val="0"/>
          <w:strike w:val="0"/>
          <w:noProof w:val="0"/>
          <w:color w:val="000000"/>
          <w:position w:val="0"/>
          <w:sz w:val="20"/>
          <w:u w:val="none"/>
          <w:vertAlign w:val="baseline"/>
        </w:rPr>
        <w:t>) See section II.A for more details on DOE's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direct final rule documents DOE's analyses to objectively and independently evaluate the energy savings potential, technological feasibility, and economic justification of the standard levels recommended in the Term Sheet, as per the requirements of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separate test procedure rulemakings simultaneously with the energy conservation standard rulemaking to amend the DOE central air conditioners and heat pumps test procedure. The amended DOE CAC/HP test procedure and associated rulemakings are discussed in detail in section III.F. As per the request of the CAC/HP Working Group, the analyses documented in this direct final rule are based on the DOE test procedure at the time of the 2015-2016 Negotiations. Efficiency levels selected on the basis of these analyses were then translated to efficiency levels based on the amended test procedure. This methodology was first advocated by Carrier/United Technologies Corporation (UTC) and adopted by stakeholders during the Negotiations. (ASRAC Public Meeting, No. 87 at p. 48) This methodology is also reflected in the Term Sheet. Recommendation #8 of the Term Sheet includes standard levels based on the test procedure at the time of the 2015-2016 Negotiations. (ASRAC Term Sheet, No. 76 at pp. 4-5) The standard levels established by this direct final rule are translated levels based on the test procedure established by the test procedure final rule issued by DOE on November 30, 2016, hereinafter referred to as the "November 2016 test procedure final rule," (which is codified in 10 CFR part 430, subpart B, appendix M1). n3 (Docket No. EERE-2016-BT-TP-0029)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test procedure final rule issued by DOE on November 30, 2016 is accessible via the DOE Web site at: </w:t>
      </w:r>
      <w:hyperlink r:id="rId15" w:history="1">
        <w:r>
          <w:rPr>
            <w:rFonts w:ascii="arial" w:eastAsia="arial" w:hAnsi="arial" w:cs="arial"/>
            <w:b w:val="0"/>
            <w:i/>
            <w:strike w:val="0"/>
            <w:noProof w:val="0"/>
            <w:color w:val="0077CC"/>
            <w:position w:val="0"/>
            <w:sz w:val="20"/>
            <w:u w:val="single"/>
            <w:vertAlign w:val="baseline"/>
          </w:rPr>
          <w:t>http://energy.gov/eere/buildings/downloads/issuance-2016-11-30-energy-conservation-program-test-procedures-central-air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DOE found that the standard levels recommended in the Term Sheet would result in significant energy savings and are technologically feasible and economically justified. Table I-1 documents the amended standards for central air conditioners and heat pumps based on the DOE test procedure at the time of the 2015-2016 Negotiations. The amended standards correspond to the recommended trial standard level (TSL) (as described in section V.A) and are expressed in terms of Seasonal Energy Efficiency Ratio (SEER), Energy Efficiency Ratio (EER), and Heating Seasonal Performance Factor (HSPF). The amended standards are the same as those recommended by the Working Group. These amended standards apply to all central air conditioners and heat pumps listed in Table I-1 and manufactured in, or imported into, the United States starting on January 1, 2023. The amended </w:t>
      </w:r>
      <w:r>
        <w:rPr>
          <w:rFonts w:ascii="arial" w:eastAsia="arial" w:hAnsi="arial" w:cs="arial"/>
          <w:b/>
          <w:i w:val="0"/>
          <w:strike w:val="0"/>
          <w:noProof w:val="0"/>
          <w:color w:val="000000"/>
          <w:position w:val="0"/>
          <w:sz w:val="20"/>
          <w:u w:val="none"/>
          <w:vertAlign w:val="baseline"/>
        </w:rPr>
        <w:t> [*1788] </w:t>
      </w:r>
      <w:r>
        <w:rPr>
          <w:rFonts w:ascii="arial" w:eastAsia="arial" w:hAnsi="arial" w:cs="arial"/>
          <w:b w:val="0"/>
          <w:i w:val="0"/>
          <w:strike w:val="0"/>
          <w:noProof w:val="0"/>
          <w:color w:val="000000"/>
          <w:position w:val="0"/>
          <w:sz w:val="20"/>
          <w:u w:val="none"/>
          <w:vertAlign w:val="baseline"/>
        </w:rPr>
        <w:t xml:space="preserve"> standards listed in the table below result in less energy consumption than the current standards, which remain in effect until January 1, 2023.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I-1--Amended Energy Conservation Standards for Residential Central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Conditioners and Heat Pumps Based on the DOE Test Procedure at the Time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2015-2016 Negotiations (Recommended TSL)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Southeast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Southwest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Heat Pumps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Heat Pumps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Heat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Southeast includes: The states of Alabama, Arkansas, Delaware, Florida, Georgia, Hawaii, Kentucky, Louisiana, Maryland, Mississippi, North Carolina, Oklahoma, Puerto Rico, South Carolina, Tennessee, Texas, Virginia, the District of Columbia,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Southwest includes the states of Arizona, California, Nevada, and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10.2 EER amended energy conservation standard applies to split-system air conditioners with a seasonal energy efficiency ratio greater than or equal to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energy conservation standards for single-package, small-duct high-velocity and space-constrained product classes remain unchanged from current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amended standard levels presented in Table I-1 are in terms of the test procedure that was in place at the time of the CAC/HP Working Group Negotiations. That test procedure did not include the amendments adopted in the November 2016 TP final rule, which are outlined in section III.F. In section V.C, the amended standard levels are translated to and presented in terms of the test procedure established by the November 2016 test procedure final rule. Accordingly, the standard levels included in the regulatory text of this direct final rule are presented in terms of the test procedure established by the November 2016 test procedure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amending the off mode standards for central air conditioners and heat pumps at this time. The June 2011 direct final rule included the first standards for off mode electric power consumption, with a compliance date of January 1, 2015. </w:t>
      </w:r>
      <w:hyperlink r:id="rId16"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(June 27, 2011); </w:t>
      </w:r>
      <w:hyperlink r:id="rId17" w:history="1">
        <w:r>
          <w:rPr>
            <w:rFonts w:ascii="arial" w:eastAsia="arial" w:hAnsi="arial" w:cs="arial"/>
            <w:b w:val="0"/>
            <w:i/>
            <w:strike w:val="0"/>
            <w:noProof w:val="0"/>
            <w:color w:val="0077CC"/>
            <w:position w:val="0"/>
            <w:sz w:val="20"/>
            <w:u w:val="single"/>
            <w:vertAlign w:val="baseline"/>
          </w:rPr>
          <w:t>10 CFR 430.32(c)(5)</w:t>
        </w:r>
      </w:hyperlink>
      <w:r>
        <w:rPr>
          <w:rFonts w:ascii="arial" w:eastAsia="arial" w:hAnsi="arial" w:cs="arial"/>
          <w:b w:val="0"/>
          <w:i w:val="0"/>
          <w:strike w:val="0"/>
          <w:noProof w:val="0"/>
          <w:color w:val="000000"/>
          <w:position w:val="0"/>
          <w:sz w:val="20"/>
          <w:u w:val="none"/>
          <w:vertAlign w:val="baseline"/>
        </w:rPr>
        <w:t xml:space="preserve">. However, DOE subsequently issued an enforcement policy statement on July 8, 2014 regarding off mode standards for central air conditioners and heat pumps specifying that DOE would not assert its civil penalty authority for violation of the off mode standard until 180 days following publication of a final rule establishing a test method for measuring off mode electrical power consumption. n4 DOE established this test method in a final rule published on June 8, 2016 ("June 2016 test procedure final rule"). </w:t>
      </w:r>
      <w:hyperlink r:id="rId18" w:history="1">
        <w:r>
          <w:rPr>
            <w:rFonts w:ascii="arial" w:eastAsia="arial" w:hAnsi="arial" w:cs="arial"/>
            <w:b w:val="0"/>
            <w:i/>
            <w:strike w:val="0"/>
            <w:noProof w:val="0"/>
            <w:color w:val="0077CC"/>
            <w:position w:val="0"/>
            <w:sz w:val="20"/>
            <w:u w:val="single"/>
            <w:vertAlign w:val="baseline"/>
          </w:rPr>
          <w:t>81 FR 36992.</w:t>
        </w:r>
      </w:hyperlink>
      <w:r>
        <w:rPr>
          <w:rFonts w:ascii="arial" w:eastAsia="arial" w:hAnsi="arial" w:cs="arial"/>
          <w:b w:val="0"/>
          <w:i w:val="0"/>
          <w:strike w:val="0"/>
          <w:noProof w:val="0"/>
          <w:color w:val="000000"/>
          <w:position w:val="0"/>
          <w:sz w:val="20"/>
          <w:u w:val="none"/>
          <w:vertAlign w:val="baseline"/>
        </w:rPr>
        <w:t xml:space="preserve"> As a result, the standards for off mode will be enforceable beginning on December 5, 2016. DOE finds it is not feasible to consider amending standards for which compliance has yet to begin.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Available at: </w:t>
      </w:r>
      <w:hyperlink r:id="rId19" w:history="1">
        <w:r>
          <w:rPr>
            <w:rFonts w:ascii="arial" w:eastAsia="arial" w:hAnsi="arial" w:cs="arial"/>
            <w:b w:val="0"/>
            <w:i/>
            <w:strike w:val="0"/>
            <w:noProof w:val="0"/>
            <w:color w:val="0077CC"/>
            <w:position w:val="0"/>
            <w:sz w:val="20"/>
            <w:u w:val="single"/>
            <w:vertAlign w:val="baseline"/>
          </w:rPr>
          <w:t>http://energy.gov/sites/prod/files/2014/07/f17/EnforcementPolicyStatement-cacoffmode.pdf</w:t>
        </w:r>
      </w:hyperlink>
      <w:r>
        <w:rPr>
          <w:rFonts w:ascii="arial" w:eastAsia="arial" w:hAnsi="arial" w:cs="arial"/>
          <w:b w:val="0"/>
          <w:i w:val="0"/>
          <w:strike w:val="0"/>
          <w:noProof w:val="0"/>
          <w:color w:val="000000"/>
          <w:position w:val="0"/>
          <w:sz w:val="20"/>
          <w:u w:val="none"/>
          <w:vertAlign w:val="baseline"/>
        </w:rPr>
        <w:t xml:space="preserve"> (Last accessed July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energy conservation standards on consumers of central air conditioners and heat pumps, as measured by the average life-cycle cost (LCC) savings and the simple payback period (PBP). n5 The average LCC savings are positive for all product classes. The PBP for each product class falls well below the average lifetime of the product, which is estimated to be 21 years for central air conditioners and 15 years for heat pumps (see section IV.G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average LCC savings are measured relative to the estimated efficiency distribution in the no-new-standards case, which depicts the market in the compliance year in the absence of amended standards (see section IV.F.3.f). The simple PBP, which is designed to compare specific efficiency levels, is measured relative to the baseline model (see section IV.C.2).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Amended Energy Conservation Standards on Consumers of</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Central Air Conditioners and Heat Pumps (Recommended TSL)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 Conditioners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$ 43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10.5.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$ 150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$ 39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Heat Pumps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Air Conditioners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Heat Pumps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 Conditioners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 Air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 = Northern region; HD = Hot-dry region; HH = Hot-humid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standard levels for Packaged Air Conditioners, Packaged Heat Pumps, Space-Constrained Air Conditioners, and Small-Duct High-Velocity Air Conditioners are at the baseline level in the Recommended TSL, so there is no impact on consumers. </w:t>
      </w:r>
      <w:r>
        <w:rPr>
          <w:rFonts w:ascii="arial" w:eastAsia="arial" w:hAnsi="arial" w:cs="arial"/>
          <w:b/>
          <w:i w:val="0"/>
          <w:strike w:val="0"/>
          <w:noProof w:val="0"/>
          <w:color w:val="000000"/>
          <w:position w:val="0"/>
          <w:sz w:val="20"/>
          <w:u w:val="none"/>
          <w:vertAlign w:val="baseline"/>
        </w:rPr>
        <w:t> [*1789]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amended standards on consumers is described in further detail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30-year analysis period. n6 Using a real discount rate of 11.0 percent, n7 DOE estimates that the INPV for manufacturers of residential central air conditioners and heat pumps is $ 4,496.1 million in 2015$ . Under the amended standards, DOE expects the change in INPV to range from approximately -15.4 percent to -2.5 percent, which corresponds to approximately -$ 692.3 million to -$ 114.2 million (in 2015]. In order to bring products into compliance with proposed standards, DOE expects the industry to incur $ 342.6 million in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In contrast to the NIA, which uses an end date of 2050 for TSLs 1, 3 and 4, and an end date of 2052 for TSL 2, the MIA maintains the same end date (2050) for all TSLs. This is done to enable clear comparison of INPV impacts across TSLs. See chapter 12 of the direct final rule TSD for a more detailed discussion of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DOE estimated preliminary financial metrics, including the industry discount rate, based on publicly available financial information, including Securities and Exchange Commission ("SEC") filings and S&amp;P bond ratings. DOE presented the preliminary financial metrics to manufacturers in MIA interviews. DOE adjusted those values based on feedback from manufacturers. The complete set of financial metrics and more detail about the methodology can be found in chapter 12 of the final rule TSD. Additionally, DOE provides a sensitivity analysis based on an alternative discount rate in chapter 12 of the TSD. Using an 8% discount rate, the change in INPV ranges from -16.6 to -1.3 percent at the adopted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amended standards on manufacturers is described in further detail in sections IV.J and V.B.2 of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All monetary values in this document are expressed in 2015 dollars and, where appropriate, are discounted to 2016 unless explicitly stated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energy conservation standards being adopted in this direct final rule for central air conditioners and heat pumps would save a significant amount of energy. Relative to the case without amended standards (referred to as the "no-new-standards case"), the lifetime energy savings for central air conditioners and heat pumps purchased in the 30-year period that begins in the anticipated first full year of compliance with the amended standards (2023-2052) amount to 3.2 quadrillion British thermal units (Btu), or "quads." n9 This represents a savings of 2.6 percent relative to the energy use of these products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national net present value (NPV) of total consumer costs and savings for the amended standards for central air conditioners and heat pumps ranges from $ 2.5 billion (at a 7-percent discount rate) to $ 12.2 billion (at a 3-percent discount rate). This NPV expresses the estimated total value of future operating-cost savings minus the estimated increased product and installation costs for central air conditioners and heat pumps purchased in 2023-2052.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for central air conditioners and heat pumps that are being adopted in this direct final rule are expected to yield significant environmental benefits. DOE estimates the standards to result in cumulative emission reductions (over the same period as for energy savings) of 188.3 million metric tons (Mt) n10 of carbon dioxide (CO[2]), 100.8 thousand tons of sulfur dioxide (SO[2]), 350.3 thousand tons of nitrogen oxides (NO[X]), 842.4 thousand tons of methane (CH[4]), 2.114 thousand tons of nitrous oxide (N[2] O), and 0.372 tons of mercury (Hg). n11 The cumulative reduction in CO[2] emissions through 2030 amounts to 13.3 Mt, which is equivalent to the emissions resulting from the annual electricity use of 1.2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DOE calculated emissions reductions relative to the no-new-standards 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n12 The derivation of the SCC values is discussed in section IV.L. Using discount rates appropriate for each set of SCC values (see Table I.3), DOE estimates the present monetary value of the CO[2] emissions reduction (not including CO[2-] equivalent emissions of other gases with global warming potential) is between $ 1.1 billion and $ 16.9 billion with a value of $ 5.5 billion using the central SCC case represented by $ 40.6/t in 2015. DOE also estimates the present monetary value of the NO[X] emissions reduction to be $ 0.2 billion at a 7-percent discount rate and $ 0.5 billion at a 3-percent discount rate. n13 DOE is investigating appropriate valuation of the reduction in other emissions, and did not include any such values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United States Government-Interagency Working Group on Social Cost of Carbon,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(May 2013; Revised July 2015) (Available at: </w:t>
      </w:r>
      <w:hyperlink r:id="rId20"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DOE estimated the monetized value of NO[X] emissions reductions using benefit-per-ton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(Available at: </w:t>
      </w:r>
      <w:hyperlink r:id="rId21"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section IV.L.2 for further discussion.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w:t>
      </w:r>
      <w:r>
        <w:rPr>
          <w:rFonts w:ascii="arial" w:eastAsia="arial" w:hAnsi="arial" w:cs="arial"/>
          <w:b w:val="0"/>
          <w:i w:val="0"/>
          <w:strike w:val="0"/>
          <w:noProof w:val="0"/>
          <w:color w:val="000000"/>
          <w:position w:val="0"/>
          <w:sz w:val="20"/>
          <w:u w:val="none"/>
          <w:vertAlign w:val="baseline"/>
        </w:rPr>
        <w:t xml:space="preserve"> Order in Pending Case, 577 U.S. ___((2016). However, the benefit-per-ton estimates established in the Regulatory Impact Analysis for the Clean Power Plan are based on scientific studies that remain valid irrespective of the legal status of the Clean Power Plan. DOE is primarily using a national benefit-per-ton estimate for NO[X] emitted from the Electricity Generating Unit sector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economic benefits and costs expected to result from the amended energy conservation standards for central air conditioners and heat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Economic Benefits and Costs of Amended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Central Air Conditioners and Heat Pumps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 TSL)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3%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2.5%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95th-percentile SCC at 3%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Emissions Reduction Monetized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central air conditioners and heat pumps shipped in 2023-2052. These results include benefits to consumers which accrue after 2052 from the products purchased in 2023-2052. The incremental installed costs include incremental equipment cost as well as installation costs. The CO2 reduction benefits are global benefits due to actions that occur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3%, and 2.5%. For example, for 2015 emissions, these values are $ 12.4/t, $ 40.6/t, and $ 63.2/t, in 2015$, respectively. The fourth set ($ 118/t in 2015$ for 2015 emissions), which represents the 95th percentile of the SCC distribution calculated using a 3% discount rate, is included to represent higher-than-expected impacts from temperature change further out in the tails of the SCC distribution. The SCC values are emission year specific. See section IV.L.1 of this document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benefit-per-ton estimates from the Regulatory Impact Analysis for the Clean Power Plan Final Rule, published in August 2015 by EPA's Office of Air Quality Planning and Standards. (Available at: </w:t>
      </w:r>
      <w:hyperlink r:id="rId21"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a 3-percent discount rate ($ 40.6/t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amended energy conservation standards, for central air conditioners and heat pumps sold in 2023-2052, can also be expressed in terms of annualized values. The monetary values for the total annualized net benefits are the sum of: (1) The national economic value of the benefits in reduced operating costs, minus (2) the increases in product purchase and installation costs, plus (3) the value of the benefits of CO[2] and NO[X] emission reductions, all annualized.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2016. The calculation uses discount rates of 3 and 7 percent for all costs and benefits except for the value of CO[2] reductions, for which DOE used case-specific discount rates, as shown in Table I-4.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savings are domestic private U.S. consumer monetary savings that occur as a result of purchasing the covered products. The national operating cost savings is measured for the lifetime of central air conditioners and heat pumps shipped in 2023-2052. The CO[2] reduction is a benefit that accrues globally due to decreased domestic energy consumption that is expected to result from this rule. Because CO[2] emissions have a very long residence time in the atmosphere, the SCC values in future years reflect future CO[2] -emissions impacts that continue well beyond 2100 through 2300.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amended standards are shown in Table I-4. The results under the primary estimate are as follows. Using a 7-percent discount rate for benefits and costs other than CO[2] reduction (for which DOE used a 3-percent discount rate along with the average SCC series that uses a 3-percent discount rate ($ 40.6/t in 2015)), n15 the estimated cost of the central air conditioners and heat pumps standards adopted in this rule is $ 741 million per year in increased equipment costs, while the estimated benefits are $ 1,041 million per year in reduced equipment operating costs, $ 337 million per year in CO[2] reductions, and $ 22 million per year in reduced NO[X] emissions. In this case, the net benefit amounts to $ 659 million per year. Using a 3-percent discount rate for all benefits and costs and the average SCC series that uses a 3-percent discount rate ($ 40.6/t in 2015), the estimated cost of the central air conditioners and heat pumps standards being adopted in this rule is $ 747 million per year in increased equipment costs, while the estimated benefits are $ 1,488 million per year in reduced equipment operating costs, $ 337 million per year in CO[2] reductions, and $ 32 million per year in reduced NO[X] emissions. In this case, the net benefit would amount to $ 1,110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DOE used a 3-percent discount rate because the SCC values for the series used in the calculation were derived using a 3-percent discount rate (see section IV.L). </w:t>
      </w:r>
      <w:r>
        <w:rPr>
          <w:rFonts w:ascii="arial" w:eastAsia="arial" w:hAnsi="arial" w:cs="arial"/>
          <w:b/>
          <w:i w:val="0"/>
          <w:strike w:val="0"/>
          <w:noProof w:val="0"/>
          <w:color w:val="000000"/>
          <w:position w:val="0"/>
          <w:sz w:val="20"/>
          <w:u w:val="none"/>
          <w:vertAlign w:val="baseline"/>
        </w:rPr>
        <w:t> [*1791]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200"/>
        <w:gridCol w:w="1200"/>
        <w:gridCol w:w="20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Amended Energy Conservation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Central Air Conditioners and Heat Pumps (Recommended TSL)</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Low-net-benefits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High-net-benefits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3960" w:type="dxa"/>
            <w:gridSpan w:val="2"/>
            <w:tcBorders>
              <w:bottom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SCC at 5%</w:t>
            </w: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w:t>
            </w: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SCC at 3%</w:t>
            </w: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w:t>
            </w: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SCC at 2.5%</w:t>
            </w: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w:t>
            </w: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95th-percentile SCC at</w:t>
            </w: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 **</w:t>
            </w: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1,163 to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1,127 to 2,054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 to 2,223.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2,090</w:t>
            </w: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1,620 to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1,557 to 2,484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1,826 to 2,753.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2,547</w:t>
            </w: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 Costs</w:t>
            </w: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 to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 to 1,269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 to 1,500.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1,349</w:t>
            </w: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 to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757 to 1,684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 to 2,028.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w:t>
            </w: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central air conditioners and heat pumps shipped in 2023-2052. These results include benefits to consumers which accrue after 2052 from the products purchased in 2023-2052. The incremental installed costs include incremental equipment cost as well as installation costs. The CO2 reduction benefits are global benefits due to actions that occur nationally. The Primary, Low-Net-Benefits, and High-Net-Benefits Estimates utilize projections of energy prices from the AEO 2015 Reference case, Low Economic Growth case, and High Economic Growth case, respectively. In addition, incremental product costs reflect a modest decline rate for projected product prices in the Primary Estimate, a constant rate in the Low-Net-Benefits Estimate, and a higher decline rate in the High-Net-Benefits Estimate. The methods used to derive projected price trends are explained in section IV.F.1.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reduction benefits are calculated using 4 different sets of SCC values. The first three use the average SCC calculated using 5%, 3%, and 2.5% discount rates, respectively. The fourth represents the 95th percentile of the SCC distribution calculated using a 3%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benefit-per-ton estimates from the Regulatory Impact Analysis for the Clean Power Plan Final Rule, published in August 2015 by EPA's Office of Air Quality Planning and Standards. (Available at: </w:t>
      </w:r>
      <w:hyperlink r:id="rId21"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For the Primary Estimate and Low-Net-Benefits Estimate, DOE used a national benefit-per-ton estimate for NOX emitted from the Electric Generating Unit sector based on an estimate of premature mortality derived from the ACS study (Krewski et al., 2009). For the High-Net-Benefits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presented using only the average SCC with a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further detail in section IV.H of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determined that the statement containing recommendations with respect to energy conservation standards for central air conditioners and heat pumps was submitted jointly by interested persons that are fairly representative of relevant points of view, in accordance with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 After considering the analysis and weighing the benefits and burdens, DOE has determined that the recommended standards are in accordance with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which contains the criteria for prescribing new or amended standards. Specifically, the Secretary has determined that the adoption of the recommended standards would result in the significant conservation of energy and is technologically feasible and economically justified. In determining whether the recommended standards are economically justified, the Secretary has determined that the benefits of the recommended standards exceed the burdens. Namely, the Secretary has concluded that the recommended standards, when considering the benefits of energy savings, positive NPV of consumer benefits, emission reductions, the estimated monetary value of the emissions reductions, and positive average LCC savings, would yield benefits outweighing the negative impacts on some consumers and on manufacturers, including the conversion </w:t>
      </w:r>
      <w:r>
        <w:rPr>
          <w:rFonts w:ascii="arial" w:eastAsia="arial" w:hAnsi="arial" w:cs="arial"/>
          <w:b/>
          <w:i w:val="0"/>
          <w:strike w:val="0"/>
          <w:noProof w:val="0"/>
          <w:color w:val="000000"/>
          <w:position w:val="0"/>
          <w:sz w:val="20"/>
          <w:u w:val="none"/>
          <w:vertAlign w:val="baseline"/>
        </w:rPr>
        <w:t> [*1792] </w:t>
      </w:r>
      <w:r>
        <w:rPr>
          <w:rFonts w:ascii="arial" w:eastAsia="arial" w:hAnsi="arial" w:cs="arial"/>
          <w:b w:val="0"/>
          <w:i w:val="0"/>
          <w:strike w:val="0"/>
          <w:noProof w:val="0"/>
          <w:color w:val="000000"/>
          <w:position w:val="0"/>
          <w:sz w:val="20"/>
          <w:u w:val="none"/>
          <w:vertAlign w:val="baseline"/>
        </w:rPr>
        <w:t xml:space="preserve"> costs that could result in a reduction in INPV for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provided by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DOE is issuing this direct final rule amending the energy conservation standards for residential central air conditioners and heat pumps. Consistent with this authority, DOE is also publishing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rulemaking proposing standards that are identical to those contained in this direct final rule. See </w:t>
      </w:r>
      <w:hyperlink r:id="rId12" w:history="1">
        <w:r>
          <w:rPr>
            <w:rFonts w:ascii="arial" w:eastAsia="arial" w:hAnsi="arial" w:cs="arial"/>
            <w:b w:val="0"/>
            <w:i/>
            <w:strike w:val="0"/>
            <w:noProof w:val="0"/>
            <w:color w:val="0077CC"/>
            <w:position w:val="0"/>
            <w:sz w:val="20"/>
            <w:u w:val="single"/>
            <w:vertAlign w:val="baseline"/>
          </w:rPr>
          <w:t>42 U.S.C. 6295(p)(4)(A)(i)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briefly discuss the statutory authority underlying this direct final rule, as well as the historical background related to the establishment of standards for residential central air conditioners and heat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which includes the residential central air conditioners and heat pumps that are the subject of this rulemaking. (</w:t>
      </w:r>
      <w:hyperlink r:id="rId11" w:history="1">
        <w:r>
          <w:rPr>
            <w:rFonts w:ascii="arial" w:eastAsia="arial" w:hAnsi="arial" w:cs="arial"/>
            <w:b w:val="0"/>
            <w:i/>
            <w:strike w:val="0"/>
            <w:noProof w:val="0"/>
            <w:color w:val="0077CC"/>
            <w:position w:val="0"/>
            <w:sz w:val="20"/>
            <w:u w:val="single"/>
            <w:vertAlign w:val="baseline"/>
          </w:rPr>
          <w:t>42 U.S.C. 6292(a)(3)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prior to the adoption of a new or amended energy conservation standard.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22"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2"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central air conditioners and heat pumps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M and M1.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Appliance Energy Conservation Act of 1987 (NAECA; </w:t>
      </w:r>
      <w:hyperlink r:id="rId23" w:history="1">
        <w:r>
          <w:rPr>
            <w:rFonts w:ascii="arial" w:eastAsia="arial" w:hAnsi="arial" w:cs="arial"/>
            <w:b w:val="0"/>
            <w:i/>
            <w:strike w:val="0"/>
            <w:noProof w:val="0"/>
            <w:color w:val="0077CC"/>
            <w:position w:val="0"/>
            <w:sz w:val="20"/>
            <w:u w:val="single"/>
            <w:vertAlign w:val="baseline"/>
          </w:rPr>
          <w:t>Pub. L. 100-12</w:t>
        </w:r>
      </w:hyperlink>
      <w:r>
        <w:rPr>
          <w:rFonts w:ascii="arial" w:eastAsia="arial" w:hAnsi="arial" w:cs="arial"/>
          <w:b w:val="0"/>
          <w:i w:val="0"/>
          <w:strike w:val="0"/>
          <w:noProof w:val="0"/>
          <w:color w:val="000000"/>
          <w:position w:val="0"/>
          <w:sz w:val="20"/>
          <w:u w:val="none"/>
          <w:vertAlign w:val="baseline"/>
        </w:rPr>
        <w:t>) included amendments to EPCA that established the original energy conservation standards for central air conditioners and heat pumps. (</w:t>
      </w:r>
      <w:hyperlink r:id="rId12" w:history="1">
        <w:r>
          <w:rPr>
            <w:rFonts w:ascii="arial" w:eastAsia="arial" w:hAnsi="arial" w:cs="arial"/>
            <w:b w:val="0"/>
            <w:i/>
            <w:strike w:val="0"/>
            <w:noProof w:val="0"/>
            <w:color w:val="0077CC"/>
            <w:position w:val="0"/>
            <w:sz w:val="20"/>
            <w:u w:val="single"/>
            <w:vertAlign w:val="baseline"/>
          </w:rPr>
          <w:t>42 U.S.C. 6295(d)(1)</w:t>
        </w:r>
      </w:hyperlink>
      <w:r>
        <w:rPr>
          <w:rFonts w:ascii="arial" w:eastAsia="arial" w:hAnsi="arial" w:cs="arial"/>
          <w:b w:val="0"/>
          <w:i w:val="0"/>
          <w:strike w:val="0"/>
          <w:noProof w:val="0"/>
          <w:color w:val="000000"/>
          <w:position w:val="0"/>
          <w:sz w:val="20"/>
          <w:u w:val="none"/>
          <w:vertAlign w:val="baseline"/>
        </w:rPr>
        <w:t>-(2)) EPCA, as amended, also requires DOE to conduct two cycles of rulemakings to determine whether to amend the energy conservation standards for central air conditioners and heat pumps. (</w:t>
      </w:r>
      <w:hyperlink r:id="rId12" w:history="1">
        <w:r>
          <w:rPr>
            <w:rFonts w:ascii="arial" w:eastAsia="arial" w:hAnsi="arial" w:cs="arial"/>
            <w:b w:val="0"/>
            <w:i/>
            <w:strike w:val="0"/>
            <w:noProof w:val="0"/>
            <w:color w:val="0077CC"/>
            <w:position w:val="0"/>
            <w:sz w:val="20"/>
            <w:u w:val="single"/>
            <w:vertAlign w:val="baseline"/>
          </w:rPr>
          <w:t>42 U.S.C. 6295(d)(3)</w:t>
        </w:r>
      </w:hyperlink>
      <w:r>
        <w:rPr>
          <w:rFonts w:ascii="arial" w:eastAsia="arial" w:hAnsi="arial" w:cs="arial"/>
          <w:b w:val="0"/>
          <w:i w:val="0"/>
          <w:strike w:val="0"/>
          <w:noProof w:val="0"/>
          <w:color w:val="000000"/>
          <w:position w:val="0"/>
          <w:sz w:val="20"/>
          <w:u w:val="none"/>
          <w:vertAlign w:val="baseline"/>
        </w:rPr>
        <w:t xml:space="preserve">) The first cycle culminated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17, 2004 (the August 2004 Rule), which prescribed energy conservation standards for central air conditioners and heat pumps manufactured or imported on and after January 23, 2006. </w:t>
      </w:r>
      <w:hyperlink r:id="rId24" w:history="1">
        <w:r>
          <w:rPr>
            <w:rFonts w:ascii="arial" w:eastAsia="arial" w:hAnsi="arial" w:cs="arial"/>
            <w:b w:val="0"/>
            <w:i/>
            <w:strike w:val="0"/>
            <w:noProof w:val="0"/>
            <w:color w:val="0077CC"/>
            <w:position w:val="0"/>
            <w:sz w:val="20"/>
            <w:u w:val="single"/>
            <w:vertAlign w:val="baseline"/>
          </w:rPr>
          <w:t>69 FR 50997.</w:t>
        </w:r>
      </w:hyperlink>
      <w:r>
        <w:rPr>
          <w:rFonts w:ascii="arial" w:eastAsia="arial" w:hAnsi="arial" w:cs="arial"/>
          <w:b w:val="0"/>
          <w:i w:val="0"/>
          <w:strike w:val="0"/>
          <w:noProof w:val="0"/>
          <w:color w:val="000000"/>
          <w:position w:val="0"/>
          <w:sz w:val="20"/>
          <w:u w:val="none"/>
          <w:vertAlign w:val="baseline"/>
        </w:rPr>
        <w:t xml:space="preserve"> DOE completed the second of the two rulemaking cycles by issuing a direct final rule on June 6, 2011 (2011 Direct Final Rule),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27, 2011. </w:t>
      </w:r>
      <w:hyperlink r:id="rId16"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The 2011 Direct Final Rule (June 2011 DFR) amended standards for central air conditioners and heat pumps manufactured on or after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periodically review its already established energy conservation standards for a covered product. Not later than six years after issuance of any final rule establishing or amending a standard, DOE must publish a notice of determination that standards for the product do not need to be amended, or a notice of proposed rulemaking including new proposed standards.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Pursuant to this requirement, the next review that DOE would need to conduct must occur no later than six years from the issuance of the 2011 direct final rule. This direct final rule fulfills that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residential central air conditioners and heat pumps. Any new or amended standard for a covered product must be designed to achieve the maximum improvement in energy efficiency that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residential central air conditioners and heat pumps, if no test procedure has been established for the product, or (2) if DOE determines by rule that the proposed standard is not technologically feasible or economically justified.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after receiving comments on the proposed standard, DOE must determine whether the benefits of the standard exceed its burdens.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by, to the greatest extent practicable, considering the following seven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current energy conservation standards for central air conditioners and heat pumps (set forth at </w:t>
      </w:r>
      <w:hyperlink r:id="rId17" w:history="1">
        <w:r>
          <w:rPr>
            <w:rFonts w:ascii="arial" w:eastAsia="arial" w:hAnsi="arial" w:cs="arial"/>
            <w:b w:val="0"/>
            <w:i/>
            <w:strike w:val="0"/>
            <w:noProof w:val="0"/>
            <w:color w:val="0077CC"/>
            <w:position w:val="0"/>
            <w:sz w:val="20"/>
            <w:u w:val="single"/>
            <w:vertAlign w:val="baseline"/>
          </w:rPr>
          <w:t>10 CFR 430.32(c)</w:t>
        </w:r>
      </w:hyperlink>
      <w:r>
        <w:rPr>
          <w:rFonts w:ascii="arial" w:eastAsia="arial" w:hAnsi="arial" w:cs="arial"/>
          <w:b w:val="0"/>
          <w:i w:val="0"/>
          <w:strike w:val="0"/>
          <w:noProof w:val="0"/>
          <w:color w:val="000000"/>
          <w:position w:val="0"/>
          <w:sz w:val="20"/>
          <w:u w:val="none"/>
          <w:vertAlign w:val="baseline"/>
        </w:rPr>
        <w:t xml:space="preserve">) contain requirements for seasonal energy efficiency ratio (SEER), heating seasonal performance factor (HSPF), energy efficiency ratio (EER), and average off mode power consumption. Standards based upon the latter two metrics were newly adopted in the June 27, 2011 DFR for the reasons stated in that rulemaking. </w:t>
      </w:r>
      <w:hyperlink r:id="rId16"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As discussed below in section II.B.1 and section II.B.3, DOE has chosen to specify performance standards based on EER and SEER for only the southwest region of the country. Pursuant to its mandate under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this DOE rulemaking has considered amending the existing energy conservation standards for central air conditioners and heat pumps, and DOE is adopting the amended standards contained in this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as codified, also contains what is known as an "anti-backsliding" </w:t>
      </w:r>
      <w:r>
        <w:rPr>
          <w:rFonts w:ascii="arial" w:eastAsia="arial" w:hAnsi="arial" w:cs="arial"/>
          <w:b/>
          <w:i w:val="0"/>
          <w:strike w:val="0"/>
          <w:noProof w:val="0"/>
          <w:color w:val="000000"/>
          <w:position w:val="0"/>
          <w:sz w:val="20"/>
          <w:u w:val="none"/>
          <w:vertAlign w:val="baseline"/>
        </w:rPr>
        <w:t> [*1793] </w:t>
      </w:r>
      <w:r>
        <w:rPr>
          <w:rFonts w:ascii="arial" w:eastAsia="arial" w:hAnsi="arial" w:cs="arial"/>
          <w:b w:val="0"/>
          <w:i w:val="0"/>
          <w:strike w:val="0"/>
          <w:noProof w:val="0"/>
          <w:color w:val="000000"/>
          <w:position w:val="0"/>
          <w:sz w:val="20"/>
          <w:u w:val="none"/>
          <w:vertAlign w:val="baseline"/>
        </w:rPr>
        <w:t xml:space="preserve"> provision, which prevents the Secretary from prescribing any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evidence that the standard is likely to result in the unavailability in the United States of any covered product type (or class) or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generally considers these criteria as part of its analysis but consistently conducts a more thorough analysis of a given standard's projected impacts that extends beyond this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an energy conservation standard for a covered product that has two or more subcategories. In this case, DOE must specify a different standard level for a type or class of covered product that has the same function or intended use, if DOE determines that products within such group: (A) consume a different kind of energy from that consumed by other covered products within such type (or class); or (B) have a capacity or other performance-related feature that other products within such type (or class) do not have and such feature justifies a higher or lower standard.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2"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42 U.S.C. 6295(o)(6)</w:t>
        </w:r>
      </w:hyperlink>
      <w:r>
        <w:rPr>
          <w:rFonts w:ascii="arial" w:eastAsia="arial" w:hAnsi="arial" w:cs="arial"/>
          <w:b w:val="0"/>
          <w:i w:val="0"/>
          <w:strike w:val="0"/>
          <w:noProof w:val="0"/>
          <w:color w:val="000000"/>
          <w:position w:val="0"/>
          <w:sz w:val="20"/>
          <w:u w:val="none"/>
          <w:vertAlign w:val="baseline"/>
        </w:rPr>
        <w:t>, which was added to EPCA by section 306(a) of the Energy Independence and Security Act of 2007 (EISA 2007; Public Law. 110-140), DOE may consider the establishment of regional standards for central air conditioners and heat pumps. Specifically, in addition to a base national standard for a product, DOE may for central air conditioners and heat pumps, establish one or two more-restrictive regional standards. (</w:t>
      </w:r>
      <w:hyperlink r:id="rId12" w:history="1">
        <w:r>
          <w:rPr>
            <w:rFonts w:ascii="arial" w:eastAsia="arial" w:hAnsi="arial" w:cs="arial"/>
            <w:b w:val="0"/>
            <w:i/>
            <w:strike w:val="0"/>
            <w:noProof w:val="0"/>
            <w:color w:val="0077CC"/>
            <w:position w:val="0"/>
            <w:sz w:val="20"/>
            <w:u w:val="single"/>
            <w:vertAlign w:val="baseline"/>
          </w:rPr>
          <w:t>42 U.S.C. 6295(o)(6)(B)</w:t>
        </w:r>
      </w:hyperlink>
      <w:r>
        <w:rPr>
          <w:rFonts w:ascii="arial" w:eastAsia="arial" w:hAnsi="arial" w:cs="arial"/>
          <w:b w:val="0"/>
          <w:i w:val="0"/>
          <w:strike w:val="0"/>
          <w:noProof w:val="0"/>
          <w:color w:val="000000"/>
          <w:position w:val="0"/>
          <w:sz w:val="20"/>
          <w:u w:val="none"/>
          <w:vertAlign w:val="baseline"/>
        </w:rPr>
        <w:t>) The regions must include only contiguous States (with the exception of Alaska and Hawaii, which may be included in regions with which they are not contiguous), and each State may be placed in only one region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entire State cannot simultaneously be placed in two regions, nor can it be divided between two regions). (</w:t>
      </w:r>
      <w:hyperlink r:id="rId12" w:history="1">
        <w:r>
          <w:rPr>
            <w:rFonts w:ascii="arial" w:eastAsia="arial" w:hAnsi="arial" w:cs="arial"/>
            <w:b w:val="0"/>
            <w:i/>
            <w:strike w:val="0"/>
            <w:noProof w:val="0"/>
            <w:color w:val="0077CC"/>
            <w:position w:val="0"/>
            <w:sz w:val="20"/>
            <w:u w:val="single"/>
            <w:vertAlign w:val="baseline"/>
          </w:rPr>
          <w:t>42 U.S.C. 6295(o)(6)(C)</w:t>
        </w:r>
      </w:hyperlink>
      <w:r>
        <w:rPr>
          <w:rFonts w:ascii="arial" w:eastAsia="arial" w:hAnsi="arial" w:cs="arial"/>
          <w:b w:val="0"/>
          <w:i w:val="0"/>
          <w:strike w:val="0"/>
          <w:noProof w:val="0"/>
          <w:color w:val="000000"/>
          <w:position w:val="0"/>
          <w:sz w:val="20"/>
          <w:u w:val="none"/>
          <w:vertAlign w:val="baseline"/>
        </w:rPr>
        <w:t>) Further, DOE can establish the additional regional standards only: (1) Where doing so would produce significant energy savings in comparison to a single national standard, (2) if the regional standards are economically justified, and (3) after considering the impact of these standards on consumers, manufacturers, and other market participants, including product distributors, dealers, contractors, and installers. (</w:t>
      </w:r>
      <w:hyperlink r:id="rId12" w:history="1">
        <w:r>
          <w:rPr>
            <w:rFonts w:ascii="arial" w:eastAsia="arial" w:hAnsi="arial" w:cs="arial"/>
            <w:b w:val="0"/>
            <w:i/>
            <w:strike w:val="0"/>
            <w:noProof w:val="0"/>
            <w:color w:val="0077CC"/>
            <w:position w:val="0"/>
            <w:sz w:val="20"/>
            <w:u w:val="single"/>
            <w:vertAlign w:val="baseline"/>
          </w:rPr>
          <w:t>42 U.S.C. 6295(o)(6)(D)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25"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25"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further amendments to EPCA contained in EISA 2007, </w:t>
      </w:r>
      <w:r>
        <w:rPr>
          <w:rFonts w:ascii="arial" w:eastAsia="arial" w:hAnsi="arial" w:cs="arial"/>
          <w:b w:val="0"/>
          <w:i/>
          <w:strike w:val="0"/>
          <w:noProof w:val="0"/>
          <w:color w:val="000000"/>
          <w:position w:val="0"/>
          <w:sz w:val="20"/>
          <w:u w:val="none"/>
          <w:vertAlign w:val="baseline"/>
        </w:rPr>
        <w:t>Pub. L. 110-140</w:t>
      </w:r>
      <w:r>
        <w:rPr>
          <w:rFonts w:ascii="arial" w:eastAsia="arial" w:hAnsi="arial" w:cs="arial"/>
          <w:b w:val="0"/>
          <w:i w:val="0"/>
          <w:strike w:val="0"/>
          <w:noProof w:val="0"/>
          <w:color w:val="000000"/>
          <w:position w:val="0"/>
          <w:sz w:val="20"/>
          <w:u w:val="none"/>
          <w:vertAlign w:val="baseline"/>
        </w:rPr>
        <w:t>, any final rule for new or amended energy conservation standards promulgated after July 1, 2010, is required to address standby mode and off mode energy use. (</w:t>
      </w:r>
      <w:hyperlink r:id="rId12"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2"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The SEER and HSPF metrics for central air conditioners and heat pumps already account for standby mode energy use, and the current standards include limits on off mode energy use. Section III.E further discusses standby mode and off mode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previously, EISA 2007 amended EPCA, in relevant part, to grant DOE authority to issue a final rule (hereinafter referred to as a "direct final rule") establishing an energy conservation standard on receipt of a statement submitted jointly by interested persons that are fairly representative of relevant points of view (including representatives of manufacturers of covered products, States, and efficiency advocates), as determined by the Secretary, that contains recommendations with respect to an energy or water conservation standard that are in accordance with the provisions of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Pursuant to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the Secretary must also determine whether a jointly-submitted recommendation for an energy or water conservation standard satisfies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26"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notice of proposed rulemaking (NOPR) that proposes an identical energy efficiency standard must be published simultaneously with the direct final rule, and DOE must provide a public comment period of at least 110 days on this proposal.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-(B)) While DOE typically provides a comment period of 60 days on proposed standards, in this case, DOE provides a comment period of the same length as the comment period on the direct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110 days. Based on the comments received during this period, the direct final rule will either become effective, or DOE will withdraw it not later than 120 days after its issuance if (1) one or more adverse comments is received, and (2) DOE determines that those comments, when viewed in light of the rulemaking record related to the direct final rule, provide a reasonable basis for withdrawal of the direct final rule under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for DOE to continue this rulemaking under the NOPR. (</w:t>
      </w:r>
      <w:hyperlink r:id="rId12" w:history="1">
        <w:r>
          <w:rPr>
            <w:rFonts w:ascii="arial" w:eastAsia="arial" w:hAnsi="arial" w:cs="arial"/>
            <w:b w:val="0"/>
            <w:i/>
            <w:strike w:val="0"/>
            <w:noProof w:val="0"/>
            <w:color w:val="0077CC"/>
            <w:position w:val="0"/>
            <w:sz w:val="20"/>
            <w:u w:val="single"/>
            <w:vertAlign w:val="baseline"/>
          </w:rPr>
          <w:t>42 U.S.C. 6295(p)(4)(C)</w:t>
        </w:r>
      </w:hyperlink>
      <w:r>
        <w:rPr>
          <w:rFonts w:ascii="arial" w:eastAsia="arial" w:hAnsi="arial" w:cs="arial"/>
          <w:b w:val="0"/>
          <w:i w:val="0"/>
          <w:strike w:val="0"/>
          <w:noProof w:val="0"/>
          <w:color w:val="000000"/>
          <w:position w:val="0"/>
          <w:sz w:val="20"/>
          <w:u w:val="none"/>
          <w:vertAlign w:val="baseline"/>
        </w:rPr>
        <w:t xml:space="preserve">) Receipt of an alternative joint recommendation may also trigger a DOE withdrawal of the direct final rule in the same manner.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 of other rulemakings, it is the substance, rather than the quantity, of comments that will ultimately determine whether a direct final rule will be withdrawn. To this end, the substance of any adverse comment(s) received will be weighed against the anticipated benefits of the jointly-submitted recommendations and the likelihood that further consideration of the comment(s) would change the results of the rulemaking. DOE notes that, to the extent an adverse comment had been previously raised and addressed in the rulemaking proceeding, such a submission will not typically provide a basis for withdrawal of a direct final rule. Nevertheless, if the Secretary makes such a determination, DOE must withdraw the direct final rule </w:t>
      </w:r>
      <w:r>
        <w:rPr>
          <w:rFonts w:ascii="arial" w:eastAsia="arial" w:hAnsi="arial" w:cs="arial"/>
          <w:b/>
          <w:i w:val="0"/>
          <w:strike w:val="0"/>
          <w:noProof w:val="0"/>
          <w:color w:val="000000"/>
          <w:position w:val="0"/>
          <w:sz w:val="20"/>
          <w:u w:val="none"/>
          <w:vertAlign w:val="baseline"/>
        </w:rPr>
        <w:t> [*1794] </w:t>
      </w:r>
      <w:r>
        <w:rPr>
          <w:rFonts w:ascii="arial" w:eastAsia="arial" w:hAnsi="arial" w:cs="arial"/>
          <w:b w:val="0"/>
          <w:i w:val="0"/>
          <w:strike w:val="0"/>
          <w:noProof w:val="0"/>
          <w:color w:val="000000"/>
          <w:position w:val="0"/>
          <w:sz w:val="20"/>
          <w:u w:val="none"/>
          <w:vertAlign w:val="baseline"/>
        </w:rPr>
        <w:t xml:space="preserve"> and proceed with the simultaneously-published NOPR.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 why the direct final rule was withdrawn.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briefly summarizes the history leading up to and including the conception of the current standards for residential air conditioners and heat pumps. Congress initially prescribed statutory standard levels for residential central air conditioners and heat pumps through amendments to EPCA included in the National Appliance Energy Conservation Act of 1987 (NAECA), </w:t>
      </w:r>
      <w:hyperlink r:id="rId23" w:history="1">
        <w:r>
          <w:rPr>
            <w:rFonts w:ascii="arial" w:eastAsia="arial" w:hAnsi="arial" w:cs="arial"/>
            <w:b w:val="0"/>
            <w:i/>
            <w:strike w:val="0"/>
            <w:noProof w:val="0"/>
            <w:color w:val="0077CC"/>
            <w:position w:val="0"/>
            <w:sz w:val="20"/>
            <w:u w:val="single"/>
            <w:vertAlign w:val="baseline"/>
          </w:rPr>
          <w:t>Public Law 100-12</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42 U.S.C. 6295(d)(1)</w:t>
        </w:r>
      </w:hyperlink>
      <w:r>
        <w:rPr>
          <w:rFonts w:ascii="arial" w:eastAsia="arial" w:hAnsi="arial" w:cs="arial"/>
          <w:b w:val="0"/>
          <w:i w:val="0"/>
          <w:strike w:val="0"/>
          <w:noProof w:val="0"/>
          <w:color w:val="000000"/>
          <w:position w:val="0"/>
          <w:sz w:val="20"/>
          <w:u w:val="none"/>
          <w:vertAlign w:val="baseline"/>
        </w:rPr>
        <w:t>-(2)) DOE was required to subsequently conduct two rounds of rulemaking to consider amended standards for these products. (</w:t>
      </w:r>
      <w:hyperlink r:id="rId12" w:history="1">
        <w:r>
          <w:rPr>
            <w:rFonts w:ascii="arial" w:eastAsia="arial" w:hAnsi="arial" w:cs="arial"/>
            <w:b w:val="0"/>
            <w:i/>
            <w:strike w:val="0"/>
            <w:noProof w:val="0"/>
            <w:color w:val="0077CC"/>
            <w:position w:val="0"/>
            <w:sz w:val="20"/>
            <w:u w:val="single"/>
            <w:vertAlign w:val="baseline"/>
          </w:rPr>
          <w:t>42 U.S.C. 6295(d)(3)</w:t>
        </w:r>
      </w:hyperlink>
      <w:r>
        <w:rPr>
          <w:rFonts w:ascii="arial" w:eastAsia="arial" w:hAnsi="arial" w:cs="arial"/>
          <w:b w:val="0"/>
          <w:i w:val="0"/>
          <w:strike w:val="0"/>
          <w:noProof w:val="0"/>
          <w:color w:val="000000"/>
          <w:position w:val="0"/>
          <w:sz w:val="20"/>
          <w:u w:val="none"/>
          <w:vertAlign w:val="baseline"/>
        </w:rPr>
        <w:t xml:space="preserve">) The first cycle culminated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17, 2004 (the August 2004 final rule). The August 2004 final rule prescribed energy conservation standards for central air conditioners and heat pumps manufactured or imported on and after January 23, 2006. </w:t>
      </w:r>
      <w:hyperlink r:id="rId24" w:history="1">
        <w:r>
          <w:rPr>
            <w:rFonts w:ascii="arial" w:eastAsia="arial" w:hAnsi="arial" w:cs="arial"/>
            <w:b w:val="0"/>
            <w:i/>
            <w:strike w:val="0"/>
            <w:noProof w:val="0"/>
            <w:color w:val="0077CC"/>
            <w:position w:val="0"/>
            <w:sz w:val="20"/>
            <w:u w:val="single"/>
            <w:vertAlign w:val="baseline"/>
          </w:rPr>
          <w:t>69 FR 50997.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completed the second of the two rulemaking cycles by publishing a direct final rule on June 27, 2011. </w:t>
      </w:r>
      <w:hyperlink r:id="rId16"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The June 2011 DFR combined the rulemakings for residential furnaces, central air conditioners, and heat pumps; divided the country into three regions for CAC/HP: Southeast "hot humid" region, southwest "hot-dry" region, and northern "rest of country" (national standard); and amended standards, including different standards for each region, for central air conditioners and heat pumps manufactured on or after January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31, 2011, DOE published a notice of effective date and compliance dates for the direct final rule responding to comments it received. </w:t>
      </w:r>
      <w:hyperlink r:id="rId27" w:history="1">
        <w:r>
          <w:rPr>
            <w:rFonts w:ascii="arial" w:eastAsia="arial" w:hAnsi="arial" w:cs="arial"/>
            <w:b w:val="0"/>
            <w:i/>
            <w:strike w:val="0"/>
            <w:noProof w:val="0"/>
            <w:color w:val="0077CC"/>
            <w:position w:val="0"/>
            <w:sz w:val="20"/>
            <w:u w:val="single"/>
            <w:vertAlign w:val="baseline"/>
          </w:rPr>
          <w:t>76 FR 67037.</w:t>
        </w:r>
      </w:hyperlink>
      <w:r>
        <w:rPr>
          <w:rFonts w:ascii="arial" w:eastAsia="arial" w:hAnsi="arial" w:cs="arial"/>
          <w:b w:val="0"/>
          <w:i w:val="0"/>
          <w:strike w:val="0"/>
          <w:noProof w:val="0"/>
          <w:color w:val="000000"/>
          <w:position w:val="0"/>
          <w:sz w:val="20"/>
          <w:u w:val="none"/>
          <w:vertAlign w:val="baseline"/>
        </w:rPr>
        <w:t xml:space="preserve"> Ultimately, DOE determined that the comments received in response to the direct final rule for amended energy conservation standards for residential central air conditioners and heat pumps did not provide a reasonable basis for withdrawal of the DFR.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standards, which differ by region, were published in the June 27, 2011 DFR. 76 FR 37408, 37546-47. These standards are codified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at </w:t>
      </w:r>
      <w:hyperlink r:id="rId17" w:history="1">
        <w:r>
          <w:rPr>
            <w:rFonts w:ascii="arial" w:eastAsia="arial" w:hAnsi="arial" w:cs="arial"/>
            <w:b w:val="0"/>
            <w:i/>
            <w:strike w:val="0"/>
            <w:noProof w:val="0"/>
            <w:color w:val="0077CC"/>
            <w:position w:val="0"/>
            <w:sz w:val="20"/>
            <w:u w:val="single"/>
            <w:vertAlign w:val="baseline"/>
          </w:rPr>
          <w:t>10 CFR 430.32(c)(2)</w:t>
        </w:r>
      </w:hyperlink>
      <w:r>
        <w:rPr>
          <w:rFonts w:ascii="arial" w:eastAsia="arial" w:hAnsi="arial" w:cs="arial"/>
          <w:b w:val="0"/>
          <w:i w:val="0"/>
          <w:strike w:val="0"/>
          <w:noProof w:val="0"/>
          <w:color w:val="000000"/>
          <w:position w:val="0"/>
          <w:sz w:val="20"/>
          <w:u w:val="none"/>
          <w:vertAlign w:val="baseline"/>
        </w:rPr>
        <w:t xml:space="preserve">-(5). The standards consist of a minimum SEER for each class of air conditioner and a minimum SEER and HSPF for each class of heat pump. </w:t>
      </w:r>
      <w:hyperlink r:id="rId17" w:history="1">
        <w:r>
          <w:rPr>
            <w:rFonts w:ascii="arial" w:eastAsia="arial" w:hAnsi="arial" w:cs="arial"/>
            <w:b w:val="0"/>
            <w:i/>
            <w:strike w:val="0"/>
            <w:noProof w:val="0"/>
            <w:color w:val="0077CC"/>
            <w:position w:val="0"/>
            <w:sz w:val="20"/>
            <w:u w:val="single"/>
            <w:vertAlign w:val="baseline"/>
          </w:rPr>
          <w:t>10 CFR 430.32(c)(2)</w:t>
        </w:r>
      </w:hyperlink>
      <w:r>
        <w:rPr>
          <w:rFonts w:ascii="arial" w:eastAsia="arial" w:hAnsi="arial" w:cs="arial"/>
          <w:b w:val="0"/>
          <w:i w:val="0"/>
          <w:strike w:val="0"/>
          <w:noProof w:val="0"/>
          <w:color w:val="000000"/>
          <w:position w:val="0"/>
          <w:sz w:val="20"/>
          <w:u w:val="none"/>
          <w:vertAlign w:val="baseline"/>
        </w:rPr>
        <w:t xml:space="preserve">-(3). In addition, the June 2011 DFR also established regional standards on EER for the southwest region n16 for split-system air conditioner and single-package air conditioner product classes. </w:t>
      </w:r>
      <w:hyperlink r:id="rId17" w:history="1">
        <w:r>
          <w:rPr>
            <w:rFonts w:ascii="arial" w:eastAsia="arial" w:hAnsi="arial" w:cs="arial"/>
            <w:b w:val="0"/>
            <w:i/>
            <w:strike w:val="0"/>
            <w:noProof w:val="0"/>
            <w:color w:val="0077CC"/>
            <w:position w:val="0"/>
            <w:sz w:val="20"/>
            <w:u w:val="single"/>
            <w:vertAlign w:val="baseline"/>
          </w:rPr>
          <w:t>10 CFR 430.32(c)(4)</w:t>
        </w:r>
      </w:hyperlink>
      <w:r>
        <w:rPr>
          <w:rFonts w:ascii="arial" w:eastAsia="arial" w:hAnsi="arial" w:cs="arial"/>
          <w:b w:val="0"/>
          <w:i w:val="0"/>
          <w:strike w:val="0"/>
          <w:noProof w:val="0"/>
          <w:color w:val="000000"/>
          <w:position w:val="0"/>
          <w:sz w:val="20"/>
          <w:u w:val="none"/>
          <w:vertAlign w:val="baseline"/>
        </w:rPr>
        <w:t xml:space="preserve">. All covered central air conditioners and heat pumps were also required to meet standards for average off mode electrical power consumption. </w:t>
      </w:r>
      <w:hyperlink r:id="rId17" w:history="1">
        <w:r>
          <w:rPr>
            <w:rFonts w:ascii="arial" w:eastAsia="arial" w:hAnsi="arial" w:cs="arial"/>
            <w:b w:val="0"/>
            <w:i/>
            <w:strike w:val="0"/>
            <w:noProof w:val="0"/>
            <w:color w:val="0077CC"/>
            <w:position w:val="0"/>
            <w:sz w:val="20"/>
            <w:u w:val="single"/>
            <w:vertAlign w:val="baseline"/>
          </w:rPr>
          <w:t>10 CFR 430.32(c)(5)</w:t>
        </w:r>
      </w:hyperlink>
      <w:r>
        <w:rPr>
          <w:rFonts w:ascii="arial" w:eastAsia="arial" w:hAnsi="arial" w:cs="arial"/>
          <w:b w:val="0"/>
          <w:i w:val="0"/>
          <w:strike w:val="0"/>
          <w:noProof w:val="0"/>
          <w:color w:val="000000"/>
          <w:position w:val="0"/>
          <w:sz w:val="20"/>
          <w:u w:val="none"/>
          <w:vertAlign w:val="baseline"/>
        </w:rPr>
        <w:t>. DOE's current regulatory requirements for central air conditioners and heat pumps are listed in Table 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2011 Direct Final Rule divides the United States into three different climate zones based on the number of heating degree days: Southeast region, southwest region, and the north (also referred to as "rest of the country") which represents the national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II-1--Energy Conservation Standards for Central Air Conditioners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 Pumps Manufactured On or After January 1, 2015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Southeastern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Southwestern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 standard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 = 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 = 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 = 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12.2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with a rated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 capacity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45,000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11.7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with a rated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 capacity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to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45,000 Btu/h)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heat</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SEER = 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HSPF = 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air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 = 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 = 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 = 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EER = 11.0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SEER = 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HSPF = 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SEER =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high-velocity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HSPF = 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SEER =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products--air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SEER =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products--heat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84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HSPF = 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"SEER" is Seasonal Energy Efficiency Ratio; "EER" is Energy Efficiency Ratio; "HSPF" is Heating Seasonal Performance Factor; and "Btu/h" is British thermal units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Southeastern region for central air conditioners contains the following States: Alabama,, Arkansas, Delaware, Florida, Georgia, Hawaii, Kentucky, Louisiana, Maryland, Mississippi, North Carolina, Oklahoma, South Carolina, Tennessee, Texas, and Virginia, and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Southwestern region for central air conditioners contains the States of Arizona, California, Nevada, and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DOE did not amend energy conservation standards for these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June 2011 DFR also established off mode energy conservation standards for residential central air conditioners and heat pumps, as summarized in Table II.2 and described in section III.E. </w:t>
      </w:r>
      <w:r>
        <w:rPr>
          <w:rFonts w:ascii="arial" w:eastAsia="arial" w:hAnsi="arial" w:cs="arial"/>
          <w:b/>
          <w:i w:val="0"/>
          <w:strike w:val="0"/>
          <w:noProof w:val="0"/>
          <w:color w:val="000000"/>
          <w:position w:val="0"/>
          <w:sz w:val="20"/>
          <w:u w:val="none"/>
          <w:vertAlign w:val="baseline"/>
        </w:rPr>
        <w:t> [*1795]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II-2--Off Mode Energy Conservation Standards for Central Air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Conditioners and Heat Pumps Manufactured On or After January 1, 2015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 mode standard levels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 conditioners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P[W,OFF] = 30 watts.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heat pumps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P[W,OFF] = 33 watts.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air conditioners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P[W,OFF] = 30 watts.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heat pumps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P[W,OFF] = 33 watts.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 systems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P[W,OFF] = 30 watts.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 conditioners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P[W,OFF] = 30 watts.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heat pumps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P[W,OFF] = 33 watts.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"P[W,OFF]" is off mode electrical power consumption for central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is not adopting a separate standby mode standard level for central air conditioners and heat pumps, because standby mode power consumption for these products is already regulated by SEER and HSPF.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the Current CAC/HP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provides an overview of the history of the current central air conditioner and heat pump rulemaking following the June 2011 DFR up to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DOE's adoption of the June 2011 DFR, the American Public Gas Association (APGA) filed a petition for review with the U.S. Court of Appeals for the District of Columbia Circuit, seeking to invalidate the June 2011 DFR as it pertained to non-weatherized gas furnaces (NWGFs) and mobile home gas furnaces (MHGFs). Petition for Review,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 11-1485 (D.C. Cir. filed Dec. 23, 2011). APGA requested the court to vacate and remand the direct final rule for further notice and comment rulemaking, with its main arguments being that DOE inappropriately banned noncondensing furnaces in the northern region and adopted a standard that would cause significant fuel switching without economic justification.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Brief for Petitioner, American Public Gas Association, et al. v. Department of Energy, et al., No. 11-1485 (D.C. Cir. filed May 14, 2012). See also: </w:t>
      </w:r>
      <w:hyperlink r:id="rId28" w:history="1">
        <w:r>
          <w:rPr>
            <w:rFonts w:ascii="arial" w:eastAsia="arial" w:hAnsi="arial" w:cs="arial"/>
            <w:b w:val="0"/>
            <w:i/>
            <w:strike w:val="0"/>
            <w:noProof w:val="0"/>
            <w:color w:val="0077CC"/>
            <w:position w:val="0"/>
            <w:sz w:val="20"/>
            <w:u w:val="single"/>
            <w:vertAlign w:val="baseline"/>
          </w:rPr>
          <w:t>http://www.achrnews.com/ext/resources/2013/06-2013/06-03-13/APGA-Petition-DC-Cir_11-1485.pdf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24, 2014, the Court granted a motion that approved a settlement agreement reached between DOE, APGA, and the various intervenors. n18 Under this settlement agreement, DOE agreed to a court vacatur and remand of the regional standards for non-weatherized natural gas and mobile home furnaces and to use best efforts to complete a new standards rulemaking for those products within two years. Accordingly, the Court's order vacated the June 2011 DFR in part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portions relating to NWGFs and MHGFs) and remanded to the agency for further rulemaking. Notwithstanding this litigation, the regional standards for residential central air conditioners and heat pumps contained in the June 27, 2011 DFR went into effect as originally scheduled with a compliance date of January 1, 2015. Around this time, DOE also decided to initiate a negotiated rulemaking with stakeholders on regional standards enforcement for central air conditioners and heat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See: </w:t>
      </w:r>
      <w:hyperlink r:id="rId29" w:history="1">
        <w:r>
          <w:rPr>
            <w:rFonts w:ascii="arial" w:eastAsia="arial" w:hAnsi="arial" w:cs="arial"/>
            <w:b w:val="0"/>
            <w:i/>
            <w:strike w:val="0"/>
            <w:noProof w:val="0"/>
            <w:color w:val="0077CC"/>
            <w:position w:val="0"/>
            <w:sz w:val="20"/>
            <w:u w:val="single"/>
            <w:vertAlign w:val="baseline"/>
          </w:rPr>
          <w:t>http://www.acca.org/wp-content/uploads/2014/03/joint-motion-to-vacate-and-remand-2014-to-file.pdf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26, 2014, DOE published a notice of open meetings for the central air conditioner and heat pump regional standards enforcement working group, which was tasked to discuss and reach consensus on a proposed rule n19 for the enforcement of regional standards for split-system and single-package air conditioners. </w:t>
      </w:r>
      <w:hyperlink r:id="rId30" w:history="1">
        <w:r>
          <w:rPr>
            <w:rFonts w:ascii="arial" w:eastAsia="arial" w:hAnsi="arial" w:cs="arial"/>
            <w:b w:val="0"/>
            <w:i/>
            <w:strike w:val="0"/>
            <w:noProof w:val="0"/>
            <w:color w:val="0077CC"/>
            <w:position w:val="0"/>
            <w:sz w:val="20"/>
            <w:u w:val="single"/>
            <w:vertAlign w:val="baseline"/>
          </w:rPr>
          <w:t>79 FR 50856.</w:t>
        </w:r>
      </w:hyperlink>
      <w:r>
        <w:rPr>
          <w:rFonts w:ascii="arial" w:eastAsia="arial" w:hAnsi="arial" w:cs="arial"/>
          <w:b w:val="0"/>
          <w:i w:val="0"/>
          <w:strike w:val="0"/>
          <w:noProof w:val="0"/>
          <w:color w:val="000000"/>
          <w:position w:val="0"/>
          <w:sz w:val="20"/>
          <w:u w:val="none"/>
          <w:vertAlign w:val="baseline"/>
        </w:rPr>
        <w:t xml:space="preserve"> This working group was scheduled to periodically convene from August through October of 2014. DOE issued a final rule on central air conditioner and heat pump regional standards enforcement on July 14, 2016. </w:t>
      </w:r>
      <w:r>
        <w:rPr>
          <w:rFonts w:ascii="arial" w:eastAsia="arial" w:hAnsi="arial" w:cs="arial"/>
          <w:b w:val="0"/>
          <w:i/>
          <w:strike w:val="0"/>
          <w:noProof w:val="0"/>
          <w:color w:val="000000"/>
          <w:position w:val="0"/>
          <w:sz w:val="20"/>
          <w:u w:val="none"/>
          <w:vertAlign w:val="baseline"/>
        </w:rPr>
        <w:t>81 FR 45387.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More details on the issues considered can be found in the docket: </w:t>
      </w:r>
      <w:hyperlink r:id="rId31" w:history="1">
        <w:r>
          <w:rPr>
            <w:rFonts w:ascii="arial" w:eastAsia="arial" w:hAnsi="arial" w:cs="arial"/>
            <w:b w:val="0"/>
            <w:i/>
            <w:strike w:val="0"/>
            <w:noProof w:val="0"/>
            <w:color w:val="0077CC"/>
            <w:position w:val="0"/>
            <w:sz w:val="20"/>
            <w:u w:val="single"/>
            <w:vertAlign w:val="baseline"/>
          </w:rPr>
          <w:t>http://www.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;D=EERE-2011-BT-CE-0077-0070</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Energy Policy and Conservation Act's 6-year review requirement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xml:space="preserve">), DOE must publish a notice of proposed rulemaking to propose new standards for residential central air conditioner and heat pump products or a notice of determination that the existing standards do not need to be amended by June 6, 2017. On November 5, 2014, DOE initiated efforts pursuant to the 6-year lookback requirement by publishing a request for information (RFI) regarding central air conditioners and heat pumps to solicit comments on whether to amend the current energy conservation standards for residential central air conditioner and heat pump products. </w:t>
      </w:r>
      <w:r>
        <w:rPr>
          <w:rFonts w:ascii="arial" w:eastAsia="arial" w:hAnsi="arial" w:cs="arial"/>
          <w:b w:val="0"/>
          <w:i/>
          <w:strike w:val="0"/>
          <w:noProof w:val="0"/>
          <w:color w:val="000000"/>
          <w:position w:val="0"/>
          <w:sz w:val="20"/>
          <w:u w:val="none"/>
          <w:vertAlign w:val="baseline"/>
        </w:rPr>
        <w:t>79 FR 65603.</w:t>
      </w:r>
      <w:r>
        <w:rPr>
          <w:rFonts w:ascii="arial" w:eastAsia="arial" w:hAnsi="arial" w:cs="arial"/>
          <w:b w:val="0"/>
          <w:i w:val="0"/>
          <w:strike w:val="0"/>
          <w:noProof w:val="0"/>
          <w:color w:val="000000"/>
          <w:position w:val="0"/>
          <w:sz w:val="20"/>
          <w:u w:val="none"/>
          <w:vertAlign w:val="baseline"/>
        </w:rPr>
        <w:t xml:space="preserve"> The November 2014 RFI also described the procedural and analytical approaches that DOE anticipated using in order to evaluate potential amended energy conservation standards for central air conditioners and heat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28, 2015, DOE published a notice of data availability (NODA) describing analysis to be used in support of the central air conditioners and heat pumps standards rulemaking. </w:t>
      </w:r>
      <w:hyperlink r:id="rId13" w:history="1">
        <w:r>
          <w:rPr>
            <w:rFonts w:ascii="arial" w:eastAsia="arial" w:hAnsi="arial" w:cs="arial"/>
            <w:b w:val="0"/>
            <w:i/>
            <w:strike w:val="0"/>
            <w:noProof w:val="0"/>
            <w:color w:val="0077CC"/>
            <w:position w:val="0"/>
            <w:sz w:val="20"/>
            <w:u w:val="single"/>
            <w:vertAlign w:val="baseline"/>
          </w:rPr>
          <w:t>80 FR 52206.</w:t>
        </w:r>
      </w:hyperlink>
      <w:r>
        <w:rPr>
          <w:rFonts w:ascii="arial" w:eastAsia="arial" w:hAnsi="arial" w:cs="arial"/>
          <w:b w:val="0"/>
          <w:i w:val="0"/>
          <w:strike w:val="0"/>
          <w:noProof w:val="0"/>
          <w:color w:val="000000"/>
          <w:position w:val="0"/>
          <w:sz w:val="20"/>
          <w:u w:val="none"/>
          <w:vertAlign w:val="baseline"/>
        </w:rPr>
        <w:t xml:space="preserve"> The analysis for this notice provided the results of a series of DOE provisional analyses regarding potential energy savings and economic impacts of amending the central air conditioner and heat pump energy conservation standards. These analyses were conducted for the following categories: Engineering, consumer impacts, national impacts, and manufacturer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November 2014 RFI, Lennox formally requested that DOE convene a negotiated rulemaking to address potential amendments to the current standards, which would help ensure that all stakeholders have input into the discussion, analysis, and outcome of the rulemaking. (Lennox, No. 22) Other key industry stakeholders made similar suggestions. (American Council for an Energy-Efficient Economy, No. 23; Air Conditioning Contractors of America, No. 25; Heating, Air Conditioning &amp; Refrigeration Distributors International, No. 26) ASRAC carefully evaluated this request, and the Committee voted to charter a working group to support the negotiated rulemaking effort requested by these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DOE determined that the complexity of the CAC/HP rulemaking necessitated a combined effort to address these equipment types to ensure a comprehensive vetting of all issues and related analyses to support any final rule setting standards. To this end, DOE solicited the public for membership nominations to the CAC/HP Working Group that would be formed under the ASRAC charter by issuing a Notice of Intent to Establish the Central Air Conditioners and Heat Pumps Working Group To Negotiate a </w:t>
      </w:r>
      <w:r>
        <w:rPr>
          <w:rFonts w:ascii="arial" w:eastAsia="arial" w:hAnsi="arial" w:cs="arial"/>
          <w:b/>
          <w:i w:val="0"/>
          <w:strike w:val="0"/>
          <w:noProof w:val="0"/>
          <w:color w:val="000000"/>
          <w:position w:val="0"/>
          <w:sz w:val="20"/>
          <w:u w:val="none"/>
          <w:vertAlign w:val="baseline"/>
        </w:rPr>
        <w:t> [*1796] </w:t>
      </w:r>
      <w:r>
        <w:rPr>
          <w:rFonts w:ascii="arial" w:eastAsia="arial" w:hAnsi="arial" w:cs="arial"/>
          <w:b w:val="0"/>
          <w:i w:val="0"/>
          <w:strike w:val="0"/>
          <w:noProof w:val="0"/>
          <w:color w:val="000000"/>
          <w:position w:val="0"/>
          <w:sz w:val="20"/>
          <w:u w:val="none"/>
          <w:vertAlign w:val="baseline"/>
        </w:rPr>
        <w:t xml:space="preserve"> Notice of Proposed Rulemaking for Energy Conservation Standards. </w:t>
      </w:r>
      <w:hyperlink r:id="rId14" w:history="1">
        <w:r>
          <w:rPr>
            <w:rFonts w:ascii="arial" w:eastAsia="arial" w:hAnsi="arial" w:cs="arial"/>
            <w:b w:val="0"/>
            <w:i/>
            <w:strike w:val="0"/>
            <w:noProof w:val="0"/>
            <w:color w:val="0077CC"/>
            <w:position w:val="0"/>
            <w:sz w:val="20"/>
            <w:u w:val="single"/>
            <w:vertAlign w:val="baseline"/>
          </w:rPr>
          <w:t>80 FR 40938</w:t>
        </w:r>
      </w:hyperlink>
      <w:r>
        <w:rPr>
          <w:rFonts w:ascii="arial" w:eastAsia="arial" w:hAnsi="arial" w:cs="arial"/>
          <w:b w:val="0"/>
          <w:i w:val="0"/>
          <w:strike w:val="0"/>
          <w:noProof w:val="0"/>
          <w:color w:val="000000"/>
          <w:position w:val="0"/>
          <w:sz w:val="20"/>
          <w:u w:val="none"/>
          <w:vertAlign w:val="baseline"/>
        </w:rPr>
        <w:t xml:space="preserve"> (July 14, 2015). The CAC/HP Working Group was established under ASRAC in accordance with the Federal Advisory Committee Act (FACA) and the Negotiated Rulemaking Act--with the purpose of discussing and, if possible, reaching consensus on a set of energy conservation standards to propose/finalize for CACs and HPs. The CAC/HP Working Group was to consist of fairly representative parties having a defined stake in the outcome of the proposed standards, and would consult, as appropriate, with a range of experts on technical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26 nominations for membership. Ultimately, the CAC/HP Working Group consisted of 15 members, including one member from ASRAC and one DOE representative. n20 The CAC/HP Working Group met ten times (nine times in-person and once by teleconference). The meetings were held on August 26, 2015, September 10, 2015, September 28-29, 2015, October 13-14, 2015, October 26-27, 2015. November 18-19, 2015, December 1-2, 2015, December 16-17, 2015, January 11-12, 2016, and a webinar on January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group members were Tony Bouza (U.S. Department of Energy), Marshall Hunt (Pacific Gas &amp; Electric Company, San Diego Gas &amp; Electric Company, Southern California Edison, and Southern California Gas Company), Andrew deLaski (Appliance Standards Awareness Project and ASRAC representative), Meg Waltner (Natural Resources Defense Council), John Hurst (Lennox), Karen Meyers (Rheem Manufacturing Company), Charles McCrudden (Air Conditioning Contractors of America), Harvey Sachs (American Council for an Energy Efficient Economy), Russell Tharp (Goodman Manufacturing), Karim Amrane (Air-Conditioning, Heating, and Refrigeration Institute), Don Brundage (Southern Company), Kristen Driskell (California Energy Commission), John Gibbons (United Technologies), Steve Porter (Johnstone Supply), and Jim Vershaw (Ingersoll 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CAC/HP Working Group discussions, participants discussed setting new standards for single-package air conditioners. Specifically, arguments were made against raising the standard level for single-package systems due to the unavailability of full product lines, which span the entire range of cooling capacities, with efficiencies that are only modestly greater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 SEER) than the current standard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14 SEER). (ASRAC Public Meeting, No. 80 at pp. 75-6) After being informed that the national energy savings from a 15 SEER standard for single-package systems would be small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0.1 quads), the Working Group agreed not to recommend raising the standards for these product classes. (ASRAC Public Meeting, No. 80 at pp. 90-91). In addition, some parties wanted the Group to recommend a level for standards for split-system heat pumps that would encourage use of two-speed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than 15 SEER), but the manufacturer representatives objected to this proposal due to two primary concerns: (1) Only a single compressor manufacturer supplies two-stage compressors, thereby creating the possibility of a limited or constrained supply of the most critical component of a two-speed system and (2) the likelihood, in replacement installations, that the utilization of existing thermostat control wiring could result in the use of only high-speed, thereby eliminating the efficiency gain resulting from low-speed operation during part-load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CAC/HP Working Group successfully reached consensus on recommended energy conservation standards, as well as test procedure amendments for CACs and HPs. On January 19, 2016, the CAC/HP Working Group submitted the Term Sheet to ASRAC outlining its recommendations, which ASRAC subsequently adopted.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Available at (copy and paste into browser): </w:t>
      </w:r>
      <w:hyperlink r:id="rId32" w:history="1">
        <w:r>
          <w:rPr>
            <w:rFonts w:ascii="arial" w:eastAsia="arial" w:hAnsi="arial" w:cs="arial"/>
            <w:b w:val="0"/>
            <w:i/>
            <w:strike w:val="0"/>
            <w:noProof w:val="0"/>
            <w:color w:val="0077CC"/>
            <w:position w:val="0"/>
            <w:sz w:val="20"/>
            <w:u w:val="single"/>
            <w:vertAlign w:val="baseline"/>
          </w:rPr>
          <w:t>https://www.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.gov/document?D=EERE-2014-BT-STD-0048-0076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2015-2016 ASRAC CAC/HP Working Group Recommended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standard levels recommended in the Term Sheet submitted by the CAC/HP Working Group for CAC/HP standards and the subsequent procedural steps taken by DOE. Recommendation #8 of the Term Sheet recommends standard levels based on the test procedure at the time of the 2015-2016 Negotiations. (ASRAC Term Sheet, No. 76 at pp. 4-5) These recommended standard levels are presented in Table II-3. Note that the test procedure at the time of the 2015-2016 Negotiations did not include the amendments adopted in the November 2016 test procedure final rule, which are outlined in section III.F. Recommendation #9 tabulates the translated standard levels based on the amended test procedure (ASRAC Term Sheet, No. 76 at p. 5). Details of the other Term Sheet recommendations can be found in the Term Sheet posted in the docket.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Available at (copy and paste into browser): </w:t>
      </w:r>
      <w:hyperlink r:id="rId32" w:history="1">
        <w:r>
          <w:rPr>
            <w:rFonts w:ascii="arial" w:eastAsia="arial" w:hAnsi="arial" w:cs="arial"/>
            <w:b w:val="0"/>
            <w:i/>
            <w:strike w:val="0"/>
            <w:noProof w:val="0"/>
            <w:color w:val="0077CC"/>
            <w:position w:val="0"/>
            <w:sz w:val="20"/>
            <w:u w:val="single"/>
            <w:vertAlign w:val="baseline"/>
          </w:rPr>
          <w:t>https://www.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.gov/document?D=EERE-2014-BT-STD-0048-0076</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II-3--Recommended Amended Energy Conservation Standards for Residential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Air Conditioners and Heat Pumps as Determined by the DOE Test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 at the Time of the 2015-2016 ASRAC Negotiations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 TSL]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Southeast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Southwest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EER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Heat Pumps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 Heat Pumps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Southeast includes: The states of Alabama, Arkansas, Delaware, Florida, Georgia, Hawaii, Kentucky, Louisiana, Maryland, Mississippi, North Carolina, Oklahoma, Puerto Rico, South Carolina, Tennessee, Texas, Virginia, the District of Columbia,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Southwest includes the states of Arizona, California, Nevada, and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EER requirements only apply to air conditioners, not heat pumps within each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10.2 EER amended energy conservation standard applies to split-system air conditioners with a seasonal energy efficiency ratio greater than or equal to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energy conservation standards for small-duct high velocity and space-constrained remain unchanged from current levels. </w:t>
      </w:r>
      <w:r>
        <w:rPr>
          <w:rFonts w:ascii="arial" w:eastAsia="arial" w:hAnsi="arial" w:cs="arial"/>
          <w:b/>
          <w:i w:val="0"/>
          <w:strike w:val="0"/>
          <w:noProof w:val="0"/>
          <w:color w:val="000000"/>
          <w:position w:val="0"/>
          <w:sz w:val="20"/>
          <w:u w:val="none"/>
          <w:vertAlign w:val="baseline"/>
        </w:rPr>
        <w:t> [*1797]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 consensus recommendations for amending the energy conservation standards for CACs and HPs submitted by the CAC/HP Working Group and adopted by ASRAC, DOE has determined that these recommendations are in accordance with the statutory requirements of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for the issuance of a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these recommendations comprise a statement submitted by interested persons who are fairly representative of relevant points of view on this matter. In reaching this determination, DOE took into consideration the fact that the CAC/HP Working Group, in conjunction with ASRAC members who approved the recommendations, consisted of representatives of manufacturers of the covered equipment at issue, States, and efficiency advocates--all of which are groups specifically identified by Congress as relevant parties to any consensus recommendation.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As delineated above, the Term Sheet was signed and submitted by a broad cross-section of interests, including the manufacturers who produce the subject products, trade associations representing these manufacturers and installation contractors, environmental and energy-efficiency advocacy organizations, and electric utility companies. Although States were not direct signatories to the Term Sheet, the ASRAC Committee approving the CAC/HP Working Group's recommendations included at least two members representing States--one representing the National Association of State Energy Officials (NASEO) and one representing the State of California. n23 Moreover, DOE does not read the statute as requiring a statement submitted by all interested parties before the Department may proceed with issuance of a direct final rule. By explicit language of the statute, the Secretary has the discretion to determine when a joint recommendation for an energy or water conservation standard has met the requirement for representativeness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determined by the Secretary").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These individuals were Deborah E. Miller (NASEO) and David Hungerford (California Energy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evaluated whether the recommendation satisfies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as applicable. In making this determination, DOE conducted an analysis to evaluate whether the potential energy conservation standards under consideration achieve the maximum improvement in energy efficiency that is technologically feasible and economically justified and result in significant energy conservation. The evaluation is the same comprehensive approach that DOE typically conducts whenever it considers potential energy conservation standards for a given type of product or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review, the Secretary determined that the Term Sheet comports with the standard-setting criteria set forth under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Accordingly, the consensus-recommended efficiency levels were included as the "recommended TSL" for CACs/HPs (see section V.A for description of all of the considered TSLs). The details regarding how the consensus-recommended TSLs comply with the standard-setting criteria are discussed and demonstrated in the relevant sections throughout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as the relevant criteria under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have been satisfied, the Secretary has determined that it is appropriate to adopt the consensus-recommended amended energy conservation standards for CACs and HPs through this direct final rule. Also in accordance with the provisions described in section II.A, DOE is simultaneously publishing a NOPR proposing that the identical standard levels contained in this direct final rule be adopted.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covers subjects that are not explicitly discussed in other sections but provide additional necessary context for understanding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DOE initiated this rulemaking, DOE had intended to rate and certify split-system central air conditioners based on a blower-coil configuration. This approach was reflected in the August 2015 NODA TSD. However, in the June 2016 test procedure final rule, DOE adopted a different approach based on CAC/HP Working Group recommendations. </w:t>
      </w:r>
      <w:hyperlink r:id="rId18" w:history="1">
        <w:r>
          <w:rPr>
            <w:rFonts w:ascii="arial" w:eastAsia="arial" w:hAnsi="arial" w:cs="arial"/>
            <w:b w:val="0"/>
            <w:i/>
            <w:strike w:val="0"/>
            <w:noProof w:val="0"/>
            <w:color w:val="0077CC"/>
            <w:position w:val="0"/>
            <w:sz w:val="20"/>
            <w:u w:val="single"/>
            <w:vertAlign w:val="baseline"/>
          </w:rPr>
          <w:t>81 FR 36992, 37001-03</w:t>
        </w:r>
      </w:hyperlink>
      <w:r>
        <w:rPr>
          <w:rFonts w:ascii="arial" w:eastAsia="arial" w:hAnsi="arial" w:cs="arial"/>
          <w:b w:val="0"/>
          <w:i w:val="0"/>
          <w:strike w:val="0"/>
          <w:noProof w:val="0"/>
          <w:color w:val="000000"/>
          <w:position w:val="0"/>
          <w:sz w:val="20"/>
          <w:u w:val="none"/>
          <w:vertAlign w:val="baseline"/>
        </w:rPr>
        <w:t xml:space="preserve"> (June 8, 2016). At its meeting on November 19, 2015, DOE presented two potential regulatory approaches, one based on both coil only and blower-coil configurations (approach 1, similar to the existing regulatory structure) and one based on blower-coil configurations (approach 2), both of which DOE regarded as feasible. During discussion, the CAC/HP Working Group generally supported approach 1 based on concerns with approach 2. Working Group members' primary concern with approach 2 is that the majority of sales are for coil-only installations, so blower-coil only ratings would not be representative of the majority of field installations, which could contribute to consumer confusion. (ASRAC Public Meeting, No. 85 at pp. 6-42) n24 The CAC/HP Working Group ultimately recommended that DOE adopt approach 1 and require rating and certifying split-system central air conditioners based on any configuration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coil-only or blower-coil). The regulatory approach to split-system central air conditioners is identified as recommendation #7 in the CAC/HP Working Group Term Sheet. (ASRAC Term Sheet, No. 76 at p. 4) The June 2016 test procedure final rule includes a detailed discussion of these recommended changes and DOE's adoption of them. </w:t>
      </w:r>
      <w:hyperlink r:id="rId18" w:history="1">
        <w:r>
          <w:rPr>
            <w:rFonts w:ascii="arial" w:eastAsia="arial" w:hAnsi="arial" w:cs="arial"/>
            <w:b w:val="0"/>
            <w:i/>
            <w:strike w:val="0"/>
            <w:noProof w:val="0"/>
            <w:color w:val="0077CC"/>
            <w:position w:val="0"/>
            <w:sz w:val="20"/>
            <w:u w:val="single"/>
            <w:vertAlign w:val="baseline"/>
          </w:rPr>
          <w:t>81 FR 36992, 37001-37003</w:t>
        </w:r>
      </w:hyperlink>
      <w:r>
        <w:rPr>
          <w:rFonts w:ascii="arial" w:eastAsia="arial" w:hAnsi="arial" w:cs="arial"/>
          <w:b w:val="0"/>
          <w:i w:val="0"/>
          <w:strike w:val="0"/>
          <w:noProof w:val="0"/>
          <w:color w:val="000000"/>
          <w:position w:val="0"/>
          <w:sz w:val="20"/>
          <w:u w:val="none"/>
          <w:vertAlign w:val="baseline"/>
        </w:rPr>
        <w:t xml:space="preserve"> (June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For discussion supporting approach 1, or the approach not based solely on blower coil ratings, see for example, Karen Meyers, pp. 27-28; Rusty Tharp, p. 29; Jim Vershaw, p.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August 2015 NODA, DOE developed cost-efficiency relationships in the engineering analysis for blower coil systems. Then DOE established a correlation between blower coil system efficiency and coil-only efficiency based on ratings from the AHRI database. DOE used this correlation to calculate the cost-efficiency relationship for coil-only systems. Given the revised regulatory approach for this DFR, DOE analyzed coil-only cost-efficiency directly. Section IV.C describes in detail how DOE determined the cost-efficiency relationship for coil-only systems in this DFR.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prescribes a five-year period between the standard's publication date and the compliance date (</w:t>
      </w:r>
      <w:hyperlink r:id="rId12" w:history="1">
        <w:r>
          <w:rPr>
            <w:rFonts w:ascii="arial" w:eastAsia="arial" w:hAnsi="arial" w:cs="arial"/>
            <w:b w:val="0"/>
            <w:i/>
            <w:strike w:val="0"/>
            <w:noProof w:val="0"/>
            <w:color w:val="0077CC"/>
            <w:position w:val="0"/>
            <w:sz w:val="20"/>
            <w:u w:val="single"/>
            <w:vertAlign w:val="baseline"/>
          </w:rPr>
          <w:t>42 U.S.C. 6295(m)(4)(A)(i)</w:t>
        </w:r>
      </w:hyperlink>
      <w:r>
        <w:rPr>
          <w:rFonts w:ascii="arial" w:eastAsia="arial" w:hAnsi="arial" w:cs="arial"/>
          <w:b w:val="0"/>
          <w:i w:val="0"/>
          <w:strike w:val="0"/>
          <w:noProof w:val="0"/>
          <w:color w:val="000000"/>
          <w:position w:val="0"/>
          <w:sz w:val="20"/>
          <w:u w:val="none"/>
          <w:vertAlign w:val="baseline"/>
        </w:rPr>
        <w:t>). The compliance date for the 2011 DFR is January 1, 2015. The statute further provides that no manufacturer shall be required to apply new standards to a product to which other new standards have been required during the prior six-year period (</w:t>
      </w:r>
      <w:hyperlink r:id="rId12" w:history="1">
        <w:r>
          <w:rPr>
            <w:rFonts w:ascii="arial" w:eastAsia="arial" w:hAnsi="arial" w:cs="arial"/>
            <w:b w:val="0"/>
            <w:i/>
            <w:strike w:val="0"/>
            <w:noProof w:val="0"/>
            <w:color w:val="0077CC"/>
            <w:position w:val="0"/>
            <w:sz w:val="20"/>
            <w:u w:val="single"/>
            <w:vertAlign w:val="baseline"/>
          </w:rPr>
          <w:t>42 U.S.C. 6295(m)(4)(B)</w:t>
        </w:r>
      </w:hyperlink>
      <w:r>
        <w:rPr>
          <w:rFonts w:ascii="arial" w:eastAsia="arial" w:hAnsi="arial" w:cs="arial"/>
          <w:b w:val="0"/>
          <w:i w:val="0"/>
          <w:strike w:val="0"/>
          <w:noProof w:val="0"/>
          <w:color w:val="000000"/>
          <w:position w:val="0"/>
          <w:sz w:val="20"/>
          <w:u w:val="none"/>
          <w:vertAlign w:val="baseline"/>
        </w:rPr>
        <w:t>). Given these statutory provisions, the earliest date that DOE could require compliance with amended standards would be January 1, 2021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six years after January 1, 2015, the compliance date of the standards adopted in the June 27, 2011 DFR). Thus, DOE contemplated a compliance date in 2021 in analyzing the impacts of the TSLs other than the Recommended TSL, which represents the recommended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Recommended TSL, the CAC/HP Working Group recommended a compliance date of January 1, 2023. While this implies a period between the </w:t>
      </w:r>
      <w:r>
        <w:rPr>
          <w:rFonts w:ascii="arial" w:eastAsia="arial" w:hAnsi="arial" w:cs="arial"/>
          <w:b/>
          <w:i w:val="0"/>
          <w:strike w:val="0"/>
          <w:noProof w:val="0"/>
          <w:color w:val="000000"/>
          <w:position w:val="0"/>
          <w:sz w:val="20"/>
          <w:u w:val="none"/>
          <w:vertAlign w:val="baseline"/>
        </w:rPr>
        <w:t> [*1798] </w:t>
      </w:r>
      <w:r>
        <w:rPr>
          <w:rFonts w:ascii="arial" w:eastAsia="arial" w:hAnsi="arial" w:cs="arial"/>
          <w:b w:val="0"/>
          <w:i w:val="0"/>
          <w:strike w:val="0"/>
          <w:noProof w:val="0"/>
          <w:color w:val="000000"/>
          <w:position w:val="0"/>
          <w:sz w:val="20"/>
          <w:u w:val="none"/>
          <w:vertAlign w:val="baseline"/>
        </w:rPr>
        <w:t xml:space="preserve"> standards final rule's publication date and the compliance date that is longer than five years, DOE understands that EPCA provides some measure of discretion when adopting recommended standards submitted as part of a consensus agreement, provided that DOE determines that the recommended standards are otherwise in accordance with the required provisions. See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DOE has made the determination that the rulemaking record in this case supports the adoption of the recommended compliance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Regional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previously, EISA 2007 amended EPCA to allow for the establishment of one or two more-restrictive regional standards in addition to the base national standard for residential central air conditioners and heat pumps. (</w:t>
      </w:r>
      <w:hyperlink r:id="rId12" w:history="1">
        <w:r>
          <w:rPr>
            <w:rFonts w:ascii="arial" w:eastAsia="arial" w:hAnsi="arial" w:cs="arial"/>
            <w:b w:val="0"/>
            <w:i/>
            <w:strike w:val="0"/>
            <w:noProof w:val="0"/>
            <w:color w:val="0077CC"/>
            <w:position w:val="0"/>
            <w:sz w:val="20"/>
            <w:u w:val="single"/>
            <w:vertAlign w:val="baseline"/>
          </w:rPr>
          <w:t>42 U.S.C. 6295(o)(6)(B)</w:t>
        </w:r>
      </w:hyperlink>
      <w:r>
        <w:rPr>
          <w:rFonts w:ascii="arial" w:eastAsia="arial" w:hAnsi="arial" w:cs="arial"/>
          <w:b w:val="0"/>
          <w:i w:val="0"/>
          <w:strike w:val="0"/>
          <w:noProof w:val="0"/>
          <w:color w:val="000000"/>
          <w:position w:val="0"/>
          <w:sz w:val="20"/>
          <w:u w:val="none"/>
          <w:vertAlign w:val="baseline"/>
        </w:rPr>
        <w:t>) The regions must include only contiguous States (with the exception of Alaska and Hawaii, which can be included in regions with which they are not contiguous), and each State may be placed in only one region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State cannot be divided among or otherwise included in two regions). (</w:t>
      </w:r>
      <w:hyperlink r:id="rId12" w:history="1">
        <w:r>
          <w:rPr>
            <w:rFonts w:ascii="arial" w:eastAsia="arial" w:hAnsi="arial" w:cs="arial"/>
            <w:b w:val="0"/>
            <w:i/>
            <w:strike w:val="0"/>
            <w:noProof w:val="0"/>
            <w:color w:val="0077CC"/>
            <w:position w:val="0"/>
            <w:sz w:val="20"/>
            <w:u w:val="single"/>
            <w:vertAlign w:val="baseline"/>
          </w:rPr>
          <w:t>42 U.S.C. 6295(o)(6)(C)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mandates that a regional standard must produce significant energy savings in comparison to a single national standard, and provides that DOE must determine that the additional standards are economically justified and consider the impact of the additional regional standards on consumers, manufacturers, and other market participants, including product distributors, dealers, contractors, and installers. (</w:t>
      </w:r>
      <w:hyperlink r:id="rId12" w:history="1">
        <w:r>
          <w:rPr>
            <w:rFonts w:ascii="arial" w:eastAsia="arial" w:hAnsi="arial" w:cs="arial"/>
            <w:b w:val="0"/>
            <w:i/>
            <w:strike w:val="0"/>
            <w:noProof w:val="0"/>
            <w:color w:val="0077CC"/>
            <w:position w:val="0"/>
            <w:sz w:val="20"/>
            <w:u w:val="single"/>
            <w:vertAlign w:val="baseline"/>
          </w:rPr>
          <w:t>42 U.S.C. 6295(o)(6)(D)</w:t>
        </w:r>
      </w:hyperlink>
      <w:r>
        <w:rPr>
          <w:rFonts w:ascii="arial" w:eastAsia="arial" w:hAnsi="arial" w:cs="arial"/>
          <w:b w:val="0"/>
          <w:i w:val="0"/>
          <w:strike w:val="0"/>
          <w:noProof w:val="0"/>
          <w:color w:val="000000"/>
          <w:position w:val="0"/>
          <w:sz w:val="20"/>
          <w:u w:val="none"/>
          <w:vertAlign w:val="baseline"/>
        </w:rPr>
        <w:t>) In the 2011 Direct Final Rule, DOE considered the above-delineated impacts of regional standards in addition to national standards for central air conditioners and heat pumps, and the analyses indicated that regional standards will provide additional positive impacts. See chapter 10 of the 2011 DFR TSD.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Reference to Technical Support Document for Residential Central Air Conditioners, Heat Pumps, and Furnaces, Chapter 10 National and Regional Impact Analyses (copy and paste into browser): </w:t>
      </w:r>
      <w:hyperlink r:id="rId31" w:history="1">
        <w:r>
          <w:rPr>
            <w:rFonts w:ascii="arial" w:eastAsia="arial" w:hAnsi="arial" w:cs="arial"/>
            <w:b w:val="0"/>
            <w:i/>
            <w:strike w:val="0"/>
            <w:noProof w:val="0"/>
            <w:color w:val="0077CC"/>
            <w:position w:val="0"/>
            <w:sz w:val="20"/>
            <w:u w:val="single"/>
            <w:vertAlign w:val="baseline"/>
          </w:rPr>
          <w:t>http://www.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;D=EERE-2011-BT-STD-0011-0012.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consensus agreement n26 submitted to DOE by a number of interested stakeholders on January 15, 2011, the 2011 Direct Final Rule established regional standards on EER for split-system and single-package air conditioners for the southwest region. Pursuant to </w:t>
      </w:r>
      <w:hyperlink r:id="rId12"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"anti-backsliding clause"), DOE may not prescribe any amended standard which increases the maximum allowable energy use or decreases the minimum required energy efficiency of a covered product. As such, DOE intends to maintain the application of a regional standard requirement for the same product classes in the same regions. Accordingly, DOE has addressed the potential impacts from regional standards in the relevant analyses, including the mark-ups to determine product price, the LCC and payback period analysis, the national impact analysis (NIA), and the manufacturer impact analysis (MIA). DOE's approach for addressing regional standards is included in the methodology section corresponding to each individual analysis in section IV of this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Reference to Joint Stakeholders Comments on Energy Conservation Standards for Residential Central Air Conditioners, Heat Pumps, and Residential Furnaces (copy and paste into browser): </w:t>
      </w:r>
      <w:hyperlink r:id="rId33" w:history="1">
        <w:r>
          <w:rPr>
            <w:rFonts w:ascii="arial" w:eastAsia="arial" w:hAnsi="arial" w:cs="arial"/>
            <w:b w:val="0"/>
            <w:i/>
            <w:strike w:val="0"/>
            <w:noProof w:val="0"/>
            <w:color w:val="0077CC"/>
            <w:position w:val="0"/>
            <w:sz w:val="20"/>
            <w:u w:val="single"/>
            <w:vertAlign w:val="baseline"/>
          </w:rPr>
          <w:t>https://www.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.gov/document?D=EERE-2011-BT-STD-0011-0016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Residential central air conditioners and heat pumps currently on the market primarily utilize R-410A as the refrigerant. R-410A is a mixture of hydrofluorocarbons (HFCs), specifically HFC-32 (R-32) and HFC-125 (R-125) with a 50 percent/50 percent mass ratio. Stakeholders have raised concern that the high global warming potential of HFCs has put pressure on the industry to phase out HFC-containing refrigerants in favor of alternatives with a lower global warming potential (GWP). In response to the November 2014 RFI, ACEEE recommended that DOE consider the potential impact of changes in refrigerants on the standards. (ACEEE, No. 21 at p.3) Lennox suggested that DOE consider equipment redesigns resulting from the transition to alternate refrigerants. (Lennox, No. 10 at p. 4) Southern Co. suggested that DOE also model efficiencies using low-Global Warming Potential (GWP) refrigerants. (Southern Co., No. 11 at p. 2) EIA strongly urged DOE to consider the use of low-GWP refrigerants and alternative refrigerants such as CO2, and indirect evaporative cooling technology. (EIA, No. 12 at p. 1) Rheem suggested that DOE reevaluate the efficacy of design options with respect to the elimination of R410a. (Rheem, No. 17 at p.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is aware that the U.S. Environmental Protection Agency (EPA) has proposed and finalized amendments to its lists of approved refrigerants under its significant new alternatives policy program n27 (SNAP); however, these changes do not address central air conditioners and heat pumps. n28 It would not be appropriate for DOE to speculate on the outcome of a rulemaking in progress or potential proposals that have not yet been issued. Therefore, DOE has not included possible outcomes of a potential EPA SNAP rulemaking affecting central air conditioners and heat pumps in the engineering or LCC analyses. This decision is consistent with past DOE practice, such as in the 2011 direct final rule for room air conditioners. </w:t>
      </w:r>
      <w:hyperlink r:id="rId34" w:history="1">
        <w:r>
          <w:rPr>
            <w:rFonts w:ascii="arial" w:eastAsia="arial" w:hAnsi="arial" w:cs="arial"/>
            <w:b w:val="0"/>
            <w:i/>
            <w:strike w:val="0"/>
            <w:noProof w:val="0"/>
            <w:color w:val="0077CC"/>
            <w:position w:val="0"/>
            <w:sz w:val="20"/>
            <w:u w:val="single"/>
            <w:vertAlign w:val="baseline"/>
          </w:rPr>
          <w:t>76 FR 22454</w:t>
        </w:r>
      </w:hyperlink>
      <w:r>
        <w:rPr>
          <w:rFonts w:ascii="arial" w:eastAsia="arial" w:hAnsi="arial" w:cs="arial"/>
          <w:b w:val="0"/>
          <w:i w:val="0"/>
          <w:strike w:val="0"/>
          <w:noProof w:val="0"/>
          <w:color w:val="000000"/>
          <w:position w:val="0"/>
          <w:sz w:val="20"/>
          <w:u w:val="none"/>
          <w:vertAlign w:val="baseline"/>
        </w:rPr>
        <w:t xml:space="preserve"> (April 21, 2011). DOE is aware of stakeholder concerns that EPA may broaden the applications for which HFC refrigerants are phased out at some point in the future. DOE is confident that there will be an adequate supply of R-410A for compliance with the standards being adopted in this notice. However, consistent with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DOE will prioritize its review of the potential effects of any future phase-out of HFCs (should there be one) on the efficiency standards related to this rulemaking. If a manufacturer believes that its design is subjected to undue hardship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manufacturer may petition DOE's Office of Hearing and Appeals (OHA) for exception relief or exemption from the standard pursuant to OHA's authority under section 504 of the DOE Organization Act (</w:t>
      </w:r>
      <w:hyperlink r:id="rId35"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as implemented at subpart B of 10 CFR part 1003. OHA has the authority to grant such relief on a case-by-case basis if it determines that a manufacturer has demonstrated that meeting the standard would cause hardship, inequity, or unfair distribution of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EPA regulates refrigerants for air conditioning, refrigeration, and other end uses under the stratospheric ozone protection provisions under Section 612(c) the Clean Air Act (CAA). EPA's SNAP Program evaluates and regulates the availability of refrigerants for the U.S. market by identifying and publishing lists of acceptable and unacceptable refrigerant substitutes.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EPA on July 9, 2014 proposed new alternative refrigerants for several applications, but not central air conditioners or heat pumps. </w:t>
      </w:r>
      <w:hyperlink r:id="rId36" w:history="1">
        <w:r>
          <w:rPr>
            <w:rFonts w:ascii="arial" w:eastAsia="arial" w:hAnsi="arial" w:cs="arial"/>
            <w:b w:val="0"/>
            <w:i/>
            <w:strike w:val="0"/>
            <w:noProof w:val="0"/>
            <w:color w:val="0077CC"/>
            <w:position w:val="0"/>
            <w:sz w:val="20"/>
            <w:u w:val="single"/>
            <w:vertAlign w:val="baseline"/>
          </w:rPr>
          <w:t>79 FR 38811.</w:t>
        </w:r>
      </w:hyperlink>
      <w:r>
        <w:rPr>
          <w:rFonts w:ascii="arial" w:eastAsia="arial" w:hAnsi="arial" w:cs="arial"/>
          <w:b w:val="0"/>
          <w:i w:val="0"/>
          <w:strike w:val="0"/>
          <w:noProof w:val="0"/>
          <w:color w:val="000000"/>
          <w:position w:val="0"/>
          <w:sz w:val="20"/>
          <w:u w:val="none"/>
          <w:vertAlign w:val="baseline"/>
        </w:rPr>
        <w:t xml:space="preserve"> On February 27, 2015, EPA issued the final rule for this rulemaking,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10, 2015 (see </w:t>
      </w:r>
      <w:hyperlink r:id="rId37" w:history="1">
        <w:r>
          <w:rPr>
            <w:rFonts w:ascii="arial" w:eastAsia="arial" w:hAnsi="arial" w:cs="arial"/>
            <w:b w:val="0"/>
            <w:i/>
            <w:strike w:val="0"/>
            <w:noProof w:val="0"/>
            <w:color w:val="0077CC"/>
            <w:position w:val="0"/>
            <w:sz w:val="20"/>
            <w:u w:val="single"/>
            <w:vertAlign w:val="baseline"/>
          </w:rPr>
          <w:t>http://www.epa.gov/ozone/snap/download/SAN_5745-SNAP_Low_GWP_Refrigerants_FRM_Signature_Version-signed-2-27-2015.pdf</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80 FR 19454.</w:t>
        </w:r>
      </w:hyperlink>
      <w:r>
        <w:rPr>
          <w:rFonts w:ascii="arial" w:eastAsia="arial" w:hAnsi="arial" w:cs="arial"/>
          <w:b w:val="0"/>
          <w:i w:val="0"/>
          <w:strike w:val="0"/>
          <w:noProof w:val="0"/>
          <w:color w:val="000000"/>
          <w:position w:val="0"/>
          <w:sz w:val="20"/>
          <w:u w:val="none"/>
          <w:vertAlign w:val="baseline"/>
        </w:rPr>
        <w:t xml:space="preserve"> Also, on August 6, 2014, EPA proposed delisting refrigerants for several applications, but not central air conditioners or heat pumps. </w:t>
      </w:r>
      <w:hyperlink r:id="rId39" w:history="1">
        <w:r>
          <w:rPr>
            <w:rFonts w:ascii="arial" w:eastAsia="arial" w:hAnsi="arial" w:cs="arial"/>
            <w:b w:val="0"/>
            <w:i/>
            <w:strike w:val="0"/>
            <w:noProof w:val="0"/>
            <w:color w:val="0077CC"/>
            <w:position w:val="0"/>
            <w:sz w:val="20"/>
            <w:u w:val="single"/>
            <w:vertAlign w:val="baseline"/>
          </w:rPr>
          <w:t>79 FR 46126.</w:t>
        </w:r>
      </w:hyperlink>
      <w:r>
        <w:rPr>
          <w:rFonts w:ascii="arial" w:eastAsia="arial" w:hAnsi="arial" w:cs="arial"/>
          <w:b w:val="0"/>
          <w:i w:val="0"/>
          <w:strike w:val="0"/>
          <w:noProof w:val="0"/>
          <w:color w:val="000000"/>
          <w:position w:val="0"/>
          <w:sz w:val="20"/>
          <w:u w:val="none"/>
          <w:vertAlign w:val="baseline"/>
        </w:rPr>
        <w:t xml:space="preserve"> On July 20, 2015, EPA published the final rule for this rulemaking, which went into effect on August 19, 2015. </w:t>
      </w:r>
      <w:hyperlink r:id="rId40"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Refer to the docket (copy and paste into browser): </w:t>
      </w:r>
      <w:hyperlink r:id="rId41" w:history="1">
        <w:r>
          <w:rPr>
            <w:rFonts w:ascii="arial" w:eastAsia="arial" w:hAnsi="arial" w:cs="arial"/>
            <w:b w:val="0"/>
            <w:i/>
            <w:strike w:val="0"/>
            <w:noProof w:val="0"/>
            <w:color w:val="0077CC"/>
            <w:position w:val="0"/>
            <w:sz w:val="20"/>
            <w:u w:val="single"/>
            <w:vertAlign w:val="baseline"/>
          </w:rPr>
          <w:t>https://www.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.gov/docket?D=EPA-HQ-OAR-2014-0198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DOE did not conduct additional analysis based on alternative </w:t>
      </w:r>
      <w:r>
        <w:rPr>
          <w:rFonts w:ascii="arial" w:eastAsia="arial" w:hAnsi="arial" w:cs="arial"/>
          <w:b/>
          <w:i w:val="0"/>
          <w:strike w:val="0"/>
          <w:noProof w:val="0"/>
          <w:color w:val="000000"/>
          <w:position w:val="0"/>
          <w:sz w:val="20"/>
          <w:u w:val="none"/>
          <w:vertAlign w:val="baseline"/>
        </w:rPr>
        <w:t> [*1799] </w:t>
      </w:r>
      <w:r>
        <w:rPr>
          <w:rFonts w:ascii="arial" w:eastAsia="arial" w:hAnsi="arial" w:cs="arial"/>
          <w:b w:val="0"/>
          <w:i w:val="0"/>
          <w:strike w:val="0"/>
          <w:noProof w:val="0"/>
          <w:color w:val="000000"/>
          <w:position w:val="0"/>
          <w:sz w:val="20"/>
          <w:u w:val="none"/>
          <w:vertAlign w:val="baseline"/>
        </w:rPr>
        <w:t xml:space="preserve"> refrigerants to replace R-410A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Standby Mode and Off Mode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II.A of this document, any final rule for amended or new energy conservation standards for consumer products that is published on or after July 1, 2010 must address standby mode and off mode energy use. (</w:t>
      </w:r>
      <w:hyperlink r:id="rId12" w:history="1">
        <w:r>
          <w:rPr>
            <w:rFonts w:ascii="arial" w:eastAsia="arial" w:hAnsi="arial" w:cs="arial"/>
            <w:b w:val="0"/>
            <w:i/>
            <w:strike w:val="0"/>
            <w:noProof w:val="0"/>
            <w:color w:val="0077CC"/>
            <w:position w:val="0"/>
            <w:sz w:val="20"/>
            <w:u w:val="single"/>
            <w:vertAlign w:val="baseline"/>
          </w:rPr>
          <w:t>42 U.S.C. 6295(gg)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4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Standby mode</w:t>
      </w:r>
      <w:r>
        <w:rPr>
          <w:rFonts w:ascii="arial" w:eastAsia="arial" w:hAnsi="arial" w:cs="arial"/>
          <w:b w:val="0"/>
          <w:i w:val="0"/>
          <w:strike w:val="0"/>
          <w:noProof w:val="0"/>
          <w:color w:val="000000"/>
          <w:position w:val="0"/>
          <w:sz w:val="20"/>
          <w:u w:val="none"/>
          <w:vertAlign w:val="baseline"/>
        </w:rPr>
        <w:t xml:space="preserve"> means the condition in which an energy-using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connected to a main power source;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Offers one or more of the following user-oriented or protective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 facilitate the activation or deactivation of other functions (including active mode) by remote switch (including remote control), internal sensor, or timer;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Continuous functions, including information or status displays (including clocks) or sensor-based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residential central air conditioners and heat pumps, the standby mode refers to the state when a system is connected to the power supply but the compressor and fans are not running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system is not actively cooling or heating but it is primed to be activated by the thermostat). The SEER and HSPF metrics for cooling and heating already account for standby mode energy use. Specifically, the degradation coefficients used to adjust the steady-state efficiency levels to account for cyclic operation of the unit when calculating SEER or HSPF are based on electric energy measurements that include the energy use of the unit during the compressor-off cycles, and they include power input associated with all unit components, including the control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4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off mode</w:t>
      </w:r>
      <w:r>
        <w:rPr>
          <w:rFonts w:ascii="arial" w:eastAsia="arial" w:hAnsi="arial" w:cs="arial"/>
          <w:b w:val="0"/>
          <w:i w:val="0"/>
          <w:strike w:val="0"/>
          <w:noProof w:val="0"/>
          <w:color w:val="000000"/>
          <w:position w:val="0"/>
          <w:sz w:val="20"/>
          <w:u w:val="none"/>
          <w:vertAlign w:val="baseline"/>
        </w:rPr>
        <w:t xml:space="preserve"> means the condition in which an energy using product is connected to a main power source, and is not providing any standby or active mode function. For central air conditioners and heat pumps, off mode generally occurs during all non-cooling seasons for air conditioners, and during the "shoulder seasons"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fall and spring) for heat pumps when consumers neither heat nor cool their homes. Unlike standby mode, off mode energy use is not captured in the SEER and HSPF metrics. As such, the June 2011 Direct Final Rule established off mode energy conservation standards for central air conditioners and heat pumps. In the technology assessment of the June 2011 Direct Final Rule, DOE considered five technologies associated with off mode for central air conditioners and heat pumps: (1) Toroidal transformers; (2) ECM control relays; (3) thermostatically-controlled crankcase heaters; (4) self-regulating crankcase heaters, and (5) compressor insulation covers. DOE continues to screen out the ECM control relay because DOE is not aware of any commercially-available systems that use this technology, and DOE is also not aware of any improvements to the technology that would address the associated reliability issues. DOE did, however, consider the remaining four technologies as design options for establishing the off mode energy conservation standards. The adopted standards were ultimately based upon this list of technologies. </w:t>
      </w:r>
      <w:hyperlink r:id="rId16" w:history="1">
        <w:r>
          <w:rPr>
            <w:rFonts w:ascii="arial" w:eastAsia="arial" w:hAnsi="arial" w:cs="arial"/>
            <w:b w:val="0"/>
            <w:i/>
            <w:strike w:val="0"/>
            <w:noProof w:val="0"/>
            <w:color w:val="0077CC"/>
            <w:position w:val="0"/>
            <w:sz w:val="20"/>
            <w:u w:val="single"/>
            <w:vertAlign w:val="baseline"/>
          </w:rPr>
          <w:t>76 FR 37408, 37447-37450</w:t>
        </w:r>
      </w:hyperlink>
      <w:r>
        <w:rPr>
          <w:rFonts w:ascii="arial" w:eastAsia="arial" w:hAnsi="arial" w:cs="arial"/>
          <w:b w:val="0"/>
          <w:i w:val="0"/>
          <w:strike w:val="0"/>
          <w:noProof w:val="0"/>
          <w:color w:val="000000"/>
          <w:position w:val="0"/>
          <w:sz w:val="20"/>
          <w:u w:val="none"/>
          <w:vertAlign w:val="baseline"/>
        </w:rPr>
        <w:t xml:space="preserve"> (June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current direct final rule, DOE further researched the four technologies considered as design options in the June 2011 DFR. DOE was able to find thermostatically-controlled and self-regulating crankcase heaters in commercially-available central air conditioners and heat pumps. However, manufacturer specifications do not provide detailed wattage information for DOE to determine if these technologies could lower the off mode energy use for central air conditioners and heat pumps based on the existing off mode standards. Toroidal transformers may have higher efficiencies than conventional laminate transformers, but their savings potential is small compared to the precision of the test procedure as applied to baseline products. Crankcase heater wattage, rather than transformer loss, represents most of the measured off mode power input. DOE also believes that compressor covers can reduce heat loss and, therefore, reduce the off mode energy consumption. However, the existing off mode standards established by the June 2011 Direct Final Rule are already consistent with the energy use achievable using these technologies, and DOE does not have evidence to indicate that further energy savings based on these technologies are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four technologies considered in the June 2011 Direct Final Rule, DOE identified another two technologies that could potentially reduce the off mode energy use for central air conditioners and heat pumps: (1) Hermetic crankcase heaters and (2) integral compressor motor heaters. However, DOE did not find any commercially-available applications of these two technologies in central air conditioners and heat pumps and did not consider these technologies further. More details on these technologies can be found in chapter 3 of the DFR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DOE concludes that amending the off mode energy conservation standards at this time is not justified. This review satisfies, for off mode energy conservation standards for CAC/HP products, the periodic review of energy conservation standards required by EPCA.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provides a brief overview of DOE's requirements with respect to test procedures as well as the history of the most recent central air conditioner and heat pump test procedure rulemakings and an overview of the significant changes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22"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Manufacturers of covered products must use these test procedures to certify to DOE that their product complies with energy conservation standards and to quantify the efficiency of their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Appendix A established procedures, interpretations, and policies to guide DOE in the consideration and promulgation of new or revised appliance efficiency standards under EPCA. (See section 1 of 10 CFR of 430 subpart C, appendix A) These procedures are a general guide to the steps DOE typically follows in promulgating energy conservation standards. The guidance recognizes that DOE can and will, on occasion, deviate from the typical process. (See 10 CFR part 430, subpart C, appendix A, section 14(a)) In this particular instance, DOE deviated from its typical process by conducting a negotiated rulemaking process, per the request of multiple key stakeholders and as chartered by ASRAC. The CAC/HP Working Group met ten times (nine times in-person and once by teleconference) and successfully reached consensus on recommended amended energy conservation standards, as well as test procedure amendments for CACs and HPs. On January 19, 2016, the CAC/HP Working Group submitted the Term Sheet to ASRAC outlining its recommendations, which ASRAC subsequently adopted. As discussed in section II.B.3, the Term Sheet meets the criteria of a consensus recommendation, and DOE has determined that these recommendations are in accordance with the statutory requirements of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for the issuance of a direct final rule. DOE ultimately adopted many of the test procedure provisions and recommended standard levels that the CAC/HP Working Group included in the Term Sheet, which </w:t>
      </w:r>
      <w:r>
        <w:rPr>
          <w:rFonts w:ascii="arial" w:eastAsia="arial" w:hAnsi="arial" w:cs="arial"/>
          <w:b/>
          <w:i w:val="0"/>
          <w:strike w:val="0"/>
          <w:noProof w:val="0"/>
          <w:color w:val="000000"/>
          <w:position w:val="0"/>
          <w:sz w:val="20"/>
          <w:u w:val="none"/>
          <w:vertAlign w:val="baseline"/>
        </w:rPr>
        <w:t> [*1800] </w:t>
      </w:r>
      <w:r>
        <w:rPr>
          <w:rFonts w:ascii="arial" w:eastAsia="arial" w:hAnsi="arial" w:cs="arial"/>
          <w:b w:val="0"/>
          <w:i w:val="0"/>
          <w:strike w:val="0"/>
          <w:noProof w:val="0"/>
          <w:color w:val="000000"/>
          <w:position w:val="0"/>
          <w:sz w:val="20"/>
          <w:u w:val="none"/>
          <w:vertAlign w:val="baseline"/>
        </w:rPr>
        <w:t xml:space="preserve"> illustrates that DOE's deviations from the typical rulemaking process in this instance did not adversely impact the manufacturers' ability to understand and provide input to DOE's rulemaking process. The process that DOE used, in this case, was a more collaborative negotiated rulemaking effort resulting in an agreement on recommended standard levels, which DOE is fully implementing in this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test procedure rulemaking included the following key rulemaking documents: The June 2016 test procedure final rule </w:t>
      </w:r>
      <w:hyperlink r:id="rId18" w:history="1">
        <w:r>
          <w:rPr>
            <w:rFonts w:ascii="arial" w:eastAsia="arial" w:hAnsi="arial" w:cs="arial"/>
            <w:b w:val="0"/>
            <w:i/>
            <w:strike w:val="0"/>
            <w:noProof w:val="0"/>
            <w:color w:val="0077CC"/>
            <w:position w:val="0"/>
            <w:sz w:val="20"/>
            <w:u w:val="single"/>
            <w:vertAlign w:val="baseline"/>
          </w:rPr>
          <w:t>(81 FR 36992),</w:t>
        </w:r>
      </w:hyperlink>
      <w:r>
        <w:rPr>
          <w:rFonts w:ascii="arial" w:eastAsia="arial" w:hAnsi="arial" w:cs="arial"/>
          <w:b w:val="0"/>
          <w:i w:val="0"/>
          <w:strike w:val="0"/>
          <w:noProof w:val="0"/>
          <w:color w:val="000000"/>
          <w:position w:val="0"/>
          <w:sz w:val="20"/>
          <w:u w:val="none"/>
          <w:vertAlign w:val="baseline"/>
        </w:rPr>
        <w:t xml:space="preserve"> the August 2016 test procedure SNOPR </w:t>
      </w:r>
      <w:hyperlink r:id="rId43" w:history="1">
        <w:r>
          <w:rPr>
            <w:rFonts w:ascii="arial" w:eastAsia="arial" w:hAnsi="arial" w:cs="arial"/>
            <w:b w:val="0"/>
            <w:i/>
            <w:strike w:val="0"/>
            <w:noProof w:val="0"/>
            <w:color w:val="0077CC"/>
            <w:position w:val="0"/>
            <w:sz w:val="20"/>
            <w:u w:val="single"/>
            <w:vertAlign w:val="baseline"/>
          </w:rPr>
          <w:t>(81 FR 58164),</w:t>
        </w:r>
      </w:hyperlink>
      <w:r>
        <w:rPr>
          <w:rFonts w:ascii="arial" w:eastAsia="arial" w:hAnsi="arial" w:cs="arial"/>
          <w:b w:val="0"/>
          <w:i w:val="0"/>
          <w:strike w:val="0"/>
          <w:noProof w:val="0"/>
          <w:color w:val="000000"/>
          <w:position w:val="0"/>
          <w:sz w:val="20"/>
          <w:u w:val="none"/>
          <w:vertAlign w:val="baseline"/>
        </w:rPr>
        <w:t xml:space="preserve"> and the November 2016 test procedure final rule (Docket No. EERE-2016-BT-TP-0029). This section does not address specific comments received on these test procedure documents, as those comments are addressed in the three notices listed. Rather, the main purpose of this section is to provide context for understanding the efficiency levels used in analyses for this direct final rule and the translated levels following the walkdown analysis. To reiterate, efficiency levels used throughout the analyses for this DFR are based on the test procedure in effect at the time of the CAC/HP Working Group negotiations, which did not include the changes outlined in this section. Standard levels set in this final rule have a compliance date simultaneous with the date that the test procedure as modified by the November 2016 test procedure final rule must be used to represent product efficiency. The translation of these standard levels based on the November 2016 test procedure final rule--which does include the changes outlined in this section--is presented in section 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initiated a test procedure rulemaking for central air conditioners and heat pumps in advance of the June 2011 DFR, publishing a NOPR on June 2, 2010 (June 2010 test procedure NOPR). </w:t>
      </w:r>
      <w:hyperlink r:id="rId44" w:history="1">
        <w:r>
          <w:rPr>
            <w:rFonts w:ascii="arial" w:eastAsia="arial" w:hAnsi="arial" w:cs="arial"/>
            <w:b w:val="0"/>
            <w:i/>
            <w:strike w:val="0"/>
            <w:noProof w:val="0"/>
            <w:color w:val="0077CC"/>
            <w:position w:val="0"/>
            <w:sz w:val="20"/>
            <w:u w:val="single"/>
            <w:vertAlign w:val="baseline"/>
          </w:rPr>
          <w:t>75 FR 31224.</w:t>
        </w:r>
      </w:hyperlink>
      <w:r>
        <w:rPr>
          <w:rFonts w:ascii="arial" w:eastAsia="arial" w:hAnsi="arial" w:cs="arial"/>
          <w:b w:val="0"/>
          <w:i w:val="0"/>
          <w:strike w:val="0"/>
          <w:noProof w:val="0"/>
          <w:color w:val="000000"/>
          <w:position w:val="0"/>
          <w:sz w:val="20"/>
          <w:u w:val="none"/>
          <w:vertAlign w:val="baseline"/>
        </w:rPr>
        <w:t xml:space="preserve"> In this NOPR, DOE proposed adding calculations for the determination of sensible heat ratio, incorporating of a method to evaluate off mode power consumption, and also adding parameters for establishing regional measures of energy efficiency.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a supplemental notice of proposed rulemaking (SNOPR) regarding the test procedure for central air conditioners and heat pumps on April 1, 2011. </w:t>
      </w:r>
      <w:hyperlink r:id="rId45" w:history="1">
        <w:r>
          <w:rPr>
            <w:rFonts w:ascii="arial" w:eastAsia="arial" w:hAnsi="arial" w:cs="arial"/>
            <w:b w:val="0"/>
            <w:i/>
            <w:strike w:val="0"/>
            <w:noProof w:val="0"/>
            <w:color w:val="0077CC"/>
            <w:position w:val="0"/>
            <w:sz w:val="20"/>
            <w:u w:val="single"/>
            <w:vertAlign w:val="baseline"/>
          </w:rPr>
          <w:t>76 FR 18105.</w:t>
        </w:r>
      </w:hyperlink>
      <w:r>
        <w:rPr>
          <w:rFonts w:ascii="arial" w:eastAsia="arial" w:hAnsi="arial" w:cs="arial"/>
          <w:b w:val="0"/>
          <w:i w:val="0"/>
          <w:strike w:val="0"/>
          <w:noProof w:val="0"/>
          <w:color w:val="000000"/>
          <w:position w:val="0"/>
          <w:sz w:val="20"/>
          <w:u w:val="none"/>
          <w:vertAlign w:val="baseline"/>
        </w:rPr>
        <w:t xml:space="preserve"> In this SNOPR, DOE proposed to amend the testing requirements for off mode power consumption in response to the comments DOE received on the June 2010 test procedure NOPR. DOE also discussed issues related to low-voltage transformers used when testing coil-only units, and the use of a regional standard efficiency metric.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further comments regarding the off mode testing requirement for central air conditioners and heat pumps after the publication of the April 2011 test procedure SNOPR. In response to these comments, DOE published a second SNOPR on October 24, 2011. </w:t>
      </w:r>
      <w:hyperlink r:id="rId46" w:history="1">
        <w:r>
          <w:rPr>
            <w:rFonts w:ascii="arial" w:eastAsia="arial" w:hAnsi="arial" w:cs="arial"/>
            <w:b w:val="0"/>
            <w:i/>
            <w:strike w:val="0"/>
            <w:noProof w:val="0"/>
            <w:color w:val="0077CC"/>
            <w:position w:val="0"/>
            <w:sz w:val="20"/>
            <w:u w:val="single"/>
            <w:vertAlign w:val="baseline"/>
          </w:rPr>
          <w:t>76 FR 65616.</w:t>
        </w:r>
      </w:hyperlink>
      <w:r>
        <w:rPr>
          <w:rFonts w:ascii="arial" w:eastAsia="arial" w:hAnsi="arial" w:cs="arial"/>
          <w:b w:val="0"/>
          <w:i w:val="0"/>
          <w:strike w:val="0"/>
          <w:noProof w:val="0"/>
          <w:color w:val="000000"/>
          <w:position w:val="0"/>
          <w:sz w:val="20"/>
          <w:u w:val="none"/>
          <w:vertAlign w:val="baseline"/>
        </w:rPr>
        <w:t xml:space="preserve"> In the October 2011 test procedure SNOPR, DOE addressed comments only related to off mode testing for central air conditioners and heat pumps.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on the October 2011 test procedure SNOPR, as well as comments relevant to the test procedure in response to the November 2014 RFI. In response to these comments, DOE published a third SNOPR on November 9, 2015. </w:t>
      </w:r>
      <w:hyperlink r:id="rId47" w:history="1">
        <w:r>
          <w:rPr>
            <w:rFonts w:ascii="arial" w:eastAsia="arial" w:hAnsi="arial" w:cs="arial"/>
            <w:b w:val="0"/>
            <w:i/>
            <w:strike w:val="0"/>
            <w:noProof w:val="0"/>
            <w:color w:val="0077CC"/>
            <w:position w:val="0"/>
            <w:sz w:val="20"/>
            <w:u w:val="single"/>
            <w:vertAlign w:val="baseline"/>
          </w:rPr>
          <w:t>80 FR 69278.</w:t>
        </w:r>
      </w:hyperlink>
      <w:r>
        <w:rPr>
          <w:rFonts w:ascii="arial" w:eastAsia="arial" w:hAnsi="arial" w:cs="arial"/>
          <w:b w:val="0"/>
          <w:i w:val="0"/>
          <w:strike w:val="0"/>
          <w:noProof w:val="0"/>
          <w:color w:val="000000"/>
          <w:position w:val="0"/>
          <w:sz w:val="20"/>
          <w:u w:val="none"/>
          <w:vertAlign w:val="baseline"/>
        </w:rPr>
        <w:t xml:space="preserve"> DOE proposed the following in the November 2015 test procedure SNOPR: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basic model definition as it pertains to central air conditioners and heat pumps and revised rating requirements;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alternative efficiency determination methods;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of active waivers and interim waivers;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procedures to determine off mode power consumption;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the test procedure that would improve test repeatability and reduce test burden;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Clarifications to ambiguous sections of the test procedure intended also to improve test repeatability;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Inclusion of, amendments to, and withdrawals of test procedure revisions proposed in published test procedure notices in the rulemaking effort leading to this SNOPR;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the test procedure that would improve field representativeness.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proposals also included incorporation by reference of updated industry standards.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8, 2016, DOE published a final rule with amendments to the test procedure that did not change the measured energy efficiency of central air conditioners and heat pumps when compared to the test procedure previously in effect. </w:t>
      </w:r>
      <w:hyperlink r:id="rId18" w:history="1">
        <w:r>
          <w:rPr>
            <w:rFonts w:ascii="arial" w:eastAsia="arial" w:hAnsi="arial" w:cs="arial"/>
            <w:b w:val="0"/>
            <w:i/>
            <w:strike w:val="0"/>
            <w:noProof w:val="0"/>
            <w:color w:val="0077CC"/>
            <w:position w:val="0"/>
            <w:sz w:val="20"/>
            <w:u w:val="single"/>
            <w:vertAlign w:val="baseline"/>
          </w:rPr>
          <w:t>81 FR 36992.</w:t>
        </w:r>
      </w:hyperlink>
      <w:r>
        <w:rPr>
          <w:rFonts w:ascii="arial" w:eastAsia="arial" w:hAnsi="arial" w:cs="arial"/>
          <w:b w:val="0"/>
          <w:i w:val="0"/>
          <w:strike w:val="0"/>
          <w:noProof w:val="0"/>
          <w:color w:val="000000"/>
          <w:position w:val="0"/>
          <w:sz w:val="20"/>
          <w:u w:val="none"/>
          <w:vertAlign w:val="baseline"/>
        </w:rPr>
        <w:t xml:space="preserve"> Broadly, amendments included revisions to:</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testing, rating, and compliance of basic models;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Alternative Efficiency Determination Methods (AEDMs);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specific products that had been granted test procedure waivers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multi-circuit products and triple-capacity northern heat pumps);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methods and calculations for off mode power;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procedures concerning test repeatability and test burden, including for example, setting fan speeds, determining the maximum speed for variable-speed compressors, charging refrigerant lines, and determining the coefficient of cyclic degradation (C[D]), among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2016 test procedure final rule, DOE did not finalize several proposals of the November 2015 SNOPR that were intended to improve field representativeness, opting instead to revise these proposals and obtain further stakeholder input on them. DOE did this by publishing a SNOPR on August 24, 2016, which proposed amendments to the test procedure established by the June 2016 test procedure final rule. </w:t>
      </w:r>
      <w:hyperlink r:id="rId43" w:history="1">
        <w:r>
          <w:rPr>
            <w:rFonts w:ascii="arial" w:eastAsia="arial" w:hAnsi="arial" w:cs="arial"/>
            <w:b w:val="0"/>
            <w:i/>
            <w:strike w:val="0"/>
            <w:noProof w:val="0"/>
            <w:color w:val="0077CC"/>
            <w:position w:val="0"/>
            <w:sz w:val="20"/>
            <w:u w:val="single"/>
            <w:vertAlign w:val="baseline"/>
          </w:rPr>
          <w:t>81 FR 58164</w:t>
        </w:r>
      </w:hyperlink>
      <w:r>
        <w:rPr>
          <w:rFonts w:ascii="arial" w:eastAsia="arial" w:hAnsi="arial" w:cs="arial"/>
          <w:b w:val="0"/>
          <w:i w:val="0"/>
          <w:strike w:val="0"/>
          <w:noProof w:val="0"/>
          <w:color w:val="000000"/>
          <w:position w:val="0"/>
          <w:sz w:val="20"/>
          <w:u w:val="none"/>
          <w:vertAlign w:val="baseline"/>
        </w:rPr>
        <w:t xml:space="preserve"> DOE indicated that several of these amendments would change the measured energy efficiency of central air conditioners and heat pumps, while others would provide additional improvements for clarity and consistency. Amendments of the August 2016 SNOPR that would change measured efficiency were proposed for a new appendix M1 that would be required for representations coincident with the compliance date of the new efficiency standards These included proposals to:</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minimum external static pressure requirements for most products, but limit the increase for certain products;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coil-only systems, introduce a new default fan power based on the new minimum external static pressure, and a unique, lower default fan power for manufactured home coil-only systems;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heating load line slope factor and the heating load line zero-load temperature to better reflect field heating loads;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certain aspects of the calculation procedures for calculating HSPF, including modified and clarified requirements regarding compressor speeds used for testing variable-speed heat pumps, and allowing use of a 5 [degrees] F test as an option for variable-speed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proposed changes to improve clarity and consistency, which DOE proposed as amendments to the current appendix M, as well as in sections of 10 CFR part 429, were to take effect 30 days after publication of the final rule. These included: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changes to definitions and compliance requirements;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Extending the requirements for no-match testing to other kinds of outdoor units that are predominantly installed as </w:t>
      </w:r>
      <w:r>
        <w:rPr>
          <w:rFonts w:ascii="arial" w:eastAsia="arial" w:hAnsi="arial" w:cs="arial"/>
          <w:b/>
          <w:i w:val="0"/>
          <w:strike w:val="0"/>
          <w:noProof w:val="0"/>
          <w:color w:val="000000"/>
          <w:position w:val="0"/>
          <w:sz w:val="20"/>
          <w:u w:val="none"/>
          <w:vertAlign w:val="baseline"/>
        </w:rPr>
        <w:t> [*1801] </w:t>
      </w:r>
      <w:r>
        <w:rPr>
          <w:rFonts w:ascii="arial" w:eastAsia="arial" w:hAnsi="arial" w:cs="arial"/>
          <w:b w:val="0"/>
          <w:i w:val="0"/>
          <w:strike w:val="0"/>
          <w:noProof w:val="0"/>
          <w:color w:val="000000"/>
          <w:position w:val="0"/>
          <w:sz w:val="20"/>
          <w:u w:val="none"/>
          <w:vertAlign w:val="baseline"/>
        </w:rPr>
        <w:t xml:space="preserve"> replacements where the indoor unit is not replaced;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Revision to the off-mode test procedure for systems with self-regulating crankcase heaters.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revised calculation for variable-speed heat pumps for calculating maximum speed performance below 17 [degrees] F;</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revised method for calculating EER and COP for all variable-speed units, when operating at an intermediate compressor speed;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to the outdoor air enthalpy method;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restrictions on refrigerant pressure measurement system internal volume;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limit on indoor coil surface area;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amendments addressing break-in periods, multi-split system part load requirements, and cased coil installation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30, 2016 DOE issued a test procedure final rule that adopted most of the amendments proposed in the August 2016 SNOPR, many of these with revisions addressing stakeholder comments. Changes in final implementation of the amendments as compared to the proposals of the August 2016 SNOPR included: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adoption of restrictions on indoor coil surface area;</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Delay in implementation of certain amendments, moving them to appendix M1, including the change to the off-mode test procedure and some of the provisions for testing of variable-speed heat pumps;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Revisions to specific requirements for determining whether an outdoor unit must be tested using the no-match test procedure;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secondary test methods (not just for the outdoor air enthalpy method as proposed), requiring a match to confirm primary capacity measurements only for certain tests, rather than for all tests;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reducing the restrictions on refrigerant pressure system internal volumes;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the required external static pressure used for testing for one kind of product;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Extending optional use of a 5 [degrees] F test to single- and two-speed heat pumps in addition to variable-speed.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as discussed in section I, the analyses conducted to support this direct final rule were based on the test procedure at the time of the 2015-2016 ASRAC negotiations, per the request of the CAC/HP Working Group. Consequently, the efficiency ratings and levels referenced throughout this document are not impacted by the test procedure amendments described above for the November 2016 test procedure final rule. However, central air conditioners and heat pumps will be required to be certified to the efficiency levels selected in this direct final rule and based on the test procedure established by the November 2016 test procedure final rule. The selected efficiency levels--presented throughout this document in terms of the test procedure at the time of the 2015-2016 ASRAC negotiations--are translated to levels in terms of the November 2016 test procedure final rule following the walk down analysis in section V.C.1.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(See chapter 3 of the direct final rule Technical Support Document ("TSD") for a discussion of the list of technology options that DOE identified.) DOE then determines which of those efficiency-improving options are technologically feasible. DOE considers technologies incorporated in commercially-available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direct final rule discusses the results of the screening analysis for residential central air conditioners and heat pumps, particularly the designs DOE considered, those it screened out, and those that are the basis for the trial standard levels (TSLs) in this rulemaking. For further details on the screening analysis for this rulemaking, see chapter 4 of this direct final rule's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these screening criteria do not directly address the proprietary status of design options. As noted previously, DOE only considers efficiency levels achieved with the use of proprietary designs in the engineering analysis if they are not part of a unique path to achieve that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there are other non-proprietary technologies capable of achieving the same efficiency). DOE believes the amended standards for the products covered in this rulemaking would not mandate the use of any proprietary technologies, and that all manufacturers would be able to achieve the amended levels through the use of non-proprietary designs. The efficiency levels considered in the analysis are all represented by commercially-available technologies that are available to 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a product. (</w:t>
      </w:r>
      <w:hyperlink r:id="rId12"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central air conditioners and heat pumps, using the design parameters for the most-efficient products available on the market or in working prototypes (see chapter 5 of the direct final rule TSD). The max-tech levels considered for the analysis represent commercially-available products. For most of the product classes, these max-tech products are listed in the AHRI Directory. n29 For the SDHV and space-constrained air conditioner classes, the max-tech levels are as reported in manufacturers' product literature.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AHRI is the trade association representing manufacturers of heating, ventilation, air conditioning and refrigeration (HVACR) and water heating equipment within the global industry. Products of different manufacturers are certified to AHRI and listed in the AHRI Directory at: </w:t>
      </w:r>
      <w:hyperlink r:id="rId48"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directory: </w:t>
      </w:r>
      <w:hyperlink r:id="rId48"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max-tech levels that DOE determined for this rulemaking are presented in Table III-1. Note that these max-tech levels are in terms of the efficiency metrics measured consistent with the test procedure at the time of the 2015-2016 ASRAC negotiations. </w:t>
      </w:r>
      <w:r>
        <w:rPr>
          <w:rFonts w:ascii="arial" w:eastAsia="arial" w:hAnsi="arial" w:cs="arial"/>
          <w:b/>
          <w:i w:val="0"/>
          <w:strike w:val="0"/>
          <w:noProof w:val="0"/>
          <w:color w:val="000000"/>
          <w:position w:val="0"/>
          <w:sz w:val="20"/>
          <w:u w:val="none"/>
          <w:vertAlign w:val="baseline"/>
        </w:rPr>
        <w:t> [*1802] </w:t>
      </w:r>
      <w:r>
        <w:rPr>
          <w:rFonts w:ascii="arial" w:eastAsia="arial" w:hAnsi="arial" w:cs="arial"/>
          <w:b w:val="0"/>
          <w:i w:val="0"/>
          <w:strike w:val="0"/>
          <w:noProof w:val="0"/>
          <w:color w:val="000000"/>
          <w:position w:val="0"/>
          <w:sz w:val="20"/>
          <w:u w:val="none"/>
          <w:vertAlign w:val="baseline"/>
        </w:rPr>
        <w:t xml:space="preserve"> The max-tech levels themselves are discussed in more detail in section IV.C of this direct final rule and in chapter 5 of the accompanying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III-1--Max-Tech SEER and Corresponding EER and HSPF Levels Considered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Central Air Conditioner and Heat Pump Analyses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Max-tech efficiency</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cooling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Split-Systems</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 **</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Systems</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 Air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348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SEER and HSPF listed in the table are as measured using the test procedure proposed in the November 9, 2015 TP SNOPR. 80 FR 69278 EER is also measured by the test procedure, but as discussed in section IV.C.2, DOE did not analyze EER-based efficiency levels for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Max-Tech SEER levels are based on a blower-coil configuration.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from the application of the TSL to the central air conditioners and heat pumps that are the subject of this rulemaking purchased in the 30-year period that begins in the year of expected compliance with amended standards (2021-2050 or 2023-2052). n30 The savings are measured over the entire lifetime of central air conditioner and heat pump products purchased in the 30-year analysis period. DOE quantified the energy savings attributable to each TSL as the difference in energy consumption between each standards case and the no-new-standards case. The latter case represents a projection of energy consumption in the absence of amended energy conservation standards, and it considers market forces and policies that may affect future demand for more-efficient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DOE also presents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national energy savings (NES) from potential amended standards for central air conditioners and heat pumps. The NIA spreadsheet model (described in section IV.H of this direct final rule and chapter 10 of the TSD) calculates energy savings in terms of site energy, which is the energy directly consumed by products at the locations where they are used. For electricity, DOE calculates national energy savings on an annual basis in terms of primary (source) energy savings, which is the savings in the energy that is used to generate and transmit electricity to the site. To calculate primary energy savings from site electricity savings, DOE derives annual conversion factors from data provided in the Energy Information Administration's (EIA) most recent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For natural gas, the primary energy savings are considered to be equal to the site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calculates NES in terms of full-fuel-cycle (FFC) energy savings. As discussed in DOE's statement of policy, the FCC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w:t>
      </w:r>
      <w:hyperlink r:id="rId49"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50"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DOE's approach is based on the calculation of an FFC multiplier for each of the energy types used by covered products or equipment. For more information on FFC energy savings, see section IV.H.4.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covered product, DOE must determine that such action would result in "significant" energy savings.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51"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are not "genuinely trivial." The energy savings for all of the TSLs considered in this rulemaking, including the amended standards (presented in section V.B.3),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 EPCA provides seven factors to be evaluated in determining whether a potential energy conservation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quantifying the impacts of a potential amended standard on manufacturers, DOE conducts a manufacturer impact analysis (MIA), as discussed in section IV.J, using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w:t>
      </w:r>
      <w:r>
        <w:rPr>
          <w:rFonts w:ascii="arial" w:eastAsia="arial" w:hAnsi="arial" w:cs="arial"/>
          <w:b/>
          <w:i w:val="0"/>
          <w:strike w:val="0"/>
          <w:noProof w:val="0"/>
          <w:color w:val="000000"/>
          <w:position w:val="0"/>
          <w:sz w:val="20"/>
          <w:u w:val="none"/>
          <w:vertAlign w:val="baseline"/>
        </w:rPr>
        <w:t> [*1803] </w:t>
      </w:r>
      <w:r>
        <w:rPr>
          <w:rFonts w:ascii="arial" w:eastAsia="arial" w:hAnsi="arial" w:cs="arial"/>
          <w:b w:val="0"/>
          <w:i w:val="0"/>
          <w:strike w:val="0"/>
          <w:noProof w:val="0"/>
          <w:color w:val="000000"/>
          <w:position w:val="0"/>
          <w:sz w:val="20"/>
          <w:u w:val="none"/>
          <w:vertAlign w:val="baseline"/>
        </w:rPr>
        <w:t xml:space="preserv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or amended standards. These measures are discussed further in the following section. For consumers in the aggregate, DOE also calculates the national net present value of the consumer costs and benefits expected to result from particular standards.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consumer discount rates. To account for uncertainty and variability in specific inputs, such as product lifetime and discount rate, DOE uses a distribution of values, with probabilities attached to each value. For its LCC and PBP analysis, DOE assumes that consumers will purchase the covered products in the first year of compliance with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amended standards. The LCC savings for the considered efficiency levels are calculated relative to a case that reflects projected market trends in the absence of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LCC and PBP analyses are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2"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 DOE uses the NIA spreadsheet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2"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considered in this document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2"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DOE will transmit a copy of this direct final rule to the Attorney General with a request that the Department of Justice (DOJ) provide its determination on this issue. DOE will consider DOJ's comments on the rule in determining whether to proceed with the direct final rule. DOE will also publish and respond to the DOJ's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 separate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amended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amended standards also are likely to result in environmental benefits in the form of reduced emissions of air pollutants and greenhouse gases (GHGs) associated with energy production and use. DOE conducts an emissions analysis to estimate how the amended standards may affect these emissions, as discussed in section IV.K the emissions impacts are reported in section V.5 of this document.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an energy conservation standard is economically justified, to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direct final rule, DOE has also considered the submission of the jointly-submitted Term Sheet from the CAC/HP Working Group, as approved by ASRAC. In DOE's view, the Term Sheet sets forth a statement by interested persons that are fairly representative of relevant points of view (including representatives of manufacturers of covered equipment, States, and efficiency advocates) and contains recommendations with respect to energy conservation standards that are in accordance with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as required by EPCA's direct </w:t>
      </w:r>
      <w:r>
        <w:rPr>
          <w:rFonts w:ascii="arial" w:eastAsia="arial" w:hAnsi="arial" w:cs="arial"/>
          <w:b/>
          <w:i w:val="0"/>
          <w:strike w:val="0"/>
          <w:noProof w:val="0"/>
          <w:color w:val="000000"/>
          <w:position w:val="0"/>
          <w:sz w:val="20"/>
          <w:u w:val="none"/>
          <w:vertAlign w:val="baseline"/>
        </w:rPr>
        <w:t> [*1804] </w:t>
      </w:r>
      <w:r>
        <w:rPr>
          <w:rFonts w:ascii="arial" w:eastAsia="arial" w:hAnsi="arial" w:cs="arial"/>
          <w:b w:val="0"/>
          <w:i w:val="0"/>
          <w:strike w:val="0"/>
          <w:noProof w:val="0"/>
          <w:color w:val="000000"/>
          <w:position w:val="0"/>
          <w:sz w:val="20"/>
          <w:u w:val="none"/>
          <w:vertAlign w:val="baseline"/>
        </w:rPr>
        <w:t xml:space="preserve"> final rule provision. See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DOE has encouraged the submission of agreements such as the one developed and submitted by the CAC/HP Working Group as a way to bring diverse stakeholders together, to develop an independent and probative analysis useful in DOE standard setting, and to expedite the rulemaking process. DOE also believes that standard levels recommended in the Term Sheet may increase the likelihood for regulatory compliance, while decreasing the risk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full year's energy savings resulting from the standard, as calculated under the applicable DOE test procedure. DOE's LCC and PBP analyses generate values used to calculate the effects that potential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IV.F.3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residential central air conditioners and heat pumps. Each subsection will address a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amended standards. The first tool is a spreadsheet that calculates the LCC and PBP of amended energy conservation standards. The national impacts analysis (NIA) requires a second spreadsheet set that provides shipments forecasts and calculates national energy savings and net present value resulting from amended energy conservation standards. DOE used the third spreadsheet tool, the Government Regulatory Impact Model (GRIM), to assess manufacturer impacts of amended standards. These three spreadsheet tools are available on the DOE Web site. n31 Additionally, DOE used output from the latest version of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for the emissions and utility impact analyses.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See: </w:t>
      </w:r>
      <w:hyperlink r:id="rId52" w:history="1">
        <w:r>
          <w:rPr>
            <w:rFonts w:ascii="arial" w:eastAsia="arial" w:hAnsi="arial" w:cs="arial"/>
            <w:b w:val="0"/>
            <w:i/>
            <w:strike w:val="0"/>
            <w:noProof w:val="0"/>
            <w:color w:val="0077CC"/>
            <w:position w:val="0"/>
            <w:sz w:val="20"/>
            <w:u w:val="single"/>
            <w:vertAlign w:val="baseline"/>
          </w:rPr>
          <w:t>http://www1.eere.energy.gov/buildings/appliance_standards/rulemaking.aspx?ruleid=104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All three spreadsheet tools are available online at the rulemaking portion of DOE's Web site: </w:t>
      </w:r>
      <w:hyperlink r:id="rId53" w:history="1">
        <w:r>
          <w:rPr>
            <w:rFonts w:ascii="arial" w:eastAsia="arial" w:hAnsi="arial" w:cs="arial"/>
            <w:b w:val="0"/>
            <w:i/>
            <w:strike w:val="0"/>
            <w:noProof w:val="0"/>
            <w:color w:val="0077CC"/>
            <w:position w:val="0"/>
            <w:sz w:val="20"/>
            <w:u w:val="single"/>
            <w:vertAlign w:val="baseline"/>
          </w:rPr>
          <w:t>http://www1.eere.energy.gov/buildings/appliance_standards/product.aspx/productid/72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a market and technology assessment, DOE develops information that provides an overall picture of the market for covered products. This overall picture includes the purpose of the products, the industry structure, manufacturers, market characteristics, and technologies used. DOE uses both quantitative and qualitative assessments, based primarily on publicly-available information. The market and technology assessment for this residential central air conditioning and heat pump rulemaking covers issues that include: (1) A determination of the scope of the rulemaking and product classes; (2) manufacturers and industry structure; (3) quantities and types of products sold and offered for sale; (4) retail market trends; (5) regulatory and non-regulatory programs; and (6) technologies or design options that could improve the energy efficiency of the product(s) under examination. The key findings of DOE's market assessment are summarized below. For additional detail, see chapter 3 of the DFR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residential central air conditioner or heat pump is an important component of a home's central heating and cooling system, providing cooled and/or heated air to the conditioned space, often through ductwork. Split-system air conditioners are comprised of an indoor unit, which contains the indoor coil and may contain the indoor fan (blower); and an outdoor unit, which contains the compressor, outdoor coil, and outdoor fan. The indoor unit either includes its own blower ("blower-coil unit") or uses the furnace fan ("coil-only unit") to circulate air over the indoor coil, transferring heat between the circulating air and the refrigerant. The cooled (or heated) air is then distributed via ductwork to the conditioned space. The compressor raises the refrigerant pressure, which raises its saturation temperature so that it is warm enough to transfer heat either to the ambient air (for cooling mode) or the indoor air (for heat-pump mode). Single-package systems contain all of these components in a single-package. A residential central heat pump utilizes the same components as a central air conditioner, but also includes a reversing valve and other components that allow it to reverse the functions of the indoor and outdoor coils, thus operating in heat pump mode.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 central air conditioner as a product, other than a packaged terminal air conditioner, n33 which is powered by single phase electric current, air cooled, rated below 65,000 Btu per hour, not contained within the same cabinet as a furnace, the rated capacity of which is above 225,000 Btu per hour, and is a heat pump or a cooling only unit. (</w:t>
      </w:r>
      <w:hyperlink r:id="rId9" w:history="1">
        <w:r>
          <w:rPr>
            <w:rFonts w:ascii="arial" w:eastAsia="arial" w:hAnsi="arial" w:cs="arial"/>
            <w:b w:val="0"/>
            <w:i/>
            <w:strike w:val="0"/>
            <w:noProof w:val="0"/>
            <w:color w:val="0077CC"/>
            <w:position w:val="0"/>
            <w:sz w:val="20"/>
            <w:u w:val="single"/>
            <w:vertAlign w:val="baseline"/>
          </w:rPr>
          <w:t>42 U.S.C. 6291(21)</w:t>
        </w:r>
      </w:hyperlink>
      <w:r>
        <w:rPr>
          <w:rFonts w:ascii="arial" w:eastAsia="arial" w:hAnsi="arial" w:cs="arial"/>
          <w:b w:val="0"/>
          <w:i w:val="0"/>
          <w:strike w:val="0"/>
          <w:noProof w:val="0"/>
          <w:color w:val="000000"/>
          <w:position w:val="0"/>
          <w:sz w:val="20"/>
          <w:u w:val="none"/>
          <w:vertAlign w:val="baseline"/>
        </w:rPr>
        <w:t xml:space="preserve">) DOE has incorporated this definition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"Packaged terminal air conditioner" is defined in </w:t>
      </w:r>
      <w:hyperlink r:id="rId4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as "a wall sleeve and a separate unencased combination of heating and cooling assemblies specified by the builder and intended for mounting through the wall. It includes a prime source of refrigeration, separable outdoor louvers, forced ventilation, and heating availability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 "heat pump" as a product, other than a packaged terminal heat pump, n34 which consists of one or more assemblies, powered by single phase electric current, rated below 65,000 Btu per hour, utilizing an indoor conditioning coil, compressor, and refrigerant-to-outdoor air heat exchanger to provide air heating, and may also provide air cooling, dehumidifying, humidifying circulating, and air cleaning. (</w:t>
      </w:r>
      <w:hyperlink r:id="rId9" w:history="1">
        <w:r>
          <w:rPr>
            <w:rFonts w:ascii="arial" w:eastAsia="arial" w:hAnsi="arial" w:cs="arial"/>
            <w:b w:val="0"/>
            <w:i/>
            <w:strike w:val="0"/>
            <w:noProof w:val="0"/>
            <w:color w:val="0077CC"/>
            <w:position w:val="0"/>
            <w:sz w:val="20"/>
            <w:u w:val="single"/>
            <w:vertAlign w:val="baseline"/>
          </w:rPr>
          <w:t>42 U.S.C. 6291(24)</w:t>
        </w:r>
      </w:hyperlink>
      <w:r>
        <w:rPr>
          <w:rFonts w:ascii="arial" w:eastAsia="arial" w:hAnsi="arial" w:cs="arial"/>
          <w:b w:val="0"/>
          <w:i w:val="0"/>
          <w:strike w:val="0"/>
          <w:noProof w:val="0"/>
          <w:color w:val="000000"/>
          <w:position w:val="0"/>
          <w:sz w:val="20"/>
          <w:u w:val="none"/>
          <w:vertAlign w:val="baseline"/>
        </w:rPr>
        <w:t xml:space="preserve">) DOE has incorporated this definition into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These products, also known as unitary air conditioners, do not include room air conditioners.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"Packaged terminal heat pump" is defined in </w:t>
      </w:r>
      <w:hyperlink r:id="rId4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as "a packaged terminal air conditioner that utilizes reverse cycle refrigeration as its prime heat source and should have supplementary heating availability by builder's choice of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"Room air conditioner" is defined in </w:t>
      </w:r>
      <w:hyperlink r:id="rId4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as "a consumer product, other than a packaged terminal air conditioner,' which is powered by a single phase electric current which is an encased assembly designed as a unit for mounting in a window or through the wall for the purpose of providing delivery of conditioned air to an enclosed space. It includes a prime source of refrigeration and may include a means for ventilating and 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DFR, DOE is amending energy conservation standards for the products covered by DOE's current standards for central air conditioners and heat pumps, specified at </w:t>
      </w:r>
      <w:hyperlink r:id="rId17" w:history="1">
        <w:r>
          <w:rPr>
            <w:rFonts w:ascii="arial" w:eastAsia="arial" w:hAnsi="arial" w:cs="arial"/>
            <w:b w:val="0"/>
            <w:i/>
            <w:strike w:val="0"/>
            <w:noProof w:val="0"/>
            <w:color w:val="0077CC"/>
            <w:position w:val="0"/>
            <w:sz w:val="20"/>
            <w:u w:val="single"/>
            <w:vertAlign w:val="baseline"/>
          </w:rPr>
          <w:t>10 CFR 430.32(c)(2)</w:t>
        </w:r>
      </w:hyperlink>
      <w:r>
        <w:rPr>
          <w:rFonts w:ascii="arial" w:eastAsia="arial" w:hAnsi="arial" w:cs="arial"/>
          <w:b w:val="0"/>
          <w:i w:val="0"/>
          <w:strike w:val="0"/>
          <w:noProof w:val="0"/>
          <w:color w:val="000000"/>
          <w:position w:val="0"/>
          <w:sz w:val="20"/>
          <w:u w:val="none"/>
          <w:vertAlign w:val="baseline"/>
        </w:rPr>
        <w:t xml:space="preserve">, which DOE adopted in the June 2011 DFR. </w:t>
      </w:r>
      <w:r>
        <w:rPr>
          <w:rFonts w:ascii="arial" w:eastAsia="arial" w:hAnsi="arial" w:cs="arial"/>
          <w:b/>
          <w:i w:val="0"/>
          <w:strike w:val="0"/>
          <w:noProof w:val="0"/>
          <w:color w:val="000000"/>
          <w:position w:val="0"/>
          <w:sz w:val="20"/>
          <w:u w:val="none"/>
          <w:vertAlign w:val="baseline"/>
        </w:rPr>
        <w:t> [*1805] </w:t>
      </w:r>
      <w:r>
        <w:rPr>
          <w:rFonts w:ascii="arial" w:eastAsia="arial" w:hAnsi="arial" w:cs="arial"/>
          <w:b w:val="0"/>
          <w:i w:val="0"/>
          <w:strike w:val="0"/>
          <w:noProof w:val="0"/>
          <w:color w:val="000000"/>
          <w:position w:val="0"/>
          <w:sz w:val="20"/>
          <w:u w:val="none"/>
          <w:vertAlign w:val="baseline"/>
        </w:rPr>
        <w:t xml:space="preserve"> These products consist of: (1) Split-system air conditioners; (2) split-system heat pumps; (3) single package air conditioners; and (4) single package heat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current standards for central air conditioners are expressed as the minimum seasonal energy efficiency ratio (SEER), the minimum heating seasonal performance factor (HSPF) for heat pumps, and the maximum off-mode power (P[W, OFF]). SEER is a seasonal efficiency metric that accounts for electricity consumption in active cooling and standby operating modes during the cooling season, while HSPF is a seasonal efficiency metric that accounts for active heating and standby operating modes for heat pumps during the heating season. For the Southwest region of the United States, (four states including Arizona, California, Nevada, and New Mexico) DOE's current standards also include additional requirements for energy efficiency ratio (EER) for both central air conditioners and heat pumps. </w:t>
      </w:r>
      <w:hyperlink r:id="rId17" w:history="1">
        <w:r>
          <w:rPr>
            <w:rFonts w:ascii="arial" w:eastAsia="arial" w:hAnsi="arial" w:cs="arial"/>
            <w:b w:val="0"/>
            <w:i/>
            <w:strike w:val="0"/>
            <w:noProof w:val="0"/>
            <w:color w:val="0077CC"/>
            <w:position w:val="0"/>
            <w:sz w:val="20"/>
            <w:u w:val="single"/>
            <w:vertAlign w:val="baseline"/>
          </w:rPr>
          <w:t>10 CFR 430.32(c)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by capacity, or by another performance-related feature that justifies a different standard. In making a determination whether a performance-related feature justifies a different standard, DOE must consider factors such as the utility to the consumer of the feature. (</w:t>
      </w:r>
      <w:hyperlink r:id="rId12"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DOE has divided residential central air conditioners and heat pumps into seven product classes: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These product classes were last examined by the June 2011 DFR. 76 FR 37408, 37446 (June 27, 2011), prior to this current round of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Split-system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Split-system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Single-package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Single-package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Small-duct high-velocity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Space-constrained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Space-constrained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2014 RFI, DOE requested feedback on whether it should consider any changes the existing product classes for central air conditioners and heat pumps. </w:t>
      </w:r>
      <w:r>
        <w:rPr>
          <w:rFonts w:ascii="arial" w:eastAsia="arial" w:hAnsi="arial" w:cs="arial"/>
          <w:b w:val="0"/>
          <w:i/>
          <w:strike w:val="0"/>
          <w:noProof w:val="0"/>
          <w:color w:val="000000"/>
          <w:position w:val="0"/>
          <w:sz w:val="20"/>
          <w:u w:val="none"/>
          <w:vertAlign w:val="baseline"/>
        </w:rPr>
        <w:t>79 FR 65603, 65605</w:t>
      </w:r>
      <w:r>
        <w:rPr>
          <w:rFonts w:ascii="arial" w:eastAsia="arial" w:hAnsi="arial" w:cs="arial"/>
          <w:b w:val="0"/>
          <w:i w:val="0"/>
          <w:strike w:val="0"/>
          <w:noProof w:val="0"/>
          <w:color w:val="000000"/>
          <w:position w:val="0"/>
          <w:sz w:val="20"/>
          <w:u w:val="none"/>
          <w:vertAlign w:val="baseline"/>
        </w:rPr>
        <w:t xml:space="preserve"> (Nov. 5, 2014). In response, AHRI and Southern Co. commented that they supported retaining the listed product classes used in the previous rulemaking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June 2011 Final Rule). (AHRI, No. 13 at p. 3; Southern Co., No. 11 at p. 2) NEEA and NPCC suggested that DOE consider the possibility of a separate product class for variable capacity systems, given their potential increased cost effectiveness relative to fixed capacity systems. (NEEA &amp; NPCC, No. 19 at p. 3) Rheem recommended that a product class be added for combined appliances which contribute to heat recovery for water heating. (Rheem, No. 17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rulemaking, DOE has retained the product classes associated with the 2011 DFR that were listed in the November 2014 RFI. In response to NEEA &amp; NPCC, DOE sees no need for the suggested change because variable capacity products have no difficulty meeting the current standards--or the standards set in this notice. In response to Rheem's comment, DOE has not found evidence that the capability for heat recovery for water heating reduces a product's ability to meet a given efficiency level, and Rheem's comment did not indicate that this is the case, nor did it explain why such product might have a different efficiency level when tested according to the DOE test procedure for central air conditioners and heat pumps (which does not include transfer of heat to water). Hence, DOE believes that the threshold for setting separate product classes for these products under EPCA is not met. 42 U.S.C. 4295(q)(B)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market and technology assessment performed for the November 2014 RFI and for this DFR, DOE developed a comprehensive list of technologies to improve the energy efficiency of central air conditioners and heat pumps. Chapter 3 of the DFR TSD contains a detailed description of each technology that DOE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on the technology options proposed in the November 2014 RFI. ACEEE requested that DOE consider the addition of multi-stage systems to the list of design options. (ACEEE, No. 21 at p.3) Southern Co. also commented that it supported design options associated with variable speed operation because of humidity control considerations. (Southern Co., No. 19 at p. 2) NEEA and NPCC, as well as PG&amp;E, suggested that DOE add a design options for the reduction of off and standby-mode energy use and for control systems. (NEEA &amp; NPCC, No. 19 at p. 10; PG&amp;E, No. 15 at p. 2) Rheem proposed that DOE add combined appliance technology to the list of design options. (Rheem, No. 17 at p. 3) On the other hand, AHRI commented that DOE should consider only design options that DOE included for central air conditioners in the June 2011 DFR. (AHRI, No. 13 at p. 3). ACEEE also suggested that DOE conduct a systematic evaluation of the energy savings potential of products used in the Southeast and Southwest, particularly the benefits of enhanced latent heat work to condition the air. (ACEEE, No. 21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made by ACEEE and Southern Co., DOE has included both two-stage and variable speed compressors as design options. Regarding the addition of design options for reducing off and standby-mode energy use, DOE conducted a market and technology assessment (as described in section IV.A.3) and has found that the design options used in the June 2011 DFR are the same ones that are viable today. Additionally, DOE refers to discussions during the CAC/HP CAC/HP Working Group Negotiations, in which no objections were raised by stakeholders to the proposed design option list. (ASRAC Public Meeting, No. 88 at p. 188) Further discussion regarding the viability of the technology options is provided in chapter 4 of the TSD. Regarding the NEEA and NPPC comment regarding controls, there are many ways that controls might be employed to improve rated efficiency, but NEEA and NPPC's comment does not specify, nor could DOE infer from the comment, what type of control design option should be considered. DOE notes that it considered a comprehensive scope of technologies in its market and tech assessment, and is confident that its engineering analysis accounts for these controls. In response to Rheem, EPCA defines "central air conditioner" as a product that is air-cooled. (</w:t>
      </w:r>
      <w:hyperlink r:id="rId9" w:history="1">
        <w:r>
          <w:rPr>
            <w:rFonts w:ascii="arial" w:eastAsia="arial" w:hAnsi="arial" w:cs="arial"/>
            <w:b w:val="0"/>
            <w:i/>
            <w:strike w:val="0"/>
            <w:noProof w:val="0"/>
            <w:color w:val="0077CC"/>
            <w:position w:val="0"/>
            <w:sz w:val="20"/>
            <w:u w:val="single"/>
            <w:vertAlign w:val="baseline"/>
          </w:rPr>
          <w:t>42 U.S.C. 6291(21)(B)</w:t>
        </w:r>
      </w:hyperlink>
      <w:r>
        <w:rPr>
          <w:rFonts w:ascii="arial" w:eastAsia="arial" w:hAnsi="arial" w:cs="arial"/>
          <w:b w:val="0"/>
          <w:i w:val="0"/>
          <w:strike w:val="0"/>
          <w:noProof w:val="0"/>
          <w:color w:val="000000"/>
          <w:position w:val="0"/>
          <w:sz w:val="20"/>
          <w:u w:val="none"/>
          <w:vertAlign w:val="baseline"/>
        </w:rPr>
        <w:t xml:space="preserve">) In contrast, combination appliances reject heat to water. Hence, water-heating operation of such appliances is not covered by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central air conditioners and heat pumps. In response to ACEEE's comment about creating a design option for higher or lower latent capacity, any differential benefit for systems designed for a different latent capacity or different return air humidity would also not be captured in DOE's current or amended test procedures, and hence was not considered as part of the analysis to establish amended efficiency levels. Finally, in response to all of the comments suggesting specific design options, DOE conducted an efficiency-level-based engineering analysis based on existing product designs. While DOE has assembled a specific list of design options that reflect known design differences among these existing products, there are other design differences that affect the rated efficiencies used in the analysis that </w:t>
      </w:r>
      <w:r>
        <w:rPr>
          <w:rFonts w:ascii="arial" w:eastAsia="arial" w:hAnsi="arial" w:cs="arial"/>
          <w:b/>
          <w:i w:val="0"/>
          <w:strike w:val="0"/>
          <w:noProof w:val="0"/>
          <w:color w:val="000000"/>
          <w:position w:val="0"/>
          <w:sz w:val="20"/>
          <w:u w:val="none"/>
          <w:vertAlign w:val="baseline"/>
        </w:rPr>
        <w:t> [*1806] </w:t>
      </w:r>
      <w:r>
        <w:rPr>
          <w:rFonts w:ascii="arial" w:eastAsia="arial" w:hAnsi="arial" w:cs="arial"/>
          <w:b w:val="0"/>
          <w:i w:val="0"/>
          <w:strike w:val="0"/>
          <w:noProof w:val="0"/>
          <w:color w:val="000000"/>
          <w:position w:val="0"/>
          <w:sz w:val="20"/>
          <w:u w:val="none"/>
          <w:vertAlign w:val="baseline"/>
        </w:rPr>
        <w:t xml:space="preserve"> represent design options, the use of which is probable but not certain. Some of these would likely be classified as "controls" design options, which would address the NEEA &amp; NPPC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as well as others, were addressed during the CAC/HP Working Group Negotiations. Based on the RFI comments and the 2015-2016 CAC/HP Working Group discussions, DOE constructed a list of technology options for consideration in the analysis for this direct final rule. Table IV-1 compiles this list.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 Technology Options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Higher-EER compressor.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Two-stage compressor.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speed compressor.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exchanger</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Larger heat exchanger.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 Motor</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 torque permanent-magnet motor.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 air flow permanent-magnet motor.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Higher-efficiency fan blades, fan wheels,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fan configurations.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Expansion valve</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Thermostatic expansion valve.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expansion valve.</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 defrost controls.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expanded the "higher efficiency compressor" technology option to indicate that, in addition to consideration of compressors with higher energy efficiency ratio (EER, the compressor capacity divided by its power input at the compressor rating condition expressed in Btu/h-W), manufacturers can also consider use of two-capacity or variable-speed compressors. DOE limited the specific technology options for heat exchangers to only larger-size heat exchangers because most heat exchanger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round-tube/flat fin, microchannel, etc.) can be used either in baseline or higher-efficiency products. The list includes the two general types of higher-efficiency fan motors used in products. For fans, the revised list more generally indicates that efficiency improvements can be associated with the fan blades of outdoor fans, the fan wheels of indoor fans, and the general fan configuration, including all details of design that affect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overall size, inlet and outlet flow transitions, clearance gaps between rotating and stationary components, etc.) The revised list includes two specific examples of higher-efficiency expansion valves. The list does not separately include inverter technology, which would be captured as part of the variable-speed compressor and/or the constant-air-flow permanent magnet motor technology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identifying potential technology options for improving the efficiency of residential central air conditioners and heat pumps, DOE performed the screening analysis (see section IV.B of this direct final rule or chapter 4 of the DFR TSD) on these technologies to determine which could be considered further in the analysis and which should be eliminated. 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neither incorporated in commercial products nor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DOE determines that mass production, reliable installation, and servicing of a technology in commercial products could not be achieved on the scale necessary to serve the relevant market at the time of the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DOE determines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DOE determines that a technology would have significant adverse impacts on health or safety, then that technology will not be considered further. (10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DOE determines that a technology, or a combination of technologies, fails to meet one or more of the above four criteria, it will be excluded from further consideration in the engineering analysis. DOE found that all of the identified technologies listed in Table IV-1 met all four screening criteria and consequently, are suitable for further examination in DOE's analysis. For off-mode technologies, DOE determined that there is no commercial application for the hermetic crankcase heater and the integral compressor motor heater in central air conditioners and heat pumps. Therefore, DOE screened out these two technologies. For additional details, please see chapter 4 of the direct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establishes a relationship between energy efficiency and manufacturing production cost (MPC) for units that will be impacted by amended energy conservation standards. This relationship serves as the basis of cost-benefit analyses for individual consumers, manufacturers, and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began the engineering analysis by identifying energy efficiency levels to analyze. The current energy conservation standard served as the baseline efficiency level from which DOE analyzed possible energy efficiency improvements. In addition to the baseline, DOE identified higher efficiency levels that correspond to higher-efficiency products available on the market, including the most efficient, or max-tech, products. Using a variety of data sources, DOE estimated market-weighted MPCs at the baseline efficiency level and the market-weighted incremental MPC increases required to achieve each higher efficiency level, for each product class. Following the quantification of MPCs, DOE estimated the additional costs to residential consumers from markups by the manufacturers, distributors, and contractors. This information was then used in the downstream analyses to examine the costs and benefits associated with increased equipment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August 2015 NODA, DOE used a top-down analysis approach in which an exponential curve-fit was applied to a database of MPC vs. efficiency values to generate a cost-efficiency relationship for each representative capacity in each product class. </w:t>
      </w:r>
      <w:hyperlink r:id="rId13" w:history="1">
        <w:r>
          <w:rPr>
            <w:rFonts w:ascii="arial" w:eastAsia="arial" w:hAnsi="arial" w:cs="arial"/>
            <w:b w:val="0"/>
            <w:i/>
            <w:strike w:val="0"/>
            <w:noProof w:val="0"/>
            <w:color w:val="0077CC"/>
            <w:position w:val="0"/>
            <w:sz w:val="20"/>
            <w:u w:val="single"/>
            <w:vertAlign w:val="baseline"/>
          </w:rPr>
          <w:t>80 FR 52206</w:t>
        </w:r>
      </w:hyperlink>
      <w:r>
        <w:rPr>
          <w:rFonts w:ascii="arial" w:eastAsia="arial" w:hAnsi="arial" w:cs="arial"/>
          <w:b w:val="0"/>
          <w:i w:val="0"/>
          <w:strike w:val="0"/>
          <w:noProof w:val="0"/>
          <w:color w:val="000000"/>
          <w:position w:val="0"/>
          <w:sz w:val="20"/>
          <w:u w:val="none"/>
          <w:vertAlign w:val="baseline"/>
        </w:rPr>
        <w:t xml:space="preserve"> (Aug. 28, 2015). DOE did not receive comments on the NODA specifically regarding the NODA engineering analysis methodologies and results. During the CAC/HP Working Group meetings, however, DOE's engineering analysis was discussed in detail. ASRAC Working Group members expressed concern that the approach used in the August 2015 NODA did not reflect critical aspects of the relationship between MPC and efficiency. Ingersoll Rand and Southern Company requested to see efficiency levels differentiated by single speed and two-speed products. (ASRAC Public Meeting, No. 40 at p. 232, 248) </w:t>
      </w:r>
      <w:r>
        <w:rPr>
          <w:rFonts w:ascii="arial" w:eastAsia="arial" w:hAnsi="arial" w:cs="arial"/>
          <w:b/>
          <w:i w:val="0"/>
          <w:strike w:val="0"/>
          <w:noProof w:val="0"/>
          <w:color w:val="000000"/>
          <w:position w:val="0"/>
          <w:sz w:val="20"/>
          <w:u w:val="none"/>
          <w:vertAlign w:val="baseline"/>
        </w:rPr>
        <w:t> [*1807] </w:t>
      </w:r>
      <w:r>
        <w:rPr>
          <w:rFonts w:ascii="arial" w:eastAsia="arial" w:hAnsi="arial" w:cs="arial"/>
          <w:b w:val="0"/>
          <w:i w:val="0"/>
          <w:strike w:val="0"/>
          <w:noProof w:val="0"/>
          <w:color w:val="000000"/>
          <w:position w:val="0"/>
          <w:sz w:val="20"/>
          <w:u w:val="none"/>
          <w:vertAlign w:val="baseline"/>
        </w:rPr>
        <w:t xml:space="preserve"> Manufacturers generally agreed that certain efficiency levels could only be achieved by switching from single speed to two-stage compressor designs, which represented a considerable increase in MPC. The manufacturers believed this design path would result in a step function in the cost-efficiency relationship from the perspective of a given manufacturer, which was not reflected in the relationships used by DOE in the August 2015 NODA. (ASRAC Public Meeting, No. 40 at p. 248) AHRI presented its own cost-efficiency data to illustrate this step function at the October 14th CAC/HP Working Group meeting. AHRI's cost-efficiency data showed a $ 280 increase in manufacturing costs at 16 SEER associated with switching from a single speed to two-speed design for a three-ton system. AHRI was unable to share specific details about its methodology or the components included in the $ 280 cost difference because of confidentiality concerns. (ASRAC Public Meeting, No. 89 at p. 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agrees that switching from a single speed to two-speed design could result in a considerable increase in manufacturer production cost. DOE also understands that not all manufacturers choose to make this switch at the same point in the efficiency range. For example, one manufacturer may be able to achieve 15 SEER with a single speed design and need to switch to a two-stage design to achieve above 15 SEER, while other manufacturers may only be able to achieve 14.5 SEER with a single speed design, which would require them to switch to a two-stage design. DOE's NODA cost-efficiency relationships reflect the industry and therefore, represent multiple manufacturers. Step functions in single manufacturer's cost-efficiency relationship occurring at different points in the range of efficiency resulted in the smoother, continuous industry cost-efficiency curves that DOE used in the NODA. For these reasons, DOE does not believe its NODA cost-efficiency relationships are inappropriate, but does recognize that they may not perfectly represent the increase in cost associated with switching from single speed to two-stage designs in the range of efficiency in which manufacturers are making these design changes. In response to the CAC/HP working group discussions, DOE revised its engineering analysis to better reflect the impacts on manufacturer production cost of switching from a single speed to a two-stage design, which is reflected in this direct final rule. DOE's revised direct final rule engineering analysis is described in more detail in the subsequent paragraphs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direct final rule engineering analysis is different from the August 2015 NODA analysis in five main ways. First, DOE analyzed single speed and two-stage split systems separately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 developed MPC values at each efficiency level analyzed for single speed and two-stage systems independently). Once combined, this approach resulted in single cost-efficiency relationships that reflected the MPC step associated with switching from a single speed to two-stage design. The second key difference was that DOE analyzed individual manufacturer cost-efficiency relationships independently, then used marketshare information to generate a single marketshare-weighted cost-efficiency relationship. This approach better represented the effect of these cost-efficiency relationships on the total market and better accounted for differences between manufacturers in the design paths they use to achieve higher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DOE based the manufacturer-specific cost-efficiency relationships used in this direct final rule analysis on the least-cost units offered at each efficiency level, as opposed to all units offered at each efficiency level. DOE believes this approach results in cost-efficiency relationships that better reflect the design decisions manufacturers will make in response to new standards. The fourth key difference was that DOE analyzed coil-only and blower-coil systems separately for this direct final rule. This approach is aligned with the certification requirements finalized in the June 2016 CAC TP final rule, which require compliance for all indoor/outdoor unit combinations and also require certification of at least one coil-only combination for all single speed and two-stage outdoor units. </w:t>
      </w:r>
      <w:hyperlink r:id="rId18" w:history="1">
        <w:r>
          <w:rPr>
            <w:rFonts w:ascii="arial" w:eastAsia="arial" w:hAnsi="arial" w:cs="arial"/>
            <w:b w:val="0"/>
            <w:i/>
            <w:strike w:val="0"/>
            <w:noProof w:val="0"/>
            <w:color w:val="0077CC"/>
            <w:position w:val="0"/>
            <w:sz w:val="20"/>
            <w:u w:val="single"/>
            <w:vertAlign w:val="baseline"/>
          </w:rPr>
          <w:t>81 FR 36992</w:t>
        </w:r>
      </w:hyperlink>
      <w:r>
        <w:rPr>
          <w:rFonts w:ascii="arial" w:eastAsia="arial" w:hAnsi="arial" w:cs="arial"/>
          <w:b w:val="0"/>
          <w:i w:val="0"/>
          <w:strike w:val="0"/>
          <w:noProof w:val="0"/>
          <w:color w:val="000000"/>
          <w:position w:val="0"/>
          <w:sz w:val="20"/>
          <w:u w:val="none"/>
          <w:vertAlign w:val="baseline"/>
        </w:rPr>
        <w:t xml:space="preserve"> (June 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critical difference was that this engineering analysis was conducted based on efficiencies as measured according to the test procedure in place at the time of the CAC/HP Working Group meetings, the October 2007 CAC TP final rule. </w:t>
      </w:r>
      <w:hyperlink r:id="rId54" w:history="1">
        <w:r>
          <w:rPr>
            <w:rFonts w:ascii="arial" w:eastAsia="arial" w:hAnsi="arial" w:cs="arial"/>
            <w:b w:val="0"/>
            <w:i/>
            <w:strike w:val="0"/>
            <w:noProof w:val="0"/>
            <w:color w:val="0077CC"/>
            <w:position w:val="0"/>
            <w:sz w:val="20"/>
            <w:u w:val="single"/>
            <w:vertAlign w:val="baseline"/>
          </w:rPr>
          <w:t>72 FR 59906</w:t>
        </w:r>
      </w:hyperlink>
      <w:r>
        <w:rPr>
          <w:rFonts w:ascii="arial" w:eastAsia="arial" w:hAnsi="arial" w:cs="arial"/>
          <w:b w:val="0"/>
          <w:i w:val="0"/>
          <w:strike w:val="0"/>
          <w:noProof w:val="0"/>
          <w:color w:val="000000"/>
          <w:position w:val="0"/>
          <w:sz w:val="20"/>
          <w:u w:val="none"/>
          <w:vertAlign w:val="baseline"/>
        </w:rPr>
        <w:t xml:space="preserve"> (Oct. 22, 2007). Following downstream analyses, DOE translated the chosen efficiency levels to minimum standards based on measurement according to the November 2016 test procedure final rule, which is summarized in section III.F. DOE notes that the August 2015 NODA n37 efficiency levels were presented in terms of efficiency per test procedure amendments being proposed at the time of the August 2015 NODA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the October 2011 test procedure SNOPR (see section III.F)). </w:t>
      </w:r>
      <w:hyperlink r:id="rId46" w:history="1">
        <w:r>
          <w:rPr>
            <w:rFonts w:ascii="arial" w:eastAsia="arial" w:hAnsi="arial" w:cs="arial"/>
            <w:b w:val="0"/>
            <w:i/>
            <w:strike w:val="0"/>
            <w:noProof w:val="0"/>
            <w:color w:val="0077CC"/>
            <w:position w:val="0"/>
            <w:sz w:val="20"/>
            <w:u w:val="single"/>
            <w:vertAlign w:val="baseline"/>
          </w:rPr>
          <w:t>76 FR 65616</w:t>
        </w:r>
      </w:hyperlink>
      <w:r>
        <w:rPr>
          <w:rFonts w:ascii="arial" w:eastAsia="arial" w:hAnsi="arial" w:cs="arial"/>
          <w:b w:val="0"/>
          <w:i w:val="0"/>
          <w:strike w:val="0"/>
          <w:noProof w:val="0"/>
          <w:color w:val="000000"/>
          <w:position w:val="0"/>
          <w:sz w:val="20"/>
          <w:u w:val="none"/>
          <w:vertAlign w:val="baseline"/>
        </w:rPr>
        <w:t xml:space="preserve"> (October 24,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More specifically, refer to Chapter 5 of the NODA Technical Support Document (copy and paste link into browser): </w:t>
      </w:r>
      <w:hyperlink r:id="rId55" w:history="1">
        <w:r>
          <w:rPr>
            <w:rFonts w:ascii="arial" w:eastAsia="arial" w:hAnsi="arial" w:cs="arial"/>
            <w:b w:val="0"/>
            <w:i/>
            <w:strike w:val="0"/>
            <w:noProof w:val="0"/>
            <w:color w:val="0077CC"/>
            <w:position w:val="0"/>
            <w:sz w:val="20"/>
            <w:u w:val="single"/>
            <w:vertAlign w:val="baseline"/>
          </w:rPr>
          <w:t>https://www.</w:t>
        </w:r>
      </w:hyperlink>
      <w:hyperlink r:id="rId55" w:history="1">
        <w:r>
          <w:rPr>
            <w:rFonts w:ascii="arial" w:eastAsia="arial" w:hAnsi="arial" w:cs="arial"/>
            <w:b/>
            <w:i/>
            <w:strike w:val="0"/>
            <w:noProof w:val="0"/>
            <w:color w:val="0077CC"/>
            <w:position w:val="0"/>
            <w:sz w:val="20"/>
            <w:u w:val="single"/>
            <w:vertAlign w:val="baseline"/>
          </w:rPr>
          <w:t>regulations</w:t>
        </w:r>
      </w:hyperlink>
      <w:hyperlink r:id="rId55" w:history="1">
        <w:r>
          <w:rPr>
            <w:rFonts w:ascii="arial" w:eastAsia="arial" w:hAnsi="arial" w:cs="arial"/>
            <w:b w:val="0"/>
            <w:i/>
            <w:strike w:val="0"/>
            <w:noProof w:val="0"/>
            <w:color w:val="0077CC"/>
            <w:position w:val="0"/>
            <w:sz w:val="20"/>
            <w:u w:val="single"/>
            <w:vertAlign w:val="baseline"/>
          </w:rPr>
          <w:t>.gov/document?D=EERE-2014-BT-STD-0048-0029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more detailed description of the methodology used to determine the efficiency levels and manufacturer production costs as well as the key similarities and differences from the August 2015 NODA, please refer to Chapter 5 of the DFR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Segmentation of Covered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 engineering analysis, DOE further divided product classes into many segments to capture important differences in the cost-efficiency relationships. As a primary example, DOE recognizes that the cost-efficiency relationship between central air conditioners and heat pumps varies by capacity. For this direct final rule analysis, DOE performed separate analyses for two-ton, three-ton and five-ton split system air conditioners and heat pumps in order to characterize the efficiency levels at different representative capacities. For single-package air conditioner and heat pump product classes, DOE developed a cost-efficiency relationship based on three-ton capacity units. For space-constrained and small-duct high-velocity (SDHV) air conditioners, DOE used systems in the two to two-and-a-half-ton capacity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introduction to this section, DOE further segmented each split-system air conditioner representative capacity into blower coil and coil-only systems. All split-system product classes were further divided into single speed and two-stage outdoor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each single-package representative capacity, DOE segmented products according to two heat exchanger types--all-aluminum with microchannel or tube-and-fin geometries or copper-tube aluminum fin heat exchangers. This followed the approach DOE had previously taken in the August 2015 NODA. 80 FR 52206. DOE has found that the reduced cost of aluminum per pound results in significantly different cost-efficiency relationships between products employing the two different heat exchanger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Determination of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describes the RFI comments received with regard to and the ultimate methodology adopted for </w:t>
      </w:r>
      <w:r>
        <w:rPr>
          <w:rFonts w:ascii="arial" w:eastAsia="arial" w:hAnsi="arial" w:cs="arial"/>
          <w:b/>
          <w:i w:val="0"/>
          <w:strike w:val="0"/>
          <w:noProof w:val="0"/>
          <w:color w:val="000000"/>
          <w:position w:val="0"/>
          <w:sz w:val="20"/>
          <w:u w:val="none"/>
          <w:vertAlign w:val="baseline"/>
        </w:rPr>
        <w:t> [*1808] </w:t>
      </w:r>
      <w:r>
        <w:rPr>
          <w:rFonts w:ascii="arial" w:eastAsia="arial" w:hAnsi="arial" w:cs="arial"/>
          <w:b w:val="0"/>
          <w:i w:val="0"/>
          <w:strike w:val="0"/>
          <w:noProof w:val="0"/>
          <w:color w:val="000000"/>
          <w:position w:val="0"/>
          <w:sz w:val="20"/>
          <w:u w:val="none"/>
          <w:vertAlign w:val="baseline"/>
        </w:rPr>
        <w:t xml:space="preserve"> determining energy efficiency levels within each product class. The levels are tabulated along with the MPC results in section IV.C.4.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November 2014 RFI, ACEEE suggested that DOE consider technologically feasible and economically justifiable efficiency levels based on capacity. (ACEEE, No. 21 at p. 3) DOE has considered variation of efficiency level with capacity in its analysis for split systems, and has adopted some variation of standard levels with capacity, as recommended by the CAC/HP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suggested DOE consider the impacts of the final rule for residential furnace fans on the baseline and max-tech levels for each product class. (AHRI, No. 13 at pp. 3-4) In response, DOE notes that it has developed default fan power levels for testing of coil-only systems, which reflect the improved efficiency of the furnaces likely to be used with the air conditioners considered in the analysis--the November 2016 test procedure final rule discusses this topic in greater detail. (November 2016 Test Procedure Final Rule, pp. 104, 105). These default fan power levels account for higher efficiency fan motors and increased external static pressure, and thus are higher than the previous default fan power used for testing of coil-only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NEEA &amp; NPCC agreed with the proposed baseline and max-tech levels. They did, however, urge DOE to consider "high-tech" design options for small duct high velocity (SDHV) systems. (NEEA &amp; NPCC, No. 19 at p. 3) In response, DOE did evaluate "high-tech" design options for SDHV systems, but did not find increased efficiency levels for such systems to be cost-effective, based on review of efficiency levels attained by existing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Rheem commented that max-tech efficiency levels proposed for all product classes in the November 2014 RFI could not be economically justified within any climate zone in the US. Rheem also questioned the max-tech efficiency differential between split system CAC/HPs, SDHVs, and space constrained AC/HPs. (Rheem, No. 17 at p. 4) In response, DOE notes that its economic analysis is consistent with Rheem's assertion that max-tech efficiency levels are not economically justified, and has not set standard levels at max-tech efficiency. DOE notes that the max-tech efficiency differentials as reported in the RFI have been adjusted in this DFR analysis based on more a thorough review of available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PG&amp;E recommended that DOE account for larger evaporator coil areas when evaluating max tech levels for small duct high velocity systems and space-constrained systems due to the special constraints and limited heat transfer associated with lower volumetric flow rates. (PG&amp;E, No. 15 at p. 2). In response, DOE notes that its efficiency-level-based engineering analysis was based on existing product designs. DOE found that for the higher-efficiency products of these classes, evaporator coil areas were larger. However, as discussed, this analysis did not show that increasing the efficiency level of these products was cost-effective.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DOE characterized the baseline efficiency levels. Generally, the baseline unit in each product class: (1) Represents the basic characteristics of equipment in that class; (2) just meets the current Federal energy conservation standards, if any; and (3) provides basic consumer utility. For the covered product classes analyzed in this direct final rule, the baseline efficiency levels are represented by the standards that were set in the June 2011 Direct Final Rule and codified at </w:t>
      </w:r>
      <w:hyperlink r:id="rId17" w:history="1">
        <w:r>
          <w:rPr>
            <w:rFonts w:ascii="arial" w:eastAsia="arial" w:hAnsi="arial" w:cs="arial"/>
            <w:b w:val="0"/>
            <w:i/>
            <w:strike w:val="0"/>
            <w:noProof w:val="0"/>
            <w:color w:val="0077CC"/>
            <w:position w:val="0"/>
            <w:sz w:val="20"/>
            <w:u w:val="single"/>
            <w:vertAlign w:val="baseline"/>
          </w:rPr>
          <w:t>10 CFR 430.32(c)</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(June 27, 2011). The baseline efficiency levels are reference points for each product class, against which changes in product cost and energy use resulting from potential amended energy conservation standards are compared.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DOE established intermediate efficiency levels at 0.5 SEER increments increasing from each baseline efficiency level. DOE did not analyze intermediate efficiency levels for which there are few products available on the market. DOE also determined the maximum improvement in energy efficiency that is technologically feasible (max-tech) for central air conditioners and heat pumps, as required under </w:t>
      </w:r>
      <w:hyperlink r:id="rId12"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DOE selected max-tech efficiency levels for most of the product classes equal to the highest efficiency levels reported in the AHRI Directory of Certified Product Performance. For space-constrained air conditioners, DOE selected the max-tech efficiency level based on the efficiency reported in product literature. The resulting efficiency levels for all product classes considered are tabulated with MPCs in section IV.C.4IV.C.4.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 DOE also uses EER to characterize CAC/HP efficiency. During the CAC/HP Working Group meetings, some parties suggested dropping EER as a metric all together. These parties argued that the proposed SEER value would be high enough to ensure that the EER level would be at or above the current standard. They also stated that EER requirements are an additional burden and could discourage two-stage and variable speed product designs for which SEER and EER values have a higher divergence than single speed designs. Other parties were firm about keeping EER because it would mitigate peak load issues and improve the health of the utility grid. They added that EER can be a better descriptor than SEER for energy use in certain regions, such as the Southwest. (ASRAC Public Meeting, No. 81 at pp. 10-73; ASRAC Public Meeting, No. 82 at pp. 10-93; ASRAC Public Meeting, No. 83 at pp. 11, 22, 36, 39-42)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the CAC/HP Working Group decided to retain the current minimum EER requirements for split-system air conditioners and single-package air conditioners in the Southwest region with a SEER less than 15.2 and a relaxed EER requirement for split-system air conditioners and single-package air conditioners in the Southwest region with a SEER greater than 15.2. (ASRAC Term Sheet, No. 76 at p. 4, Recommendation #8) The CAC/HP Working Group's decision was based on negotiation rather than any analysis to quantify the impacts of increasing EER along with SEER and/or HSPF or the lower EER level for systems with SEER of 16 or higher. Maintaining an EER requirement in the Southwest region aligns with the position of EER advocates, while not increasing the EER requirement and relaxing it for higher SEER products addresses the concerns of the parties that recommended eliminating the EER requirement. DOE did not explicitly analyze the impact of increasing EER on total installed cost, energy consumption, or life-cycle cost for this direct final rule. Consequently, DOE did not define EER-based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set the heating mode efficiency levels for residential heat pumps, DOE developed correlations for split-system and single-package heat pumps relating HSPF to SEER based on ratings in the AHRI Directory of Certified Product Performance. Using the correlations, DOE assigned an HSPF value to each SEER-based efficiency level. For split-system products, DOE based the correlations on pairings of outdoor units with indoor units designated in the AHRI Directory as the highest sales volume indoor units. DOE also conducted the split-system analysis for units with two-ton, three-ton and five-ton capacities. The analysis showed that the relationship between SEER and HSPF does not differ significantly across these capacities. Hence, DOE did not differentiate HSPF standards by capacity in this direct final rule. For single-package units, DOE used all the rated two-ton units to develop the </w:t>
      </w:r>
      <w:r>
        <w:rPr>
          <w:rFonts w:ascii="arial" w:eastAsia="arial" w:hAnsi="arial" w:cs="arial"/>
          <w:b/>
          <w:i w:val="0"/>
          <w:strike w:val="0"/>
          <w:noProof w:val="0"/>
          <w:color w:val="000000"/>
          <w:position w:val="0"/>
          <w:sz w:val="20"/>
          <w:u w:val="none"/>
          <w:vertAlign w:val="baseline"/>
        </w:rPr>
        <w:t> [*1809] </w:t>
      </w:r>
      <w:r>
        <w:rPr>
          <w:rFonts w:ascii="arial" w:eastAsia="arial" w:hAnsi="arial" w:cs="arial"/>
          <w:b w:val="0"/>
          <w:i w:val="0"/>
          <w:strike w:val="0"/>
          <w:noProof w:val="0"/>
          <w:color w:val="000000"/>
          <w:position w:val="0"/>
          <w:sz w:val="20"/>
          <w:u w:val="none"/>
          <w:vertAlign w:val="baseline"/>
        </w:rPr>
        <w:t xml:space="preserve"> SEER-HSPF correlations. The development of these correlations is described in more detail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2015 CAC/HP Negotiations, the CAC/HP Working Group recommended HSPF standards for both split-system and single package heat pumps--8.8 and 8.0 HSPF, respectively. (ASRAC Term Sheet, Docket No. EERE-2014-BT-STD-0048, No. 0076). For split-system heat pumps, the recommendation was higher than the 8.5 HSPF value determined at 15 SEER by DOE's HSPF/SEER correlation. DOE reviewed available data from the BOMs and specification sheets used for its analysis to assess whether this HSPF differential would impact costs. In this review, DOE looked beyond the least-cost units used for its primary analysis, evaluating costs for 15 SEER split-system heat pumps with HSPF between 8.3 and 9.0. The MPCs calculated for 15 SEER systems within this HSPF range show that the cost differential for the HSPF increase from 8.5 to 8.8 is negligible. Hence, DOE did not in its analysis make an adjustment in its MPCs to reflect this HSPF differential. For single-package heat pumps, the selected standard level, 8.0 HSPF, was only slightly higher than the correlated value, 7.9 HSPF. As for split systems, DOE did not make an adjustment in its MPC to reflect this differential. Section IV.E provides details on how DOE used HSPF levels to analyze the energy use of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Estimation of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DFR analysis, DOE determined a marketshare-weighted MPC at each efficiency level for each representative capacity of each product class and, as described previously in section IV.C.1, separately for split-system air conditioner blower coil and coil-only units as well as single speed and two-stage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MPCs, DOE first compiled a database of split-system air conditioner and heat pump indoor and outdoor units, single-package air-conditioners and heat pumps, space-constrained air conditioners, and SDHV air conditioners from a variety of manufacturers. For each product class and representative capacity, the database included indoor, outdoor and packaged units from multiple manufacturers that represented a majority of the market and that spanned the range of available efficiencies, to the best extent possible. For split systems, DOE analyzed all possible matches of indoor and outdoor units in its database that are listed in the AHRI Directory of Certified Performance. As such, DOE believes the database of units and systems to be representative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performed either a physical teardown or a catalog teardown on each unit in the database. A physical teardown involves reverse-engineering the unit in a laboratory. A catalog teardown involves analyzing manufacturer specification sheets and supplementary component data relative to data collected through a similar physical teardown or other catalog teardown to determine the major physical differences between a product that has been physically disassembled and another similar product for which catalog data are available. The objective of both approaches is to build a "bottom-up" manufacturing cost assessment based on a detailed bill of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teardowns, DOE generated a bill of materials (BOM) for each unit in the database. The BOM lists all required components and manufacturing steps to describe the product manufacturing in detail. DOE then used the BOM data as inputs to develop a cost model that calculates the MPC for each unit based on its detailed BOM. For split-system air conditioners and heat pumps, DOE generated split-system MPCs by adding the MPC of indoor and outdoor units for matches listed in the AHRI Directory.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used the cost model outputs to generate marketshare-weighted cost-efficiency relationships for each representative capacity of each product class. The resulting cost-efficiency relationships were used in the downstream analyses and are presented in section IV.C.4.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product classes other than split-systems--single-package, space-constrained, and small-duct high-velocity--the methodology for calculating MPCs at each efficiency level matched the methodology used in the August 2015 NODA analysis with updated material prices and based on efficiency levels defined by the DOE test procedure at the time of the CAC/HP Working Group Meetings. The results are also tabulated in section IV.C.4.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Tabulated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market-weighted cost-efficiency relationships for central air conditioners and heat pumps are shown in Table IV.3 through Table IV.15. DOE used these results as inputs for the LCC and payback period analyses.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IV-2--Manufacturer Production Costs for Two-Ton Split-System AC Blower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Coil($ 2015)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$ 690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Efficiency level at which designs are assumed to switch from single speed compressors to two-stage compressors for the remaining higher efficiency levels. </w:t>
      </w:r>
      <w:r>
        <w:rPr>
          <w:rFonts w:ascii="arial" w:eastAsia="arial" w:hAnsi="arial" w:cs="arial"/>
          <w:b/>
          <w:i w:val="0"/>
          <w:strike w:val="0"/>
          <w:noProof w:val="0"/>
          <w:color w:val="000000"/>
          <w:position w:val="0"/>
          <w:sz w:val="20"/>
          <w:u w:val="none"/>
          <w:vertAlign w:val="baseline"/>
        </w:rPr>
        <w:t> [*1810]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IV-3--Manufacturer Production Costs for Three-Ton Split-System AC</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Blower Coil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Efficiency level at which designs are assumed to switch from single speed compressors to two-stage compressors for the remaining higher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IV-4--Manufacturer Production Costs for Five-Ton Split-System AC Blower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Coil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Efficiency level at which designs are assumed to switch from single speed compressors to two-stage compressors for the remaining higher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IV-5--Manufacturer Production Costs for Two-Ton Split-System AC</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Coil-Only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Efficiency level at which designs are assumed to switch from single speed compressors to two-stage compressors for the remaining higher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IV-6--Manufacturer Production Costs for Three-Ton Split-System AC</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Coil-Only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Efficiency level at which designs are assumed to switch from single speed compressors to two-stage compressors for the remaining higher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IV-7--Manufacturer Production Costs for Five-Ton Split-System AC</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Coil-Only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Efficiency level at which designs are assumed to switch from single speed compressors to two-stage compressors for the remaining higher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IV-8--Manufacturer Production Costs for Two-Ton Split-System HP</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$ 881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Efficiency level at which designs are assumed to switch from single speed compressors to two-stage compressors for the remaining higher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IV-9--Manufacturer Production Costs for Three-Ton Split-System HP</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Efficiency level at which designs are assumed to switch from single speed compressors to two-stage compressors for the remaining higher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IV-10--Manufacturer Production Costs for Five-Ton Split-System HP</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Efficiency level at which designs are assumed to switch from single speed compressors to two-stage compressors for the remaining higher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IV-11--Manufacturer Production Costs for Three-Ton Single-Package AC</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IV-12--Manufacturer Production Costs for Three-Ton Single-Package HP</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IV-13--Manufacturer Production Costs for Space-Constrained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IV-14--Manufacturer Production Costs for SDHV</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$ 1,334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manufacturer selling price (MSP) for central air conditioners and heat pumps by multiplying the MPC at each efficiency level (determined from the cost model) by the manufacturer markup (to account for non-production costs and profit) and adding the product shipping costs at the given efficiency level. The MSP is the price at which the manufacturer can recover all production and non-production costs and earn a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manufacturer markup based on publicly available financial information for manufacturers of residential central air conditioners and heat pumps as well as comments from manufacturer interviews. DOE assumed the average manufacturer markup--which includes SG&amp;A expenses, R&amp;D expenses, interest expenses, and profit--to be 1.34 for split-system air conditioners, 1.35 for split-system heat pumps, and 1.32 for single-package air conditioners and single-package heat pumps. Further details on manufacturer markups can be found in section IV.J and in chapter 12 of the direct final rule TSD. </w:t>
      </w:r>
      <w:r>
        <w:rPr>
          <w:rFonts w:ascii="arial" w:eastAsia="arial" w:hAnsi="arial" w:cs="arial"/>
          <w:b/>
          <w:i w:val="0"/>
          <w:strike w:val="0"/>
          <w:noProof w:val="0"/>
          <w:color w:val="000000"/>
          <w:position w:val="0"/>
          <w:sz w:val="20"/>
          <w:u w:val="none"/>
          <w:vertAlign w:val="baseline"/>
        </w:rPr>
        <w:t> [*1813]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of HVAC products typically pay for the freight (shipping) to the first step in the distribution chain. Freight is not a manufacturing cost, but because it is a substantial cost incurred by the manufacturer, DOE accounts for shipping costs separately from other non-production costs that comprise the manufacturer markup. DOE calculated shipping costs at each efficiency level based on a typical 53-foot straight-frame trailer with a storage volume of roughly 4,000 cubic feet. See chapter 5 of the direct final rule TSD for more details about the methodology DOE used to determine the shipping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distribution channel markups and sales taxes (where appropriate) to convert the manufacturer selling cost estimates from the engineering analysis to consumer prices, which are then used in the LCC, PBP, and the manufacturer impact analyses. The markups are multipliers that are applied to the purchase cost at each stage in the distribution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characterized two distribution channels to describe how central air conditioners and heat pumps pass from manufacturers to residential consumers: replacement market and new construction. The replacement market channel is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Wholesaler --&gt; Mechanical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construction distribution channel is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Wholesaler --&gt; Mechanical contractor --&gt; General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markups for the parties involved in the distribution of the product, DOE utilized several sources, including: (1) The Heating, Air-Conditioning &amp; Refrigeration Distributors International (HARDI) 2013 Profit Report n38 (to develop wholesaler markups); (2) the Air Conditioning Contractors of America's (ACCA) 2005 financial analysis on the heating, ventilation, air-conditioning, and refrigeration (HVACR) contracting industry n39 (to develop mechanical contractor markups); and (3) U.S. Census Bureau 2007 Economic Census data n40 on the residential and commercial building construction industry (to develop general contractor markups).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Heating, Air Conditioning &amp; Refrigeration Distributors International 2013 Profit Report, available at </w:t>
      </w:r>
      <w:hyperlink r:id="rId56" w:history="1">
        <w:r>
          <w:rPr>
            <w:rFonts w:ascii="arial" w:eastAsia="arial" w:hAnsi="arial" w:cs="arial"/>
            <w:b w:val="0"/>
            <w:i/>
            <w:strike w:val="0"/>
            <w:noProof w:val="0"/>
            <w:color w:val="0077CC"/>
            <w:position w:val="0"/>
            <w:sz w:val="20"/>
            <w:u w:val="single"/>
            <w:vertAlign w:val="baseline"/>
          </w:rPr>
          <w:t>http://www.hardinet.org/Profit-Report</w:t>
        </w:r>
      </w:hyperlink>
      <w:r>
        <w:rPr>
          <w:rFonts w:ascii="arial" w:eastAsia="arial" w:hAnsi="arial" w:cs="arial"/>
          <w:b w:val="0"/>
          <w:i w:val="0"/>
          <w:strike w:val="0"/>
          <w:noProof w:val="0"/>
          <w:color w:val="000000"/>
          <w:position w:val="0"/>
          <w:sz w:val="20"/>
          <w:u w:val="none"/>
          <w:vertAlign w:val="baseline"/>
        </w:rPr>
        <w:t xml:space="preserve"> (last accessed Aug. 19,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Air Conditioning Contractors of America (ACCA), Financial Analysis for the HVACR Contracting Industry (2005), available at </w:t>
      </w:r>
      <w:hyperlink r:id="rId57" w:history="1">
        <w:r>
          <w:rPr>
            <w:rFonts w:ascii="arial" w:eastAsia="arial" w:hAnsi="arial" w:cs="arial"/>
            <w:b w:val="0"/>
            <w:i/>
            <w:strike w:val="0"/>
            <w:noProof w:val="0"/>
            <w:color w:val="0077CC"/>
            <w:position w:val="0"/>
            <w:sz w:val="20"/>
            <w:u w:val="single"/>
            <w:vertAlign w:val="baseline"/>
          </w:rPr>
          <w:t>http://www.acca.org/store/</w:t>
        </w:r>
      </w:hyperlink>
      <w:r>
        <w:rPr>
          <w:rFonts w:ascii="arial" w:eastAsia="arial" w:hAnsi="arial" w:cs="arial"/>
          <w:b w:val="0"/>
          <w:i w:val="0"/>
          <w:strike w:val="0"/>
          <w:noProof w:val="0"/>
          <w:color w:val="000000"/>
          <w:position w:val="0"/>
          <w:sz w:val="20"/>
          <w:u w:val="none"/>
          <w:vertAlign w:val="baseline"/>
        </w:rPr>
        <w:t xml:space="preserve"> (last accessed Aug. 19,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U.S. Census Bureau, 2007 Economic Census Data, available at: </w:t>
      </w:r>
      <w:hyperlink r:id="rId58" w:history="1">
        <w:r>
          <w:rPr>
            <w:rFonts w:ascii="arial" w:eastAsia="arial" w:hAnsi="arial" w:cs="arial"/>
            <w:b w:val="0"/>
            <w:i/>
            <w:strike w:val="0"/>
            <w:noProof w:val="0"/>
            <w:color w:val="0077CC"/>
            <w:position w:val="0"/>
            <w:sz w:val="20"/>
            <w:u w:val="single"/>
            <w:vertAlign w:val="baseline"/>
          </w:rPr>
          <w:t>http://www.census.gov/econ/</w:t>
        </w:r>
      </w:hyperlink>
      <w:r>
        <w:rPr>
          <w:rFonts w:ascii="arial" w:eastAsia="arial" w:hAnsi="arial" w:cs="arial"/>
          <w:b w:val="0"/>
          <w:i w:val="0"/>
          <w:strike w:val="0"/>
          <w:noProof w:val="0"/>
          <w:color w:val="000000"/>
          <w:position w:val="0"/>
          <w:sz w:val="20"/>
          <w:u w:val="none"/>
          <w:vertAlign w:val="baseline"/>
        </w:rPr>
        <w:t xml:space="preserve"> (last accessed April 10,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wholesalers and contractors, DOE developed baseline and incremental markups based on the product markups at each step in the distribution chain. The baseline markup relates the change in the manufacturer selling price of baseline models to the change in the consumer purchase price. The incremental markup relates the change in the manufacturer selling price of higher-efficiency models (the incremental cost increase) to the change in the consumer purchase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n41 These data represent weighted average taxes that include county and city rates. DOE derived shipment-weighted average tax values for each region considered in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Sales Tax Clearinghouse Inc., State Sales Tax Rates Along with Combined Average City and County Rates (2014) available at </w:t>
      </w:r>
      <w:hyperlink r:id="rId59"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 xml:space="preserve"> (last accessed January,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direct final rule TSD provides further detail on the estimation of markups.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assess the energy requirements of residential central air conditioners and heat pumps at different efficiencies in representative U.S. single-family homes and multi-family residences, and to assess the energy savings potential of increased product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annual energy consumption of central air conditioners and heat pumps at specified energy efficiency levels across a range of climate zones, building characteristics, and cooling applications. DOE's analysis estimated the energy use of central air conditioners and heat pumps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as they are actually used by consumers). In contrast to the DOE test procedure, which provides standardized results that can serve as the basis for comparing the performance of different appliances used under the same conditions, the energy use analysis seeks to capture the range of operating conditions for central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analysis of the recommended TSL, DOE applied a higher HSPF value to split-system heat pumps than indicated by the SEER and HSPF correlations discussed in section IV.C.2. The higher value, 8.8 HSPF, was recommended by the CAC/HP Working Group. At Efficiency Level 2, the recommended TSL for split-system heat pumps, the HSPF should be 8.5 rather than the recommended value of 8.8. Since increasing the HSPF increases the heating efficiency of the equipment, additional energy savings are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also noted in section IV.C.2, DOE did not analyze EER-based efficiency levels in the engineering analysis. DOE also did not analyze the impact of EER on energy consumption or on life-cycle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November 2014 RFI, DOE requested comment on whether it should analyze the use of central air conditioners and heat pumps in commercial buildings in the residential central air conditioning rulemaking. AHRI and Southern Co. commented that they did not recommend considering commercially-used equipment because central air conditioners are not utilized significantly in commercial buildings. (AHRI, No. 13 at p. 4; Southern Co., No. 11 at p. 2) Rheem stated that commercial applications of residential equipment are less than 5 percent of the market, which would not be a significant enough percentage of the market to warrant special consideration of the application in the analysis for this rulemaking. (Rheem, No. 17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presented to the CAC/HP Working Group, DOE did not consider commercial-sector applications of residential central air conditioners and heat pumps because these represent a very small share of the overall market. n42 (ASRAC Public Meeting, No. 89 at pp. 7-14)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EIA's Commercial Building Energy Consumption Surveys from 1992, 1995, 1999, and 2003 indicate that the fraction of commercial buildings with a residential central air conditioner or heat pump unit ranges from 1.2 to 2.1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field energy use of residential central air conditioners and heat pumps used in homes, DOE used a subset of 7,283 households using a central air conditioner or heat pump from the Energy Information Administration's (EIA) 2009 Residential Energy Consumption Survey (RECS 2009). n43 These households represent 60 percent of the weighted households in the U.S. The 153 RECS households that also had a room air conditioner, representing two percent of all weighted households with a central air conditioner, were not included. The RECS data provide information on the age of the home, the number of square </w:t>
      </w:r>
      <w:r>
        <w:rPr>
          <w:rFonts w:ascii="arial" w:eastAsia="arial" w:hAnsi="arial" w:cs="arial"/>
          <w:b/>
          <w:i w:val="0"/>
          <w:strike w:val="0"/>
          <w:noProof w:val="0"/>
          <w:color w:val="000000"/>
          <w:position w:val="0"/>
          <w:sz w:val="20"/>
          <w:u w:val="none"/>
          <w:vertAlign w:val="baseline"/>
        </w:rPr>
        <w:t> [*1814] </w:t>
      </w:r>
      <w:r>
        <w:rPr>
          <w:rFonts w:ascii="arial" w:eastAsia="arial" w:hAnsi="arial" w:cs="arial"/>
          <w:b w:val="0"/>
          <w:i w:val="0"/>
          <w:strike w:val="0"/>
          <w:noProof w:val="0"/>
          <w:color w:val="000000"/>
          <w:position w:val="0"/>
          <w:sz w:val="20"/>
          <w:u w:val="none"/>
          <w:vertAlign w:val="baseline"/>
        </w:rPr>
        <w:t xml:space="preserve"> feet that are cooled, the age of its cooling equipment, and the 2009 cooling and heating energy use for each household. DOE used the household samples not only to determine annual central air conditioner or heat pump energy consumption, but also as the basis for conducting the LCC and PBP analysis. DOE projected household weights, building characteristics (such as thermal shell efficiency and square footage), and cooling degree days (CDD) in 2021, the first full year of compliance with any amended energy conservation standards for central air conditioners and heat pumps. To characterize new homes in 2021, DOE used a subset of homes that were built after 1994; these new homes represent 23 percent of the homes with central air conditioners, and 45 percent of the homes with heat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U.S. Department of Energy: Energy Information Administration, Residential Energy Consumption Survey: 2009 RECS Survey Data (2013), available at: </w:t>
      </w:r>
      <w:hyperlink r:id="rId60"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 xml:space="preserve"> (last accessed July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RECS does not provide information on the type of central air conditioner or heat pump, its capacity, or the number of units installed (in particularly hot or humid locations more than one central air conditioner/heat pump unit may be installed in a home). DOE assigned the number and capacity of central air conditioner/heat pump unit(s) based on the assumption of one ton of cooling capacity installed per 500 square feet of cooled floor space. For homes with more than one story and an estimated cooling capacity of between 3 and 5 tons, DOE assigned a 2-ton and a 3-ton unit, under the assumption that home owners installed a second unit to provide separate thermostatic control for each floor. For households with estimated cooling capacity between 5 and 8 tons, DOE assigned a 3-ton and a 5-ton unit, regardless of the number of stories. These assumptions resulted in a distribution of national central air conditioner/heat pump by capacity very similar to that of AHRI shipment data from 2007 to 2013 (30 percent 2-ton, 39 percent 3-ton, and 32 percent 5-ton). DOE's assignment method resulted in just over one-quarter of households having at least two central air conditioner/heat pump units installed, with one RECS household (representing 33,000 national households) assigned five 5-ton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single-package central air conditioners and heat pumps, DOE only used RECS households with 3-ton and 5-ton units because single-package equipment is concentrated in these sizes. To analyze space-constrained central air conditioners, DOE only used RECS multi-family households with air conditioning because this equipment is targeted for multi-family applications. To analyze small-duct high-velocity air conditioners, DOE only used RECS single-family detached homes sized with cooling requirements of 3-tons because this equipment is targeted for single-family residences with moderate cooling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annual energy consumption of central air conditioners and heat pumps meeting the considered efficiency levels, DOE first estimated the SEER of the existing equipment based on its age and the average SEER of new central air conditioner/heat pump shipments by year from AHRI data. For heat pumps, the HSPF of the existing equipment was based on the SEER-HSPF correlation developed in the Engineering Analysis and described in section IV.C.2.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sampled household, DOE adjusted the energy use estimated for 2009 to "normal" weather by using ten-year CDD and HDD data for each geographical region. n44 As 2009 was a relatively cool year, these adjustments increased CDD on average by eleven percent and decreased HDD on average by five percent. DOE also accounted for the change in climate based on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projections of CDD. n45 This adjustment results in the national average building cooling load increasing nine percent and the national average building heating decreasing five percent from 2014 to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National Oceanic and Atmospheric Administration, NNDC Climate Data Online (2014), available at </w:t>
      </w:r>
      <w:hyperlink r:id="rId61" w:history="1">
        <w:r>
          <w:rPr>
            <w:rFonts w:ascii="arial" w:eastAsia="arial" w:hAnsi="arial" w:cs="arial"/>
            <w:b w:val="0"/>
            <w:i/>
            <w:strike w:val="0"/>
            <w:noProof w:val="0"/>
            <w:color w:val="0077CC"/>
            <w:position w:val="0"/>
            <w:sz w:val="20"/>
            <w:u w:val="single"/>
            <w:vertAlign w:val="baseline"/>
          </w:rPr>
          <w:t>http://www7.ncdc.noaa.gov/CDO/CDODivisionalSelect.jsp</w:t>
        </w:r>
      </w:hyperlink>
      <w:r>
        <w:rPr>
          <w:rFonts w:ascii="arial" w:eastAsia="arial" w:hAnsi="arial" w:cs="arial"/>
          <w:b w:val="0"/>
          <w:i w:val="0"/>
          <w:strike w:val="0"/>
          <w:noProof w:val="0"/>
          <w:color w:val="000000"/>
          <w:position w:val="0"/>
          <w:sz w:val="20"/>
          <w:u w:val="none"/>
          <w:vertAlign w:val="baseline"/>
        </w:rPr>
        <w:t xml:space="preserve"> (last accessed July 29,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U.S. Department of Energy, Energy Information Administration,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available at </w:t>
      </w:r>
      <w:hyperlink r:id="rId62"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Projections of degree days are informed by a 30-year linear trend of each state's degree days, which are then population-weighted to the Census division level. In this way, the projection accounts for projected population migrations across the nation and continues any realized historical changes in degree days at the state level. The LCC and PBP analysis uses the climate projected for 2021 for all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accounted for change in building shell characteristics and building size (square footage) between 2009 and 2021 by applying separate building shell indexes for existing and new homes in the National Energy Modeling System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The indexes consider projected improvements in building thermal efficiency due to improvement in home insulation and other thermal efficiency practices, as well as projected increases in square footage of new homes. Application of the index results in three percent lower building cooling load for all homes, but one percent higher building cooling load for new homes, between 2009 and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 housing unit, DOE estimated the cooling load, and heating load for heat pumps, in 2021 by multiplying the estimated cooling and heating energy use in 2021 by the SEER and HSPF of the existing central air conditioner or heat pump. The 2021 cooling and heating loads are then used to estimate the energy use from replacing the existing equipment with new central air conditioner or heat pump units conforming to higher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direct final rule TSD provides further detail on the general approach to the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Split-System Central Air Conditioner: Blower-Coil to Coil-Only Efficiency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 DOE had intended to rate and certify split-system central air conditioners based on a blower-coil configuration. However, the CAC/HP Working Group recommended that DOE adopt an approach, similar to the current one, of rating and certifying split-system central air conditioners based on any configuration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coil-only or blower-coil). (ASRAC Term Sheet, No. 76 at p. 4) As a result, the energy use analysis no longer had to address the field installation of split-system blower coil central air conditioners as coil-only units. In its analysis, DOE analyzed coil-only and blower coil split-system central air conditioners independently.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Split-System Central Air Conditioner: Coil-Only Efficiency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Coil-only central air conditioner installations consist of the condensing unit and an evaporative coil. For rating purposes, a default fan power consumption is applied to determine the SEER. In the June 8, 2016 test procedure final rule, DOE designated the default fan power for the rating of coil-only central air conditioner split-systems to be 365 Watts per CFM, which is equivalent to a furnace fan using a permanent split capacitor (PSC) motor. Because the energy use analysis had to account for the actual furnace fan in the existing house to properly represent the rated SEER of the coil-only central air conditioner installation, DOE developed "factory-to-field" adjustment factors to convert the coil-only rated SEER to a coil-only "field SEER".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develop such factors, DOE used a furnace fan-motor mix of 77-percent PSC, 9-percent constant torque brushless permanent magnet (CT-BPM), and 15-percent constant speed brushless permanent magnet (CS-BPM). The above furnace fan mix is based on data developed for DOE's furnace fan </w:t>
      </w:r>
      <w:r>
        <w:rPr>
          <w:rFonts w:ascii="arial" w:eastAsia="arial" w:hAnsi="arial" w:cs="arial"/>
          <w:b/>
          <w:i w:val="0"/>
          <w:strike w:val="0"/>
          <w:noProof w:val="0"/>
          <w:color w:val="000000"/>
          <w:position w:val="0"/>
          <w:sz w:val="20"/>
          <w:u w:val="none"/>
          <w:vertAlign w:val="baseline"/>
        </w:rPr>
        <w:t> [*1815] </w:t>
      </w:r>
      <w:r>
        <w:rPr>
          <w:rFonts w:ascii="arial" w:eastAsia="arial" w:hAnsi="arial" w:cs="arial"/>
          <w:b w:val="0"/>
          <w:i w:val="0"/>
          <w:strike w:val="0"/>
          <w:noProof w:val="0"/>
          <w:color w:val="000000"/>
          <w:position w:val="0"/>
          <w:sz w:val="20"/>
          <w:u w:val="none"/>
          <w:vertAlign w:val="baseline"/>
        </w:rPr>
        <w:t xml:space="preserve"> standards rulemaking, and characterizes furnace fan types in the housing stock in 2021 (the expected first full year of compliance with any amended central air conditioner efficiency standards). </w:t>
      </w:r>
      <w:hyperlink r:id="rId63" w:history="1">
        <w:r>
          <w:rPr>
            <w:rFonts w:ascii="arial" w:eastAsia="arial" w:hAnsi="arial" w:cs="arial"/>
            <w:b w:val="0"/>
            <w:i/>
            <w:strike w:val="0"/>
            <w:noProof w:val="0"/>
            <w:color w:val="0077CC"/>
            <w:position w:val="0"/>
            <w:sz w:val="20"/>
            <w:u w:val="single"/>
            <w:vertAlign w:val="baseline"/>
          </w:rPr>
          <w:t>79 FR 38129</w:t>
        </w:r>
      </w:hyperlink>
      <w:r>
        <w:rPr>
          <w:rFonts w:ascii="arial" w:eastAsia="arial" w:hAnsi="arial" w:cs="arial"/>
          <w:b w:val="0"/>
          <w:i w:val="0"/>
          <w:strike w:val="0"/>
          <w:noProof w:val="0"/>
          <w:color w:val="000000"/>
          <w:position w:val="0"/>
          <w:sz w:val="20"/>
          <w:u w:val="none"/>
          <w:vertAlign w:val="baseline"/>
        </w:rPr>
        <w:t xml:space="preserve"> (July 3, 2014). This furnace fan mix was used in the energy use analysis to specify the furnace fan types in the housing stock that use both a central air conditioner and a furnace to space-condition the home. The furnace fan mix was characterized as a custom probability distribution and each of the furnace fan types was probabilistically assigned to RECS households that utilized a central air conditioner and furnace.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assignment of the furnace fan type to the RECS household, the "factory-to-field" adjustment factor was applied to convert the rated SEER to a "field SEER." The "factory-to-field" adjustment factors were developed as a function of the coil-only rated SEER; the central air conditioner cooling capacity; and the type of furnace fan in the existing household. For example, in the case of a 3-ton coil-only central air conditioner unit with a rated SEER of 15 utilizing a PSC indoor blower-motor, if the unit was installed as a coil-only unit into a household with a CT-BPM furnace fan, then the "factory-to-field" adjustment factor accounted for the reduction in fan power associated with utilizing a CT-BPM indoor blower-motor instead of a PSC furnace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IV-15 shows the "factory-to-field" adjustment factors for converting coil-only rated SEER to a coil-only "field SEER." Appendix 7E of the direct final rule TSD provides details on exactly how the "factory-to-field" adjustment factors were determined.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IV-15--"Factory-to-Field" Adjustment Factors to Convert Coil-Only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Air Conditioner Rated SEER to Coil-Only "Field SEER"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of central air conditioner and the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 fan type in the existing household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2-ton</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3-ton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Coil-only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PSC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CT-BPM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CS-BPM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PSC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CT-BPM</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CS-BPM</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 SEER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IV-15--"Factory-to-Field" Adjustment</w:t>
            </w:r>
          </w:p>
        </w:tc>
      </w:tr>
      <w:tr>
        <w:tblPrEx>
          <w:tblW w:w="0" w:type="auto"/>
          <w:jc w:val="center"/>
          <w:tblLayout w:type="fixed"/>
          <w:tblCellMar>
            <w:left w:w="108" w:type="dxa"/>
            <w:right w:w="108" w:type="dxa"/>
          </w:tblCellMar>
        </w:tblPrEx>
        <w:trPr>
          <w:tblHeader/>
          <w:jc w:val="center"/>
        </w:trPr>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Factors to Convert Coil-Only Central Air</w:t>
            </w:r>
          </w:p>
        </w:tc>
      </w:tr>
      <w:tr>
        <w:tblPrEx>
          <w:tblW w:w="0" w:type="auto"/>
          <w:jc w:val="center"/>
          <w:tblLayout w:type="fixed"/>
          <w:tblCellMar>
            <w:left w:w="108" w:type="dxa"/>
            <w:right w:w="108" w:type="dxa"/>
          </w:tblCellMar>
        </w:tblPrEx>
        <w:trPr>
          <w:tblHeader/>
          <w:jc w:val="center"/>
        </w:trPr>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 Rated SEER to Coil-Only</w:t>
            </w:r>
          </w:p>
        </w:tc>
      </w:tr>
      <w:tr>
        <w:tblPrEx>
          <w:tblW w:w="0" w:type="auto"/>
          <w:jc w:val="center"/>
          <w:tblLayout w:type="fixed"/>
          <w:tblCellMar>
            <w:left w:w="108" w:type="dxa"/>
            <w:right w:w="108" w:type="dxa"/>
          </w:tblCellMar>
        </w:tblPrEx>
        <w:trPr>
          <w:tblHeader/>
          <w:jc w:val="center"/>
        </w:trPr>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"Field SEER"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of central air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 and the furnace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fan type in the existing household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5-ton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Coil-only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PSC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CT-BPM</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CS-BPM</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rated SEER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Split-System Central Air Conditioner: Coil-Only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August 2015 NODA, the analysis assumed that coil-only installations would consist of a new condensing unit and a new evaporative coil utilizing the blower of the furnace. Data presented to the CAC/HP Working Group by AHRI showed that there are far more shipments of condensing units than evaporative coils, indicating that new condensing units are not always paired with a new evaporative coil, and instead some installations use the existing evaporative coil. The AHRI data suggested that approximately 25 percent of installations use the existing evaporative coil. (ASRAC Public Meeting, No. 88 at pp. 175-214)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analysis for this DFR, DOE assumed that 25 percent of coil-only installations use the existing evaporative coil. Based on a characterization of the stock of evaporative coils, DOE assumed that 25 percent of the existing evaporative coils are from a system rated at 10 SEER (the efficiency standard effective in 1992) and 75 percent are from a system rated at 13 SEER (the efficiency standard effective in 2006). The analysis paired a new condensing unit at each considered efficiency level with an evaporative coil at either 10 or 13 SEER, so the system efficiency is less than would be the case with a new evaporative coil. DOE used an equipment simulation model, the DOE/Oak Ridge National Laboratory (ORNL) Heat Pump Design Model, Mark VI version, n46 along with a manufacturer's central air conditioner system specifications, to estimate the resulting system efficiency. Appendix 7G of the DFR TSD provides details of the analysis, which were also presented to the CAC/HP Working Group. (ASRAC Public Meeting, No. 84 at pp. 59-61) Because 25 percent of coil-only installations use the existing (lower-efficiency) evaporative coil, the overall average energy use of split-system central air conditioners is higher in the DFR analysis than in the August 2015 NODA. (ASRAC Public Meeting, No. 88 at pp. 175-214)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DOE/ORNL Heat Pump Design Model, Mark VI Version. </w:t>
      </w:r>
      <w:hyperlink r:id="rId64" w:history="1">
        <w:r>
          <w:rPr>
            <w:rFonts w:ascii="arial" w:eastAsia="arial" w:hAnsi="arial" w:cs="arial"/>
            <w:b w:val="0"/>
            <w:i/>
            <w:strike w:val="0"/>
            <w:noProof w:val="0"/>
            <w:color w:val="0077CC"/>
            <w:position w:val="0"/>
            <w:sz w:val="20"/>
            <w:u w:val="single"/>
            <w:vertAlign w:val="baseline"/>
          </w:rPr>
          <w:t>http://web.ornl.gov/</w:t>
        </w:r>
      </w:hyperlink>
      <w:r>
        <w:rPr>
          <w:rFonts w:ascii="arial" w:eastAsia="arial" w:hAnsi="arial" w:cs="arial"/>
          <w:b w:val="0"/>
          <w:i/>
          <w:strike w:val="0"/>
          <w:noProof w:val="0"/>
          <w:color w:val="000000"/>
          <w:position w:val="0"/>
          <w:sz w:val="20"/>
          <w:u w:val="none"/>
          <w:vertAlign w:val="baseline"/>
        </w:rPr>
        <w:t xml:space="preserve"> [approx.] wlj/hpdm/MarkVI.shtml.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Fan Energy Use During Continuous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SEER and HSPF efficiency metrics account for fan energy use to provide space cooling and space heating, respectively. These metrics do not account for fan energy use in continuous operation. n47 As noted above in section IV.E.3, DOE published a final rule that established energy conservation standards for residential furnace fans. Products addressed in the final rule include furnace fans used in weatherized and non-weatherized gas furnaces, oil furnaces, electric furnaces, and modular blowers, which included capturing the energy use of these products in continuous operation. The rule does not cover furnace fans used in blower-coil indoor units of split-system central air conditioners and heat pumps of any type. n48 As noted above in section IV.E.3, coil-only split-system air conditioners are coupled with non-weatherized furnaces and, as a result, the continuous operation of the fan was already accounted for in the furnace fan final rule. The continuous operation of the fan for single-package air </w:t>
      </w:r>
      <w:r>
        <w:rPr>
          <w:rFonts w:ascii="arial" w:eastAsia="arial" w:hAnsi="arial" w:cs="arial"/>
          <w:b/>
          <w:i w:val="0"/>
          <w:strike w:val="0"/>
          <w:noProof w:val="0"/>
          <w:color w:val="000000"/>
          <w:position w:val="0"/>
          <w:sz w:val="20"/>
          <w:u w:val="none"/>
          <w:vertAlign w:val="baseline"/>
        </w:rPr>
        <w:t> [*1816] </w:t>
      </w:r>
      <w:r>
        <w:rPr>
          <w:rFonts w:ascii="arial" w:eastAsia="arial" w:hAnsi="arial" w:cs="arial"/>
          <w:b w:val="0"/>
          <w:i w:val="0"/>
          <w:strike w:val="0"/>
          <w:noProof w:val="0"/>
          <w:color w:val="000000"/>
          <w:position w:val="0"/>
          <w:sz w:val="20"/>
          <w:u w:val="none"/>
          <w:vertAlign w:val="baseline"/>
        </w:rPr>
        <w:t xml:space="preserve"> conditioners was also already accounted for in the furnace fan final rule as these products are sold within a single package that includes a weatherized furnace. Therefore, DOE needed to account for fan energy use in continuous operation for the following product classes: Split-system central air conditioner product class in a blower coil configuration, split-system heat pumps, single-package heat pumps, and small duct high velocity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Continuous operation is used in homes that require mechanical ventilation because are infiltration is very 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Reference to Technical Support Document for Residential Furnace Fans Energy Conservation Standard, Chapter 3 Market and Technology Assessment: </w:t>
      </w:r>
      <w:hyperlink r:id="rId31" w:history="1">
        <w:r>
          <w:rPr>
            <w:rFonts w:ascii="arial" w:eastAsia="arial" w:hAnsi="arial" w:cs="arial"/>
            <w:b w:val="0"/>
            <w:i/>
            <w:strike w:val="0"/>
            <w:noProof w:val="0"/>
            <w:color w:val="0077CC"/>
            <w:position w:val="0"/>
            <w:sz w:val="20"/>
            <w:u w:val="single"/>
            <w:vertAlign w:val="baseline"/>
          </w:rPr>
          <w:t>http://www.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;D=EERE-2010-BT-STD-0011-0111.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accomplish the accounting of continuous fan operation, DOE relied on inputs from the rulemaking for furnace fans. Specifically, DOE used the wattage reduction from certain fan technologies, the hours of operation in continuous mode for households that use that mode, and the fraction of households that require such continuous operation. n49 The engineering analysis specifies the fan technologies that are associated with specific SEER and HSPF efficiency levels, allowing for calculation of the fan energy savings in continuous operation at each level for split-system and package heat pumps and split-system central air conditioners in a blower coil configuration. Further details are given in chapter 7 of the DFR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Technical Support Document: Energy Efficiency Program for Consumer Products and Commercial and Industrial Equipment: Residential Furnace Fans. U.S. Department of Energy. Washington DC. June 2014. Chapter 7. </w:t>
      </w:r>
      <w:hyperlink r:id="rId65" w:history="1">
        <w:r>
          <w:rPr>
            <w:rFonts w:ascii="arial" w:eastAsia="arial" w:hAnsi="arial" w:cs="arial"/>
            <w:b w:val="0"/>
            <w:i/>
            <w:strike w:val="0"/>
            <w:noProof w:val="0"/>
            <w:color w:val="0077CC"/>
            <w:position w:val="0"/>
            <w:sz w:val="20"/>
            <w:u w:val="single"/>
            <w:vertAlign w:val="baseline"/>
          </w:rPr>
          <w:t>https://www.</w:t>
        </w:r>
      </w:hyperlink>
      <w:hyperlink r:id="rId65" w:history="1">
        <w:r>
          <w:rPr>
            <w:rFonts w:ascii="arial" w:eastAsia="arial" w:hAnsi="arial" w:cs="arial"/>
            <w:b/>
            <w:i/>
            <w:strike w:val="0"/>
            <w:noProof w:val="0"/>
            <w:color w:val="0077CC"/>
            <w:position w:val="0"/>
            <w:sz w:val="20"/>
            <w:u w:val="single"/>
            <w:vertAlign w:val="baseline"/>
          </w:rPr>
          <w:t>regulations</w:t>
        </w:r>
      </w:hyperlink>
      <w:hyperlink r:id="rId6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;D=EERE-2010-BT-STD-0011-0111.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Higher-efficiency central air conditioners and heat pumps can reduce the operating costs for a consumer, which DOE understands could lead to greater use of the product. A direct rebound effect occurs when a piece of equipment that is made more efficient is used more intensively, such that the expected energy savings from the efficiency improvement may not fully materialize. In this DFR analysis, DOE examined a 2009 review of empirical estimates of the rebound effect for various energy-using products. n50 However, the review contained relatively few estimates of the direct rebound effect for household cooling. The two studies discussed in the review were old studies (from 1978 and 1981), conducted during a period of rising energy prices and using small sample sizes. One shows a short-run rebound effect of 4 percent, n51 while the other reported a wide range of 1-26 percent. n52 In the NOPR for residential furnaces, DOE chose to use a rebound effect of 15 percent, which is roughly in the center of the range reported for household cooling. </w:t>
      </w:r>
      <w:hyperlink r:id="rId66" w:history="1">
        <w:r>
          <w:rPr>
            <w:rFonts w:ascii="arial" w:eastAsia="arial" w:hAnsi="arial" w:cs="arial"/>
            <w:b w:val="0"/>
            <w:i/>
            <w:strike w:val="0"/>
            <w:noProof w:val="0"/>
            <w:color w:val="0077CC"/>
            <w:position w:val="0"/>
            <w:sz w:val="20"/>
            <w:u w:val="single"/>
            <w:vertAlign w:val="baseline"/>
          </w:rPr>
          <w:t>80 FR 13120, 13148</w:t>
        </w:r>
      </w:hyperlink>
      <w:r>
        <w:rPr>
          <w:rFonts w:ascii="arial" w:eastAsia="arial" w:hAnsi="arial" w:cs="arial"/>
          <w:b w:val="0"/>
          <w:i w:val="0"/>
          <w:strike w:val="0"/>
          <w:noProof w:val="0"/>
          <w:color w:val="000000"/>
          <w:position w:val="0"/>
          <w:sz w:val="20"/>
          <w:u w:val="none"/>
          <w:vertAlign w:val="baseline"/>
        </w:rPr>
        <w:t xml:space="preserve"> (May 12, 2015). For consistency, DOE used a rebound effect of 15 percent for central air conditioner and heat pump when counting energy savings in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 Sorrell, J. Dimitropoulos, and M. Sommerville, 2009. Empirical Estimates of the Direct Rebound Effect: A Review. 37 </w:t>
      </w:r>
      <w:r>
        <w:rPr>
          <w:rFonts w:ascii="arial" w:eastAsia="arial" w:hAnsi="arial" w:cs="arial"/>
          <w:b w:val="0"/>
          <w:i/>
          <w:strike w:val="0"/>
          <w:noProof w:val="0"/>
          <w:color w:val="000000"/>
          <w:position w:val="0"/>
          <w:sz w:val="20"/>
          <w:u w:val="none"/>
          <w:vertAlign w:val="baseline"/>
        </w:rPr>
        <w:t>Energy Policy</w:t>
      </w:r>
      <w:r>
        <w:rPr>
          <w:rFonts w:ascii="arial" w:eastAsia="arial" w:hAnsi="arial" w:cs="arial"/>
          <w:b w:val="0"/>
          <w:i w:val="0"/>
          <w:strike w:val="0"/>
          <w:noProof w:val="0"/>
          <w:color w:val="000000"/>
          <w:position w:val="0"/>
          <w:sz w:val="20"/>
          <w:u w:val="none"/>
          <w:vertAlign w:val="baseline"/>
        </w:rPr>
        <w:t xml:space="preserve"> 1356-71.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Hausman, J.A., 1979. Individual discount rates and the purchase and utilization of energy-using durables. </w:t>
      </w:r>
      <w:r>
        <w:rPr>
          <w:rFonts w:ascii="arial" w:eastAsia="arial" w:hAnsi="arial" w:cs="arial"/>
          <w:b w:val="0"/>
          <w:i/>
          <w:strike w:val="0"/>
          <w:noProof w:val="0"/>
          <w:color w:val="000000"/>
          <w:position w:val="0"/>
          <w:sz w:val="20"/>
          <w:u w:val="none"/>
          <w:vertAlign w:val="baseline"/>
        </w:rPr>
        <w:t>Bell Journal of Economics</w:t>
      </w:r>
      <w:r>
        <w:rPr>
          <w:rFonts w:ascii="arial" w:eastAsia="arial" w:hAnsi="arial" w:cs="arial"/>
          <w:b w:val="0"/>
          <w:i w:val="0"/>
          <w:strike w:val="0"/>
          <w:noProof w:val="0"/>
          <w:color w:val="000000"/>
          <w:position w:val="0"/>
          <w:sz w:val="20"/>
          <w:u w:val="none"/>
          <w:vertAlign w:val="baseline"/>
        </w:rPr>
        <w:t xml:space="preserve"> 10(1), 33-54.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Dubin, J.A., Miedema, A.K., Chandran, R.V., 1986. Price effects of energy-efficient technologies--a study of residential demand for heating and cooling. </w:t>
      </w:r>
      <w:r>
        <w:rPr>
          <w:rFonts w:ascii="arial" w:eastAsia="arial" w:hAnsi="arial" w:cs="arial"/>
          <w:b w:val="0"/>
          <w:i/>
          <w:strike w:val="0"/>
          <w:noProof w:val="0"/>
          <w:color w:val="000000"/>
          <w:position w:val="0"/>
          <w:sz w:val="20"/>
          <w:u w:val="none"/>
          <w:vertAlign w:val="baseline"/>
        </w:rPr>
        <w:t>Rand Journal of Economics</w:t>
      </w:r>
      <w:r>
        <w:rPr>
          <w:rFonts w:ascii="arial" w:eastAsia="arial" w:hAnsi="arial" w:cs="arial"/>
          <w:b w:val="0"/>
          <w:i w:val="0"/>
          <w:strike w:val="0"/>
          <w:noProof w:val="0"/>
          <w:color w:val="000000"/>
          <w:position w:val="0"/>
          <w:sz w:val="20"/>
          <w:u w:val="none"/>
          <w:vertAlign w:val="baseline"/>
        </w:rPr>
        <w:t xml:space="preserve"> 17(3), 310-25.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on the November 2014 RFI, NEEA and NPCC stated that DOE's proposed test procedure change for variable-speed units may have a significant impact on energy savings. (NEEA &amp; NPCC, No. 19 at p. 10) As discussed in section III.F, DOE is amending the testing requirement for systems with a variable speed compressor. As noted in section III.F, however, the analyses conducted to support this direct final rule were based on the test procedure at the time of the CAC/HP Working Group negotiations, per the request of the CAC/HP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RFI, AHRI urged DOE to evaluate the impact of changes in SEER and EER on cooling energy savings once the 2011 DFR standards are effective (in 2015). AHRI stated that DOE cannot determine whether additional improvements will save energy without evaluating whether the standards that have been adopted have actually resulted in the energy savings predicted in the 2011 DFR analysis. According to AHRI, if those savings are not in fact realized, DOE cannot have a basis for concluding that further changes will result in additional significant energy savings. (AHRI, No. 13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expects that manufacturers will comply with the 2011 DFR standards and that the units sold at the rated SEER and EER levels will generally perform as expected. DOE's estimation of the energy use of standards-compliant units in representative use in U.S. homes was extensively reviewed in the 2011 DFR rulemaking, and it is reasonable to expect that the efficiency improvements required by the 2011 DFR will yield energy savings roughly in accord with DOE's projections.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efficiency standard is economically justified, DOE considers the economic impact of potential standards on consumers. The effect of new or amended standards on individual consumers usually includes a reduction in operating cost and an increase in purchase cost. DOE used the following two metrics to measure consumer impacts: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LCC (life-cycle cost) is the total consumer cost of an appliance or product, generally over the life of the appliance or product, including purchase and operating costs. The latter costs consist of maintenance, repair, and energy costs. Future operating costs are discounted to the time of purchase and summed over the lifetime of the appliance or product.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PBP (payback period) measures the amount of time it takes consumers to recover the assumed higher purchase price of a more energy-efficient product through reduced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efficiency levels estimated for the no-standards case, which reflects the market in the absence of amended energy conservation standards, including market trends for equipment that exceeds the current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net effect of potential amended central air conditioner and heat pump standards on consumers by calculating the LCC savings and PBP for each household by efficiency level. Inputs to the LCC calculation include the installed cost to the consumer (purchase price, including sales tax where appropriate, plus installation cost), operating costs (energy expenses, repair costs, and maintenance costs), the lifetime of the product, and a discount rate. Inputs to the payback period calculation include the installed cost to the consumer and first-year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the LCC and PBP analyses using a spreadsheet model combined with Crystal Ball n53 to account for uncertainty and variability among the input variables. Each Monte Carlo simulation consists of 10,000 LCC and PBP calculations using input values that are either sampled from probability </w:t>
      </w:r>
      <w:r>
        <w:rPr>
          <w:rFonts w:ascii="arial" w:eastAsia="arial" w:hAnsi="arial" w:cs="arial"/>
          <w:b/>
          <w:i w:val="0"/>
          <w:strike w:val="0"/>
          <w:noProof w:val="0"/>
          <w:color w:val="000000"/>
          <w:position w:val="0"/>
          <w:sz w:val="20"/>
          <w:u w:val="none"/>
          <w:vertAlign w:val="baseline"/>
        </w:rPr>
        <w:t> [*1817] </w:t>
      </w:r>
      <w:r>
        <w:rPr>
          <w:rFonts w:ascii="arial" w:eastAsia="arial" w:hAnsi="arial" w:cs="arial"/>
          <w:b w:val="0"/>
          <w:i w:val="0"/>
          <w:strike w:val="0"/>
          <w:noProof w:val="0"/>
          <w:color w:val="000000"/>
          <w:position w:val="0"/>
          <w:sz w:val="20"/>
          <w:u w:val="none"/>
          <w:vertAlign w:val="baseline"/>
        </w:rPr>
        <w:t xml:space="preserve"> distributions and household samples or characterized with single point values. The analytical results include a distribution of 10,000 data points showing the range of LCC savings for a given efficiency level relative to the no-standards case efficiency distribution. In performing an iteration of the Monte Carlo simulation for a given consumer, product efficiency is chosen based on its probability. If the chosen product efficiency is greater than or equal to the efficiency of the standard level under consideration, the LCC and PBP calculation reveals that a consumer is not impacted by the standard level. By accounting for consumers who already purchase more-efficient products, DOE avoids overstating the potential benefits from increasing product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Crystal Ball is a commercial software program developed by Oracle and used to conduct stochastic analysis using Monte Carlo simulation. A Monte Carlo simulation uses random sampling over many iterations of the simulation to obtain a probability distribution of results. Certain key inputs to the analysis are defined as probability distributions rather than single-point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test procedure in place for that standard. (</w:t>
      </w:r>
      <w:hyperlink r:id="rId12" w:history="1">
        <w:r>
          <w:rPr>
            <w:rFonts w:ascii="arial" w:eastAsia="arial" w:hAnsi="arial" w:cs="arial"/>
            <w:b w:val="0"/>
            <w:i/>
            <w:strike w:val="0"/>
            <w:noProof w:val="0"/>
            <w:color w:val="0077CC"/>
            <w:position w:val="0"/>
            <w:sz w:val="20"/>
            <w:u w:val="single"/>
            <w:vertAlign w:val="baseline"/>
          </w:rPr>
          <w:t>42 U.S.C. 6295(o)(B)(ii)</w:t>
        </w:r>
      </w:hyperlink>
      <w:r>
        <w:rPr>
          <w:rFonts w:ascii="arial" w:eastAsia="arial" w:hAnsi="arial" w:cs="arial"/>
          <w:b w:val="0"/>
          <w:i w:val="0"/>
          <w:strike w:val="0"/>
          <w:noProof w:val="0"/>
          <w:color w:val="000000"/>
          <w:position w:val="0"/>
          <w:sz w:val="20"/>
          <w:u w:val="none"/>
          <w:vertAlign w:val="baseline"/>
        </w:rPr>
        <w:t>) For each considered efficiency level, DOE determines the value of the first year's energy savings by calculating the quantity of those savings in accordance with the applicable DOE test procedure, and multiplying that amount by the average energy price forecast for the year in which compliance with the amended standards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IV.E, DOE developed nationally-representative household samples from 2009 RECS. For each sampled building, DOE determined the energy consumption of the central air conditioner or heat pump and the appropriate energy prices in the area where the building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central air conditioner or heat pump consumers as if the consumers were to purchase the product in the year that compliance with amended standards is required. Because the analysis was conducted when 2021 was the expected first year of compliance, it used that year for all the considered TSLs, including the Recommended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October 14, 2015 CAC/HP Working Group meeting, AHRI presented an LCC sensitivity analysis demonstrating the impact of several inputs, including manufacturer production costs, distribution channel markups, consumer discount rates, and expected time of ownership, on the LCC savings of more-efficient split system CACs and HPs. AHRI's analysis demonstrated that the LCC savings are highly sensitive to the above inputs. (ASRAC Public Meeting, No. 89 at pp. 225-239). Although AHRI did question the above inputs that DOE used in the LCC analysis, the purpose of their analysis was to demonstrate that the LCC savings were highly sensitive to changes in the inputs. As a result of AHRI's analysis, DOE requested feedback and made revisions to the above inputs based on member recommendations during subsequent CAC/HP Working Group meetings. The inputs to the LCC analysis which were the focus of AHRI's sensitivity analysis are described in sections above (manufacturer production costs and markups) or below (discount rates and product lifetime). In the case of the manufacturer production costs, DOE details how stakeholder recommendations were considered in the development of the costs. As a result of the Working Group's efforts to provide meaningful input and insights for all of the input into the LCC analysis, DOE believes the LCC results presented in section V.B.1 accurately represent the consumer impacts of the amended standards for CACs and 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Inputs to Installed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inputs for establishing the total installed cost are the baseline consumer product price, standard-level consumer price increases, and installation costs (labor and material cost). Baseline consumer prices and standard-level consumer price increases were determined by applying markups to manufacturer selling price estimates, including sales tax where appropriate. The installation cost is added to the consumer price to produce a total installed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manufacturer selling price estimated in the engineering analysis refers to the current price. Economic literature and historical data suggest that the real prices of many products may trend downward over time according to "learning" or "experience" curves. Experience curve analysis focuses on entire industries and aggregates over many causal factors that may not be well characterized. n54 For example, experience curve analysis implicitly includes factors such as efficiencies in labor, capital investment, automation, materials prices, distribution, and economies of scale at an industry-wide level. An experience curve relates the product price to the cumulative production of the product. Using a given set of historical data, DOE derived an experience rate that expresses the percentage reduction in price for each doubling of cumulative production.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Margaret Taylor &amp; K. Sydny Fujita, Accounting for Technological Change in Regulatory Impact Analyses: The Learning Curve Technique. (Lawrence Berkeley Nat'l Lab., 2013) available at: </w:t>
      </w:r>
      <w:hyperlink r:id="rId67" w:history="1">
        <w:r>
          <w:rPr>
            <w:rFonts w:ascii="arial" w:eastAsia="arial" w:hAnsi="arial" w:cs="arial"/>
            <w:b w:val="0"/>
            <w:i/>
            <w:strike w:val="0"/>
            <w:noProof w:val="0"/>
            <w:color w:val="0077CC"/>
            <w:position w:val="0"/>
            <w:sz w:val="20"/>
            <w:u w:val="single"/>
            <w:vertAlign w:val="baseline"/>
          </w:rPr>
          <w:t>http://eetd.lbl.gov/publications/accounting-for-technological-change-0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default price trend for residential central air conditioner and heat pump, DOE derived an experience rate based on an analysis of long-term historical data. As a proxy for manufacturer price, DOE used Producer Price Index (PPI) data for unitary air conditioners from the Bureau of Labor Statistics for 1978 through 2013. n55 An inflation-adjusted PPI was calculated using the GDP chained price deflators for the same years. To calculate an experience rate, DOE performed a least-squares power-law fit on the inflation-adjusted PPI versus cumulative shipments of residential central air conditioners and heat pumps, based on a corresponding series for historic shipments of these products (see section IV.G of this direct final rule for discussion of shipments data). A detailed discussion of DOE's derivation of the experience rate is provided in appendix 8-C of the direct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U.S. Department of Labor, Bureau of Labor Statistics, Produce Price Indices Series ID PCU333415333415E, available at </w:t>
      </w:r>
      <w:hyperlink r:id="rId68"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 xml:space="preserve"> (last accessed July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derived a price factor index, with the price in 2013 equal to 1, to forecast prices in the compliance year for the LCC and PBP analysis, and, for the NIA, for each subsequent year in the 30-year shipments period. The index value in each year is a function of the experience rate and the cumulative production through that year. To derive the latter, DOE combined the historical shipments data with projected shipments from the NIA (see section IV.H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DOE determined the type, capacity and number of central air conditioner/heat pump units for each RECS household in order to assign the correct equipment price. For packaged systems, DOE only developed manufacturer costs for 3-ton systems, so it used these costs for all packaged systems to arrive at equipment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the energy use analysis had to address the field installation of coil-only installations use the existing evaporative coil. For these installations, the equipment price was based solely on the condensing unit. </w:t>
      </w:r>
      <w:r>
        <w:rPr>
          <w:rFonts w:ascii="arial" w:eastAsia="arial" w:hAnsi="arial" w:cs="arial"/>
          <w:b/>
          <w:i w:val="0"/>
          <w:strike w:val="0"/>
          <w:noProof w:val="0"/>
          <w:color w:val="000000"/>
          <w:position w:val="0"/>
          <w:sz w:val="20"/>
          <w:u w:val="none"/>
          <w:vertAlign w:val="baseline"/>
        </w:rPr>
        <w:t> [*1818]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developed installation labor costs for different central air conditioner and heat pump capacities from </w:t>
      </w:r>
      <w:r>
        <w:rPr>
          <w:rFonts w:ascii="arial" w:eastAsia="arial" w:hAnsi="arial" w:cs="arial"/>
          <w:b w:val="0"/>
          <w:i/>
          <w:strike w:val="0"/>
          <w:noProof w:val="0"/>
          <w:color w:val="000000"/>
          <w:position w:val="0"/>
          <w:sz w:val="20"/>
          <w:u w:val="none"/>
          <w:vertAlign w:val="baseline"/>
        </w:rPr>
        <w:t>RSMeans Facilities Maintenance &amp; Repair Cost Data 2015.</w:t>
      </w:r>
      <w:r>
        <w:rPr>
          <w:rFonts w:ascii="arial" w:eastAsia="arial" w:hAnsi="arial" w:cs="arial"/>
          <w:b w:val="0"/>
          <w:i w:val="0"/>
          <w:strike w:val="0"/>
          <w:noProof w:val="0"/>
          <w:color w:val="000000"/>
          <w:position w:val="0"/>
          <w:sz w:val="20"/>
          <w:u w:val="none"/>
          <w:vertAlign w:val="baseline"/>
        </w:rPr>
        <w:t xml:space="preserve"> Based on input from the CAC/HP Working Group, two further actions were taken: The hourly wages were updated and overhead and profit were included using the information from RS Means. (ASRAC Public Meeting, No. 84 at pp. 76-80)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November 2014 RFI, AHRI stated that installation costs are generally scalable with equipment size and weight. (AHRI, No. 13 at p. 4) Southern Co. stated that installation cost scales with weight. (Southern Co., No. 11 at p. 2) In contrast, Rheem does not believe that installation costs scale with equipment weight. According to Rheem, DOE should analyze the installation costs as increasing with efficiency due to duct modifications that are required for larger indoor coils. (Rheem, No. 17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initially determined that the change in weight from the minimum efficiency unit to maximum efficiency unit is not large enough to require an increase in the number of people in the crew to move and position the unit--two people are sufficient. n56 The labor hours also do not change with the physical size of the unit. Regarding the need for duct modification, air flow volume does not change with efficiency, so duct size does not need to change for the same tonnage unit even if the indoor coil size is bigger. Based on the foregoing, the installation cost was initially estimated to remain the same across the considered efficiency levels. Based on input from the CAC/HP Working Group, however, DOE revised the installation cost for replacement installations to account for the installation of/thermostat wire as well as the increased thermostat costs for 2-speed compressors and indoor fan ECMs. (ASRAC Public Meeting, No. 84 at pp. 76-80) These cost adders were generally applied to units with energy efficiencies at about 16 SEER.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For example, a 5 ton air conditioner outdoor unit weight changes from 190 lb to 290 lb when efficiency changes from 13 SEER to 18 SEER (data from manufacturer published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CAC/HP Working Group requested that ACCA conduct a survey of its members to provide insight regarding the degree to which installation costs are higher for more-efficient equipment. ACAA conducted a survey and presented it to the CAC/HP Working Group. Based on the survey, ACCA concluded that DOE was not fully covering installation costs, including the costs of changing wiring and thermostats, checking ducting, and start-up costs to commission a higher efficiency product. (ASRAC Public Meeting, No. 85 at pp. 43-79) In response, DOE notes that the number of survey respondents was small (44 out of approximately 4,000 member contractors). Therefore, DOE chose to retain its estimates of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November 2014 RFI, AHRI suggested that DOE include costs incurred by contractors and consumers associated with installation limitations such as local fire code access restrictions and indoor space constraints. (AHRI, No. 13 at p. 4) In response, DOE notes that it currently has space-constrained central air conditioner and space-constrained heat pump product classes specifically for products that may have installation limitations due to space constraints. Therefore, contractor and consumer costs due to space constraints were not considered for the other non-space-constrained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Inputs to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 household, DOE determined the energy consumption for a central air conditioner or heat pump at different efficiency levels using the approach described above in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IV.E, DOE is taking into account the rebound effect associated with more-efficient residential central air conditioner and heat pump. The take-back in energy consumption associated with the rebound effect provides consumers with increased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enhanced comfort associated with a cooler or warmer indoor environment). The increased comfort has a cost that is equal to the monetary value of the higher energy use. DOE could reduce the energy cost savings to account for the rebound effect, but then it would have to add the value of increased comfort in order to conduct a proper economic analysis. The approach that DOE uses--not reducing the energy cost savings to account for the rebound effect and not adding the value of increased comfort--assumes that the value of increased comfort is equal to the monetary value of the higher energy use. Although DOE cannot measure the actual value of increased comfort to the consumers, the monetary value of the higher energy use represents a lower bound for this quantity.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marginal and average prices which vary by season, region and household consumption level. DOE estimated these prices using data published with the Edison Electric Institute (EEI) Typical Bills and Average Rates reports for summer and winter 2014. n57 Each report provides, for most of the major investor-owned utilities (IOUs) in the country, the total bill assuming household consumption levels of 500, 750 and 1,000 kWh for the billing period. DOE defined an average price as the ratio of the total bill to the electricity consumption, and a marginal price as the ratio of the change in the bill to the change in energy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Edison Electric Institute. Typical Bills and Average Rates Report. Winter 2014 published April 2014, Summer 2014 published October 2014. See </w:t>
      </w:r>
      <w:hyperlink r:id="rId69"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 weighted-average values for each type of price were calculated for the nine census divisions and four large States (CA, FL, NY and TX). Each EEI utility in a region was assigned a weight based on the number of residential consumers it serves. Consumer counts were taken from the most recent EIA Form 861 data. n58 DOE adjusted these regional weighted-average prices to account for systematic differences between IOUs and publicly-owned utilities (POUs), as the latter are not included in the EEI data set. For each region, DOE estimated a correction factor based on the ratio of the average electricity price for IOUs to the average price charged by POUs (calculated using EIA Form 861 data), and the percentage of consumers served by POUs.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See </w:t>
      </w:r>
      <w:hyperlink r:id="rId70" w:history="1">
        <w:r>
          <w:rPr>
            <w:rFonts w:ascii="arial" w:eastAsia="arial" w:hAnsi="arial" w:cs="arial"/>
            <w:b w:val="0"/>
            <w:i/>
            <w:strike w:val="0"/>
            <w:noProof w:val="0"/>
            <w:color w:val="0077CC"/>
            <w:position w:val="0"/>
            <w:sz w:val="20"/>
            <w:u w:val="single"/>
            <w:vertAlign w:val="baseline"/>
          </w:rPr>
          <w:t>http://www.eia.gov/electricity/data/eia861/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assigned seasonal average and marginal prices to each household in the LCC sample based on its location and its baseline monthly electricity consumption for an average summer or winter month. For a detailed discussion of the development of seasonal average and marginal energy prices, see appendix 8-F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future prices, DOE used the projected annual changes in average residential electricity prices in the Reference case projection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n59 The AEO price trends do not distinguish between marginal and average prices. DOE reviewed the EEI data for the years 2007 to 2014 and </w:t>
      </w:r>
      <w:r>
        <w:rPr>
          <w:rFonts w:ascii="arial" w:eastAsia="arial" w:hAnsi="arial" w:cs="arial"/>
          <w:b/>
          <w:i w:val="0"/>
          <w:strike w:val="0"/>
          <w:noProof w:val="0"/>
          <w:color w:val="000000"/>
          <w:position w:val="0"/>
          <w:sz w:val="20"/>
          <w:u w:val="none"/>
          <w:vertAlign w:val="baseline"/>
        </w:rPr>
        <w:t> [*1819] </w:t>
      </w:r>
      <w:r>
        <w:rPr>
          <w:rFonts w:ascii="arial" w:eastAsia="arial" w:hAnsi="arial" w:cs="arial"/>
          <w:b w:val="0"/>
          <w:i w:val="0"/>
          <w:strike w:val="0"/>
          <w:noProof w:val="0"/>
          <w:color w:val="000000"/>
          <w:position w:val="0"/>
          <w:sz w:val="20"/>
          <w:u w:val="none"/>
          <w:vertAlign w:val="baseline"/>
        </w:rPr>
        <w:t xml:space="preserve"> determined that there is no systematic difference in the trends for marginal vs. average prices in the data, so DOE used the same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trend for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U.S. Department of Energy, Energy Information Administration, </w:t>
      </w:r>
      <w:r>
        <w:rPr>
          <w:rFonts w:ascii="arial" w:eastAsia="arial" w:hAnsi="arial" w:cs="arial"/>
          <w:b w:val="0"/>
          <w:i/>
          <w:strike w:val="0"/>
          <w:noProof w:val="0"/>
          <w:color w:val="000000"/>
          <w:position w:val="0"/>
          <w:sz w:val="20"/>
          <w:u w:val="none"/>
          <w:vertAlign w:val="baseline"/>
        </w:rPr>
        <w:t>op.cit.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costs are associated with maintaining the proper operation of the equipment, whereas repair costs are associated with repairing or replacing components that have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maintenance cost for an air conditioner or heat pump unit includes a preventative annual check done by HVAC professionals, and preventative maintenance performed by home owners such as filter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November 2014 RFI, Rheem stated that more efficient products do not require additional maintenance. (Rheem, No. 17 at p. 7) Southern Co. stated that time and cost of routine maintenance should be higher for variable speed units. (Southern Co., No. 11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reviewed </w:t>
      </w:r>
      <w:r>
        <w:rPr>
          <w:rFonts w:ascii="arial" w:eastAsia="arial" w:hAnsi="arial" w:cs="arial"/>
          <w:b w:val="0"/>
          <w:i/>
          <w:strike w:val="0"/>
          <w:noProof w:val="0"/>
          <w:color w:val="000000"/>
          <w:position w:val="0"/>
          <w:sz w:val="20"/>
          <w:u w:val="none"/>
          <w:vertAlign w:val="baseline"/>
        </w:rPr>
        <w:t>RSMeans Facilities Maintenance &amp; Repair Cost Data 2015</w:t>
      </w:r>
      <w:r>
        <w:rPr>
          <w:rFonts w:ascii="arial" w:eastAsia="arial" w:hAnsi="arial" w:cs="arial"/>
          <w:b w:val="0"/>
          <w:i w:val="0"/>
          <w:strike w:val="0"/>
          <w:noProof w:val="0"/>
          <w:color w:val="000000"/>
          <w:position w:val="0"/>
          <w:sz w:val="20"/>
          <w:u w:val="none"/>
          <w:vertAlign w:val="baseline"/>
        </w:rPr>
        <w:t xml:space="preserve"> and determined that the maintenance cost does not change with equipment size and equipment efficiency, even for variable-speed products. Most variable-speed products have intelligent controls, which have certain diagnostic capabilities that would likely reduce the maintained cost of the unit. However, DOE decided not to estimate lower maintenance costs for variable-speed units to be more conservative. Therefore, DOE did not include maintenance costs in the LCC analysis as it would have no impact on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cost of repair by totaling the cost of replacing the major components in central air conditioner or heat pump that are expected to fail during the life of the equipment. Higher efficiency units have more expensive components, and the estimated repair costs are higher. The major components included in the analysis are the indoor coil, outdoor coil, indoor blower (except for coil-only unit), outdoor fan, indoor TXV, outdoor TXV (heat pump only), reversing valve (heat pump only), and controls. Compressor failures were not considered in the LCC and PBP analysis but, rather, were included in the shipments and national impact analyses. DOE assumed that compressor failure is the principal driver for a consumer to either replace or repair the unit (see section IV.G). For investors, which are often used in variable-speed compressors, manufacturers offer the same warranty term for inverters and compressors together, so DOE assumed inverters have approximately the same reliability as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developed component failure rates from proprietary industry data. The associated material cost and labor costs were initially developed from </w:t>
      </w:r>
      <w:r>
        <w:rPr>
          <w:rFonts w:ascii="arial" w:eastAsia="arial" w:hAnsi="arial" w:cs="arial"/>
          <w:b w:val="0"/>
          <w:i/>
          <w:strike w:val="0"/>
          <w:noProof w:val="0"/>
          <w:color w:val="000000"/>
          <w:position w:val="0"/>
          <w:sz w:val="20"/>
          <w:u w:val="none"/>
          <w:vertAlign w:val="baseline"/>
        </w:rPr>
        <w:t>RSMeans Facilities Maintenance &amp; Repair Cost Data 2015,</w:t>
      </w:r>
      <w:r>
        <w:rPr>
          <w:rFonts w:ascii="arial" w:eastAsia="arial" w:hAnsi="arial" w:cs="arial"/>
          <w:b w:val="0"/>
          <w:i w:val="0"/>
          <w:strike w:val="0"/>
          <w:noProof w:val="0"/>
          <w:color w:val="000000"/>
          <w:position w:val="0"/>
          <w:sz w:val="20"/>
          <w:u w:val="none"/>
          <w:vertAlign w:val="baseline"/>
        </w:rPr>
        <w:t xml:space="preserve"> the 2014 furnace fan final rule TSD, n60 and component vendors. The development of repair costs considered a warranty period, as almost all manufacturers provide warranty coverage for their products. As a result, the costs associated with component repairs occurring during the warranty period were deducted from the total consumer repair cost. Because equipment of different capacities and efficiencies contain different components, repair costs were calculated as a function of efficiency and capacity. Because component failure rates are a function of equipment age, DOE determined failure rates and the associated repair costs during different periods of equipment 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Available at: </w:t>
      </w:r>
      <w:hyperlink r:id="rId31" w:history="1">
        <w:r>
          <w:rPr>
            <w:rFonts w:ascii="arial" w:eastAsia="arial" w:hAnsi="arial" w:cs="arial"/>
            <w:b w:val="0"/>
            <w:i/>
            <w:strike w:val="0"/>
            <w:noProof w:val="0"/>
            <w:color w:val="0077CC"/>
            <w:position w:val="0"/>
            <w:sz w:val="20"/>
            <w:u w:val="single"/>
            <w:vertAlign w:val="baseline"/>
          </w:rPr>
          <w:t>http://www.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;D=EERE-2010-BT-STD-0011-0111.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November 2014 RFI, AHRI stated that higher efficiency products have more complex and expensive components necessitating longer repair times by more experienced technicians, and repair costs are generally directly proportional with equipment price. (AHRI, No. 13 at p. 4-5) Rheem stated that with the exception of evaporator and condenser coils, repair costs vary with replacement component prices and not product price. Rheem noted that with more complex technologies to achieve higher efficiency, the number of components increases and the number of repairs per system is likely to increase. (Rheem, No. 17 at p. 7) Southern Co. stated that inverters tend to have shorter lives than compressors and evaporators, and costs for inverter replacements should be separately modeled. (Southern Co., No. 11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replacing the major components in a central air conditioner or heat pump that are expected to fail during the life of the equipment and the component failure rates were presented to the CAC/HP Working Group. Based on input from the CAC/HP Working Group, DOE revised its estimates. (ASRAC Public Meeting, No. 84 at pp. 83-100) Failure rates and material costs were revised based on further discussion with industry experts. All components besides fan motors were marked up with a mechanical contractor markup. Fan motor costs were taken from Grainger. n61 The labor hours for the repair remained the same as what was initially developed but the hourly wages were updated to include overhead and profit based on RS Means. Refer to chapter 7 of the direct final rule TSD for more details on the development of the costs, labor hours, and failure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W.W. Grainger, Inc. See: </w:t>
      </w:r>
      <w:hyperlink r:id="rId71" w:history="1">
        <w:r>
          <w:rPr>
            <w:rFonts w:ascii="arial" w:eastAsia="arial" w:hAnsi="arial" w:cs="arial"/>
            <w:b w:val="0"/>
            <w:i/>
            <w:strike w:val="0"/>
            <w:noProof w:val="0"/>
            <w:color w:val="0077CC"/>
            <w:position w:val="0"/>
            <w:sz w:val="20"/>
            <w:u w:val="single"/>
            <w:vertAlign w:val="baseline"/>
          </w:rPr>
          <w:t>https://www.grainger.com/category/motors/ecatalog/N-bii?analytics=nav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lifetime is the age at which an appliance is retired from service. DOE estimated the lifetime of central air conditioners and heat pumps as part of the shipments analysis. The method that DOE used to develop lifetime estimates is described in section IV.G. DOE developed separate lifetime distributions for the three considered regions. Table IV-16 shows the average lifetimes.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IV-16--Average Lifetime by Region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group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Hot-humid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Hot-dry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Air Conditioners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calculation of LCC, DOE applies discount rates to estimate the present value of future operating costs. The discount rate used in the LCC analysis represents the individual consumer's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discount rates for residential consumers, DOE identified all relevant household debt or asset classes in order to approximate a consumer's opportunity cost of funds related to appliance operating cost savings. DOE's primary data source was the Federal Reserve Board's </w:t>
      </w:r>
      <w:r>
        <w:rPr>
          <w:rFonts w:ascii="arial" w:eastAsia="arial" w:hAnsi="arial" w:cs="arial"/>
          <w:b w:val="0"/>
          <w:i/>
          <w:strike w:val="0"/>
          <w:noProof w:val="0"/>
          <w:color w:val="000000"/>
          <w:position w:val="0"/>
          <w:sz w:val="20"/>
          <w:u w:val="none"/>
          <w:vertAlign w:val="baseline"/>
        </w:rPr>
        <w:t xml:space="preserve">Survey of </w:t>
      </w:r>
      <w:r>
        <w:rPr>
          <w:rFonts w:ascii="arial" w:eastAsia="arial" w:hAnsi="arial" w:cs="arial"/>
          <w:b/>
          <w:i/>
          <w:strike w:val="0"/>
          <w:noProof w:val="0"/>
          <w:color w:val="000000"/>
          <w:position w:val="0"/>
          <w:sz w:val="20"/>
          <w:u w:val="none"/>
          <w:vertAlign w:val="baseline"/>
        </w:rPr>
        <w:t> [*1820] </w:t>
      </w:r>
      <w:r>
        <w:rPr>
          <w:rFonts w:ascii="arial" w:eastAsia="arial" w:hAnsi="arial" w:cs="arial"/>
          <w:b w:val="0"/>
          <w:i/>
          <w:strike w:val="0"/>
          <w:noProof w:val="0"/>
          <w:color w:val="000000"/>
          <w:position w:val="0"/>
          <w:sz w:val="20"/>
          <w:u w:val="none"/>
          <w:vertAlign w:val="baseline"/>
        </w:rPr>
        <w:t xml:space="preserve"> Consumer Finances</w:t>
      </w:r>
      <w:r>
        <w:rPr>
          <w:rFonts w:ascii="arial" w:eastAsia="arial" w:hAnsi="arial" w:cs="arial"/>
          <w:b w:val="0"/>
          <w:i w:val="0"/>
          <w:strike w:val="0"/>
          <w:noProof w:val="0"/>
          <w:color w:val="000000"/>
          <w:position w:val="0"/>
          <w:sz w:val="20"/>
          <w:u w:val="none"/>
          <w:vertAlign w:val="baseline"/>
        </w:rPr>
        <w:t xml:space="preserve"> (SCF) for 1995, 1998, 2001, 2004, 2007, and 2010. DOE estimated separate discount rate distributions for six income groups, divided based on income percentile as reported in the SCF. DOE calculated a weighted average discount rate for each household in the SCF using the shares of each type of debt and equity of a household's total combined debt-plus-equity. The household-level discount rates were then aggregated to form discount rate distributions for each of the six income groups, representing the discount rates that may apply in the year in which amended standards would take effect. DOE assigned each sample household a specific discount rate drawn from the appropriate distribution. The average residential discount rate across all types of household debt and equity and income groups, weighted by the shares of each class, is 4.5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8 in the direct final rule TSD for further details on the development of discount rates for the LCC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Product Efficiency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standard at a particular efficiency level, DOE estimates the distribution of product efficiencies that consumers would purchase in the case without new or amended energy efficiency standards (referred to as the no-new-standards case) in the year compliance with the standard is required. DOE develops such an efficiency distribution for each of the considered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June 2011 DFR, AHRI provided historical shipment-weighted efficiency data by product class through 2009. n62 Absent any recent data, DOE had to make its own estimates of how the efficiency distributions determined for the June 2011 DFR were impacted by the amended standards that became effective in January, 2015 and, in turn, how the distributions would change further from 2015 to 2021, the assumed first full compliance year for any amended central air conditioner and heat pump standards. The estimated efficiency distributions were presented to the CAC/HP Working Group, which recommended that they be revised based on recent data from AHRI. (ASRAC Public Meeting, No. 89 at pp. 163-170)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These data, along with model data from the Air- Conditioning, Heating, and Refrigeration (ACHR) News, were used to develop base-case efficiency distributions for 2008. DOE projected the central air conditioner and heat pump efficiency distributions to 2011 based on the average growth in shipment-weighted efficiency observed in the AHRI data from 2006 to 2009. DOE then took into account Federal tax credit programs designed to encourage purchase of higher-efficiency products to further adjust the distributions for the year 2016, the assumed compliance date of new standards that was used for the DFR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submitted data on market share for 2015 by SEER for the three regions for split-systems. n63 DOE then projected the shipment-weighed SEER for 2021 using an efficiency growth rate equal to half of the rate in the 1993-2002 period. The years 1993 to 2002 were a time period when no new central air conditioner and heat pump standards became effective, and, therefore, the efficiency trend represented gains caused solely by non-regulatory market conditions. DOE chose to use half the growth rate observed during the historic period due to potential technological limits on further improving efficiency with single-speed design measures. DOE then allocated market shares to the efficiency levels being analyzed for this rule so that the resultant shipment-weighted SEER matched the value determined from the application of the estimated growth rate from 2015 to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AHRI also provided data indicating the market shares of split-system air conditioners in coil-only and blower coil configurations. These fractions (61% and 39%, respectively) were used to establish the shares of projected shipments in the shipments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package systems, AHRI did not provide recent data on market share by SEER, so DOE retained the approach developed for the August 2015 NODA. First, DOE altered the efficiency distributions it developed for the June 2011 DFR by rolling-up the market shares for products between 13 and 13.99 SEER to 14 SEER, the new standard level effective in 2015. To estimate the efficiency distributions in 2021, DOE applied an efficiency growth rate that was half that observed from 1993 to 2002 to the shipment-weighted SEER estimated in 2015. After determining the shipment-weighed SEER in 2015, DOE then allocated market shares to the efficiency levels being analyzed for this rule so that the resultant shipment-weighted SEER matched the value determined from the application of the estimated growth rate from 2015 to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Inputs to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 efficient products, compared to baseline products, through energy cost savings. The simple payback period does not account for changes in operating expense over time or the time value of money. Payback periods that exceed the life of the product mean that the increase in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are the total installed cost of the equipment to the customer for each efficiency level and the average annual operating expenditures for each efficiency level. The PBP calculation uses the same inputs as the LCC analysis, except that discount rates are not needed. The results of DOE's PBP analysis are presented in section 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rebuttable presumption PBP, for each considered efficiency level, DOE determined the value of the first year's energy savings by calculating the quantity of those savings in accordance with the applicable DOE test procedure, and multiplying that amount by the average energy price forecast for the year in which compliance with the amended standard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of covered equipment are a key input to estimates of the national energy savings under a proposed standard. The goal of the shipments model is to provide projections of the total number of units of shipped during the analysis period, and to estimate how those shipments may be affected by the equipment price and operating cost changes induced by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shipments model is factored into two segments: Estimation of the total number of shipments of a given product type across all efficiencies available in the market, and distribution of these shipments over efficiency bins. Consumer decisions with respect to repairs and equipment switching only affect the total number of units shipped.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Model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shipments model produces separate projections for each of four equipment classes: Split and packaged central air conditioners (central air conditioners), and split and packaged heat pumps (heat pumps). To capture potential effects of regional standards, a separate shipments projection is calculated for each of the three regions considered in the analysis: North (N), hot-humid (HH) and hot-dry (HD). For each equipment class and each region the total shipments are divided into three market segments: (1) New shipments to new buildings, (2) new shipments to existing buildings, and (3) replacement shipments to existing buildings. Buildings are defined as single-family residences. More detail on the input data to the shipments model is provided in the next section. </w:t>
      </w:r>
      <w:r>
        <w:rPr>
          <w:rFonts w:ascii="arial" w:eastAsia="arial" w:hAnsi="arial" w:cs="arial"/>
          <w:b/>
          <w:i w:val="0"/>
          <w:strike w:val="0"/>
          <w:noProof w:val="0"/>
          <w:color w:val="000000"/>
          <w:position w:val="0"/>
          <w:sz w:val="20"/>
          <w:u w:val="none"/>
          <w:vertAlign w:val="baseline"/>
        </w:rPr>
        <w:t> [*1821]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 is initialized in 1983 using historic shipments from 1953 to 1982 to define the initial distribution of stock by vintage. The model is run from 1983 to 2009, and compared with historical shipments, to calibrate the lifetime distribution parameters. The calibrated model is run from 1983 to 2021 to provide, for each region and product class, an estimate of the distribution of equipment stock by vintage in the start year of the analysis period. DOE's analysis of market saturation data shows slowly increasing heat pump saturations and slowly decreasing central air conditioner saturations, which lead to slight change in the market share of central air conditioners vs. heat pumps in the projections beyond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shipments to new buildings are calculated as the product of new housing starts times the new construction market saturation. Shipments to new buildings comprise approximately 20 percent of total central air conditioner shipments and 29 percent of total heat pump shipments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shipments to existing buildings represent new purchases of the equipment by households that did not previously own it. The data show that the market for central air conditioners is essentially saturated, but market penetration is still growing for heat pumps. Shipments to this market segment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homes that did not previously have a heat pump) comprise approximately 15 percent of total heat pump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Replacement shipments constitute the largest segment of total shipments. Replacements are determined by using a survival function to calculate the number of units in the stock that fail in each year. The survival function defines the probability that a unit will fail as a function of the unit's age. This analysis uses a Weibull survival function, adjusted to account for the difference in operating hours in the three analysis regions, as described below in section IV.G.2.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 each product class and market segment are calculated for the no-new-standards case and for each of the considered standard levels. The calculations proceed in three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total shipments across all regions and product classes are calculated for the no-new-standards case, which assumes that the future shipments are driven entirely by new construction, growth in market saturations, and replacements of failed units. This shipments projection is then used to estimate an product price trend using a price-learning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step, within each region and product class, the product distribution model is used to estimate the distribution of shipments across efficiency bins for each TSL. Relative market share is determined using a logit model, which defines the product utility as the sum of total installed cost plus discounted operating costs. The implicit discount rate and product price sensitivity are estimated from historic data as described in the next section. This estimation step uses the average total installed cost, efficiency and annual operating cost calculated for each efficiency level in the LCC. The operating cost depends on the annual operating hours and electricity price, both of which vary by region. The product price trend is applied to the product price, and the electricity price trend (taken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is applied to the operating cost, to obtain time-dependent estimates of the relative market share for each equipment class and for each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step, the total shipments are recalculated for each product class, region and TSL to determine the deviation from no-new-standards case shipments. This deviation is caused by the fact that, when the price of new products increases, some consumers will opt to repair rather than replace failed units. These "excess repairs" are numerically equal to the drop in shipments. The inputs to the estimation are the market-share weighted product price and annual operating cost for each product class and region, at each TSL. These are used to calculate a market-weighted average utility. The utility is defined as the purchase price plus the discounted operating cost over the lifetime of the product. The consumer discount rate for future operating costs was taken from the decision model used in the residential demand module of NEMS. This utility function is used to estimate the change in shipments, assuming that the percent change in shipments is equal to the percent change in utility times a price elasticity. DOE used a price elasticity equal to -0.34, which is an average value estimated from an analysis of available data for consumer purchases of household appliances (see appendix 9A). The change in shipments is only estimated for replacement shipments, as it is unlikely that shipments to new construction would be affected by the adopted standards. Repaired units are estimated to survive an additional number of years (extended lifetime), which is on average about half of the original lifetime, and then trigger a new replacement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November 2014 RFI, AHRI stated that there is evidence that the past rulemaking on residential central air conditioners and heat pumps (the 2006 standards) had a negative impact on shipments. It noted that the significant price increase of 13 SEER units (compared to 10 SEER) pushed consumers to find cheaper alternatives including repairing old equipment or switching to room air conditioners. (AHRI, No. 13 at p. 5) Rheem made a similar comment, and stated that currently homeowners are deciding to repair old inefficient air conditioners, and are also replacing central air conditioners with less efficient window air conditioners. (Rheem, No. 17 at pp. 1, 8) During the October 26, 2015 CAC/HP Working Group meeting, several parties expressed concern on how repairs were accounted for in the shipments model (ASRAC Public Meeting, No. 68 at pp. 82-103) One stakeholder mentioned that if DOE made the SEER requirements too high, the market for repairing would grow substantially and DOE needed to account for it. (ASRAC Public Meeting, No. 68 at p.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aware that some consumers may respond to higher prices for central air conditioners and heat pumps by repairing the unit (compressor replacement) or, in the case of central air conditioners, by purchasing room air conditioners. n64 DOE did not have sufficient data to specifically estimate these practices, however, so it used a price elasticity approach to estimate the consumer responses to higher product prices. DOE assumes that demand in the new construction market is inelastic because the decision to install central air conditioner equipment is made by the builder rather than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Purchase of room air conditioners would not be an effective substitute to a new heat pump since they would not provide 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August 2015 NODA, the Edison Electric Institute (EEI) commissioned a nationwide builder survey, performed by the NAHB Home Innovation Research Labs, on the fuel and technology impacts of higher residential heat pump energy conservation standards. The survey asked installers to identify the price increase for a heat pump that would lead to switching to a other types of heating systems, including gas and oil furnaces and boilers, and identified the fractions of installations that would switch at different levels of price increase. (EEI, No. 33, NAHB Heat Pump Survey Final Tabulations July 2015) For the price increases associated with heat pumps that comply with the </w:t>
      </w:r>
      <w:r>
        <w:rPr>
          <w:rFonts w:ascii="arial" w:eastAsia="arial" w:hAnsi="arial" w:cs="arial"/>
          <w:b/>
          <w:i w:val="0"/>
          <w:strike w:val="0"/>
          <w:noProof w:val="0"/>
          <w:color w:val="000000"/>
          <w:position w:val="0"/>
          <w:sz w:val="20"/>
          <w:u w:val="none"/>
          <w:vertAlign w:val="baseline"/>
        </w:rPr>
        <w:t> [*1822] </w:t>
      </w:r>
      <w:r>
        <w:rPr>
          <w:rFonts w:ascii="arial" w:eastAsia="arial" w:hAnsi="arial" w:cs="arial"/>
          <w:b w:val="0"/>
          <w:i w:val="0"/>
          <w:strike w:val="0"/>
          <w:noProof w:val="0"/>
          <w:color w:val="000000"/>
          <w:position w:val="0"/>
          <w:sz w:val="20"/>
          <w:u w:val="none"/>
          <w:vertAlign w:val="baseline"/>
        </w:rPr>
        <w:t xml:space="preserve"> adopted standards, the survey suggests that there would be some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since a heat pump provides space cooling and space heating, switching away from a heat pump would require a consumer to purchase and install a central air conditioner as well as another type of heating product. Therefore, a decision to switch would be influenced by the price differential between a heat pump and a combination of a central air conditioner and alternative heating system, not simply the price increase for a heat pump. Because DOE is adopting standards for central air conditioners that have a greater estimated price increase than the increase estimated for heat pumps, DOE reasons that consumers would not switch from heat pumps to a combination of a furnace and a central air conditioner.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Inputs and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inputs to the shipments model are the projections of housing stock and housing starts, market saturations, price-learning parameters, equipment lifetime (survival function), and logit model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Housing Survey (AHS), conducted every two years, was used to determine the total housing stock and the saturation of central air conditioners and heat pumps, in both new and existing buildings, from 1983 to 2011. n65 The U.S. Census Bureau's Characteristics of New Housing (CNH) report, issued annually, provided the total households built and the amount of central air conditioners or heat pumps installed in newly constructed homes from 1983 to 2013. n66 Both AHS and CNH provide household and equipment saturation data by census region (north, midwest, south, west). DOE used the U.S. Housing Census, which provides the number of households by state, to determine the proportion of homes from each census region that should be allocated to the three regions considered in this analysis (N, HH, HD). Future household projections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were available by census division. DOE used average population growth data, by state and census division, from the U.S. Census Bureau to allocate the AEO data into the N, HH, HD regions. The price-learning parameter that DOE applied to future product costs was derived as described in section IV.F.1.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72" w:history="1">
        <w:r>
          <w:rPr>
            <w:rFonts w:ascii="arial" w:eastAsia="arial" w:hAnsi="arial" w:cs="arial"/>
            <w:b w:val="0"/>
            <w:i/>
            <w:strike w:val="0"/>
            <w:noProof w:val="0"/>
            <w:color w:val="0077CC"/>
            <w:position w:val="0"/>
            <w:sz w:val="20"/>
            <w:u w:val="single"/>
            <w:vertAlign w:val="baseline"/>
          </w:rPr>
          <w:t>http://www.census.gov/programs-surveys/ahs.html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73" w:history="1">
        <w:r>
          <w:rPr>
            <w:rFonts w:ascii="arial" w:eastAsia="arial" w:hAnsi="arial" w:cs="arial"/>
            <w:b w:val="0"/>
            <w:i/>
            <w:strike w:val="0"/>
            <w:noProof w:val="0"/>
            <w:color w:val="0077CC"/>
            <w:position w:val="0"/>
            <w:sz w:val="20"/>
            <w:u w:val="single"/>
            <w:vertAlign w:val="baseline"/>
          </w:rPr>
          <w:t>https://www.census.gov/construction/chars/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calibration of the no-new-standards case shipments projection provides an estimate of the Weibull lifetime distribution parameters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(shape) and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(scale). These represent national average values. Within each region, the scale parameter is adjusted to reflect the differences in average annual operating hours. In general, for mechanical devices the equipment life is defined as the total lifetime operating hours. This can be converted to a service lifetime in years by dividing by the average annual operating hours. Equipment that is operated for fewer hours can therefore be expected to have a longer service lifetime. To account for this effect, DOE estimated the ratio of the average operating hours within each analysis region to the national average value. The estimate was based on a database of simulations of RECS 2009 households n67 that was calibrated to reproduce the same distribution of annual end-use energy consumption as the RECS. Population-weighted average annual operating hours for central air conditioners and heat pumps were calculated for each region, and for the nation as a whole. If equipment failure was perfectly correlated with lifetime operating hours, then the service lifetime would be adjusted proportionally to the operating hours; for example, if the operating hours in the north were half the national average, then the service lifetime in the north would be twice the national average. However, it is likely that some aspects of product failure depend on the actual equipment age. Hence, DOE assumed that half the time the product failure would be related to lifetime operating hours, and half the time it would be related to product age. This approach results in parameter adjustments that lead to average product service lifetime by region shown in Table IV-16.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Hopkins, A.S., Lekov, A., Lutz, J., Rosenquist, G. and Gu, L. (2011). Simulating a Nationally Representative Housing Sample Using EnergyPlus. LBNL-4420E. Berkeley, CA (US): Ernest Orlando Lawrence Berkeley National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service lifetimes for central air conditioners and heat pumps were presented to the CAC Working Group and were discussed in detail. Members expressed general concern about the long-tailed distribution for central air conditioner and heat pump lifetimes, given that the long lifetimes have a very low probability of occurrence. (ASRAC Public Meeting, No. 68 at pp. 85-103) In response, DOE notes that the Weibull lifetime parameters were estimated to produce a match to historical shipments from 1983 to 2009, which were the most recent data DOE could access. DOE could not find, nor did it receive any other shipments data, and thus DOE used the same Weibull parameters and product service lifetimes presented to the CAC/HP Working Group in the analysis for this DFR.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total installed costs and annual operating cost of the products with different efficiency levels, combined with their respective market shares in the no-new-standards case in 2021, to calibrate the logit model parameters (alpha for total installed costs and beta for annual operating cost). These two parameters describe consumers' sensitivities to first costs and operating costs. These costs were then used to project consumer choices among efficiency levels in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presented the results of its latest shipments analysis to the CAC/HP Working Group for discussion. (ASRAC Public Meeting, No. 68 at pp. 77-127) During the meetings, certain members of the CAC Working Group noted that DOE's projected shipments for split-system heat pumps were markedly higher than in the June 2011 DFR. (ASRAC Public Meeting, No. 84 at pp. 103-117) DOE reviewed the two sets of projections and determined that the primary driver for higher forecasted heat pump shipments in the most recent analysis versus the 2011 DFR analysis was the higher saturation of heat pumps in new construction shown in more recent data from the Census' Characteristics of New Housing. The latest data also show a corresponding drop in new construction saturation for central air conditioners. DOE found that, in addition, heat pump shipments were also higher due to the relatively shorter product lifetime in the hot-humid region, where much of the increase in new housing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details on DOE's shipments analysis, see chapter 9 of the direct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impact analysis (NIA) assesses the national energy savings (NES) and the net present value (NPV) from a national perspective of total consumer costs and savings expected to result from new or amended energy conservation standards at specific efficiency levels. To make the analysis more accessible and transparent to all interested parties, DOE used a spreadsheet model to calculate the energy savings and the national consumer costs and savings from each TSL. n68 The NIA calculations were based </w:t>
      </w:r>
      <w:r>
        <w:rPr>
          <w:rFonts w:ascii="arial" w:eastAsia="arial" w:hAnsi="arial" w:cs="arial"/>
          <w:b/>
          <w:i w:val="0"/>
          <w:strike w:val="0"/>
          <w:noProof w:val="0"/>
          <w:color w:val="000000"/>
          <w:position w:val="0"/>
          <w:sz w:val="20"/>
          <w:u w:val="none"/>
          <w:vertAlign w:val="baseline"/>
        </w:rPr>
        <w:t> [*1823] </w:t>
      </w:r>
      <w:r>
        <w:rPr>
          <w:rFonts w:ascii="arial" w:eastAsia="arial" w:hAnsi="arial" w:cs="arial"/>
          <w:b w:val="0"/>
          <w:i w:val="0"/>
          <w:strike w:val="0"/>
          <w:noProof w:val="0"/>
          <w:color w:val="000000"/>
          <w:position w:val="0"/>
          <w:sz w:val="20"/>
          <w:u w:val="none"/>
          <w:vertAlign w:val="baseline"/>
        </w:rPr>
        <w:t xml:space="preserve"> on the annual energy consumption and total installed cost data from the energy use analysis and the LCC analysis. In the NIA, DOE forecasted the energy savings, energy cost savings and installed product costs for each product class over the lifetime of products sold from 2021 through 2050 or, for the Recommended TSL, from 2023 through 2052.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DOE's use of spreadsheet models provides interested parties with access to the models within a familiar context. In addition, the TSD and other documentation that DOE provides during the rulemaking help explain the models and how to use them, and interested parties can review DOE's analyses by changing various input quantities within the spreadsheet.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forecasted for the no-new-standards case and each of the standards cases. Section IV.F.2.f of this direct final rule describes how DOE developed an energy efficiency distribution for the no-new-standards case for each of the considered product classes for the expected first full year of compliance. To project the efficiency distribution over the 30-year shipments period, DOE used the product distribution model described in section IV.G. This model was calibrated based on product cost information and the efficiency distribution for 2021. The projected efficiency trends vary by product class and region, as illustrated in chapter 10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standards cases, the market share of products with efficiencies in the no-new-standards case that do not meet a potential amended standard level is allocated to the particular standard level, and the market shares of products at efficiencies above the standard level under consideration are projected using the consumer choice model. This approach provides a reasonable estimate of the potential energy savings in the standards cases by including consumers' sensitivities to total installed costs and annual operating costs, and accounting for equipment price trend and electricity price trend during the 30-year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on how the consumer choice model was developed are in chapter 10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Cost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IV.F.1, DOE used an experience curve method to project future product price trends. Application of the price index results in a decline of 22 percent in central air conditioner and heat pump prices (in real terms) from 2021 to 2050. In addition to the default trend described in section IV.F.1, which shows a modest rate of decline, DOE performed price trend sensitivity calculations in the NIA to examine the dependence of the analysis results on different analytical assumptions. The price trend sensitivity analysis considered a trend with a greater rate of decline than the default trend and a trend with constant prices. The derivation of these trends is described in appendix 10C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Accounting for Repaired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IV.G.1, DOE introduced "excess repairs" in the standards cases, assuming that when the price of new equipment increases, some consumers will opt to repair rather than replace broken units. The repair is assumed to consist of replacement of the compressor. The repaired units are assumed to live an additional number of years (extended lifetime), which is on average about half of the original lifetime. For these "excess repair" units, the cost of the repair is a one-time replacement cost for the compressor that varies depending on the capacity of the unit. The annual energy use of the repaired units is calculated as the average energy use for all of the units that were installed in the same year as the repaired unit. More details on accounting for repaired units are described in chapter 10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the NES, DOE calculated annual energy consumption for the no-new-standards case and the standards cases. DOE calculated the annual energy consumption for each case using the appropriate per-unit annual energy use data multiplied by the projected central air conditioner and heat pump shipments for each year. The per-unit annual energy use is adjusted with the building shell improvement index, which results in a decline of 12 percent in the cooling load from 2021 to 2050, and the climate index, which results in an increase of 6.6 percent in the cooling load. In the standards cases, there are fewer shipments of central air conditioners or heat pumps compared to the no-new-standards case because of repair rather than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section IV.E, DOE incorporated a rebound effect for central air conditioners and heat pumps by reducing the site energy savings in each year by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national primary energy savings from amended central air conditioner and heat pump standards, DOE used a multiplicative factor to convert site electricity consumption (at the home) into primary energy consumption (the energy required to convert and deliver the site electricity). These conversion factors account for the energy used at power plants to generate electricity and energy losses during transmission and distribution. The factors vary over time due to changes in generation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power plant types projected to provide electricity to the country) projected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n69 The factors that DOE developed are marginal values, which represent the response of the electricity sector to an incremental decrease in consumption associated with potential appliance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U.S. Department of Energy, Energy Information Administration, </w:t>
      </w:r>
      <w:r>
        <w:rPr>
          <w:rFonts w:ascii="arial" w:eastAsia="arial" w:hAnsi="arial" w:cs="arial"/>
          <w:b w:val="0"/>
          <w:i/>
          <w:strike w:val="0"/>
          <w:noProof w:val="0"/>
          <w:color w:val="000000"/>
          <w:position w:val="0"/>
          <w:sz w:val="20"/>
          <w:u w:val="none"/>
          <w:vertAlign w:val="baseline"/>
        </w:rPr>
        <w:t>op. cit.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 in 2011 DOE announced its intention to use full-fuel-cycle (FFC) measures of energy use and greenhouse gas and other emissions in the national impact analyses and emissions analyses included in future energy conservation standards rulemakings. </w:t>
      </w:r>
      <w:hyperlink r:id="rId49"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that NEMS is the most appropriate tool for its FFC analysis and DOE intended to use NEMS for that purpose. </w:t>
      </w:r>
      <w:hyperlink r:id="rId50"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factors incorporates losses in production and delivery in the case of natural gas (including fugitive emissions) and additional energy used to produce and deliver the various fuels used by power plants. The approach used is described in more detail in appendix 10A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Net Present Value of Consumer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the national NPV of consumer benefits from potential energy conservation standards, DOE calculated projected annual operating costs (energy costs and repair and maintenance costs) and annual installation costs for the no-new-standards case and the standards cases. DOE calculated annual product expenditures by multiplying the price per unit times the projected shipments in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calculated annual energy expenditures from annual energy consumption using forecasted energy prices in each year. In this direct final rule, DOE used the projected annual changes in national-average residential </w:t>
      </w:r>
      <w:r>
        <w:rPr>
          <w:rFonts w:ascii="arial" w:eastAsia="arial" w:hAnsi="arial" w:cs="arial"/>
          <w:b/>
          <w:i w:val="0"/>
          <w:strike w:val="0"/>
          <w:noProof w:val="0"/>
          <w:color w:val="000000"/>
          <w:position w:val="0"/>
          <w:sz w:val="20"/>
          <w:u w:val="none"/>
          <w:vertAlign w:val="baseline"/>
        </w:rPr>
        <w:t> [*1824] </w:t>
      </w:r>
      <w:r>
        <w:rPr>
          <w:rFonts w:ascii="arial" w:eastAsia="arial" w:hAnsi="arial" w:cs="arial"/>
          <w:b w:val="0"/>
          <w:i w:val="0"/>
          <w:strike w:val="0"/>
          <w:noProof w:val="0"/>
          <w:color w:val="000000"/>
          <w:position w:val="0"/>
          <w:sz w:val="20"/>
          <w:u w:val="none"/>
          <w:vertAlign w:val="baseline"/>
        </w:rPr>
        <w:t xml:space="preserve"> electricity prices in the Reference case projection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U.S. Department of Energy, Energy Information Administration, </w:t>
      </w:r>
      <w:r>
        <w:rPr>
          <w:rFonts w:ascii="arial" w:eastAsia="arial" w:hAnsi="arial" w:cs="arial"/>
          <w:b w:val="0"/>
          <w:i/>
          <w:strike w:val="0"/>
          <w:noProof w:val="0"/>
          <w:color w:val="000000"/>
          <w:position w:val="0"/>
          <w:sz w:val="20"/>
          <w:u w:val="none"/>
          <w:vertAlign w:val="baseline"/>
        </w:rPr>
        <w:t>op.cit.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aggregate difference each year between operating cost savings and increased installation costs is the net savings or net costs. DOE multiplies the net savings in future years by a discount factor to determine their present value. DOE estimates the NPV of consumer benefits using both a 3-percent and a 7-percent real discount rate, in accordance with guidance provided by the Office of Management and Budget (OMB) to Federal agencies on the development of regulatory analysis. n71 The 7-percent real value is an estimate of the average before-tax rate of return to private capital in the U.S. economy. The 3-percent real value represents the "societal rate of time preference," which is the rate at which society discounts future consumption flows to their present value. The discount rates for the determination of NPV differ from the discount rates used in the LCC analysis, which are designed to reflect a consumer's perspective.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Office of Management and Budget, OMB Circular A-4, section E, Identifying and Measuring Benefits and Costs (2003),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http://www.whitehouse.gov/omb/memoranda/m03-21.html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determining national energy savings, DOE is accounting for the rebound effect estimated for more-efficient central air conditioners and heat pumps. n72 Because consumers have foregone a monetary savings in energy expenses, it is reasonable to conclude that the value of the increased utility is equivalent to the monetary value of the energy savings that would have occurred without the rebound effect. Therefore, the economic impacts on consumers with or without the rebound effect, as measured in the NPV, are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As discussed in section IV.F, the rebound effect provides consumers with increased utility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more comfortable indoor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impacts of new or amended standards on consumers, DOE evaluated the impacts on two identifiable subgroups of consumers, low-income consumers and senior citizens, that may be disproportionately affected by amended standards. DOE analyzed the LCC impacts and PBP for those particular consumers from alternative standard levels using subsets of the RECS 2009 sample comprised of households that meet the criteria for the two subgroups for both central air conditioners and heat pumps, along with the appropriate inputs for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11 of the direct final rule TSD describes the consumer subgroup analysis and its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 Manufacturer Impact Analysis (MIA) to estimate the impacts of an energy conservation standard on manufacturers. The MIA has both quantitative and qualitative aspects. The quantitative part of the MIA primarily relies on the Government Regulatory Impact Model (GRIM), an industry cash-flow model with inputs specific to this rulemaking. The key GRIM inputs are data on the industry cost structure, manufacturer productions costs, shipments, and assumptions about markups and conversion expenditures. The key output is the industry net present value (INPV). DOE uses the GRIM to calculate cash flows using standard accounting principles and to compare changes in INPV between a scenario in which there is no new standard (the no-new-standards case) and each TSL (the standards case). The difference in INPV between the no-new-standards case and a standards case represents the financial impact of energy conservation standards on central air conditioner and heat pump manufacturers. DOE uses different sets of assumptions (markup scenarios) to represent the uncertainty surrounding potential impacts on prices and manufacturer profitability as a result of standards. Different sets of assumptions produce a range of INPV results. The qualitative part of the MIA addresses the amended standard's potential impacts on manufacturing capacity and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factors such as product characteristics, impacts on particular subgroups of firms, and important market and product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MIA for central air conditioners and heat pumps in this direct final rule focuses on split-system air conditioners, split-system heat pumps, single-package air conditioners, and single-package heat pumps. Since this rule does not propose to amend standards for space-constrained air conditioners, space-constrained heat pumps, or small-duct high-velocity systems, these products were not evaluated. The complete MIA is outlined in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 profile of the residential central air conditioner and heat pump industry. This industry characterization was developed using publicly available information, such as Securities and Exchange Commission (SEC) 10-K reports, n73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n74), corporate annual reports, the U.S. Census Bureau's 2014 Annual Survey of Manufacturers (ASM), n75 and industry trade association membership directories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AHRI), as well as information obtained through DOE's engineering analysis, life-cycle cost analysis, and market and technology assessment prepared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U.S. Securities and Exchange Commission, Annual 10-K Reports (Various Years) (Available at: </w:t>
      </w:r>
      <w:hyperlink r:id="rId75"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Hoovers Inc., Company Profiles, Various Companies (Available at: </w:t>
      </w:r>
      <w:hyperlink r:id="rId76"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U.S. Census Bureau, Annual Survey of Manufacturers: General Statistics: Statistics for Industry Groups and Industries (2014) (Available at: </w:t>
      </w:r>
      <w:hyperlink r:id="rId77" w:history="1">
        <w:r>
          <w:rPr>
            <w:rFonts w:ascii="arial" w:eastAsia="arial" w:hAnsi="arial" w:cs="arial"/>
            <w:b w:val="0"/>
            <w:i/>
            <w:strike w:val="0"/>
            <w:noProof w:val="0"/>
            <w:color w:val="0077CC"/>
            <w:position w:val="0"/>
            <w:sz w:val="20"/>
            <w:u w:val="single"/>
            <w:vertAlign w:val="baseline"/>
          </w:rPr>
          <w:t>http://www.census.gov/manufacturing/asm/index.html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amended energy conservation standards on manufacturers. In general, energy conservation standards can affect manufacturer cash flow in three distinct ways: (1) Create a need for increased investment; (2) raise production costs per unit; and (3) alter revenue due to higher per-unit prices and/or possible changes in sales volumes. To quantify these impacts, DOE used the GRIM to perform a cash-flow analysis for the industry using financial values derived during Phase 1 and the shipment scenario used in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conducted interviews with manufacturers. During these interviews, DOE discussed engineering, manufacturing, procurement, and financial topics to validate assumptions used in the GRIM and to identify key issues or concerns. These topics were discussed again during the course of CAC/HP Working Group meetings, which enabled DOE to further refine inputs to the MIA, including MPCs and shipments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Phase 3, DOE evaluated subgroups of manufacturers that may be disproportionately impacted by energy conservation standards or that may not be represented accurately by the average cost assumptions used to develop the industry cash-flow analysis. For example, small manufacturers, niche players, or manufacturers exhibiting a cost structure that largely differs from the industry average could be more negatively affected. DOE identified one subgroup for a separate impact analysis: Small business manufacturers. The small business subgroup is discussed in section VI.B, "Review under the Regulatory Flexibility Act," and in chapter 12 of the direct final rule TSD. </w:t>
      </w:r>
      <w:r>
        <w:rPr>
          <w:rFonts w:ascii="arial" w:eastAsia="arial" w:hAnsi="arial" w:cs="arial"/>
          <w:b/>
          <w:i w:val="0"/>
          <w:strike w:val="0"/>
          <w:noProof w:val="0"/>
          <w:color w:val="000000"/>
          <w:position w:val="0"/>
          <w:sz w:val="20"/>
          <w:u w:val="none"/>
          <w:vertAlign w:val="baseline"/>
        </w:rPr>
        <w:t> [*1825]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in its standards rulemakings to quantify the changes in cash flow due to amended standards that result in a higher or lower industry value. The GRIM uses a standard, annual discounted cash-flow analysis that incorporates manufacturer costs, markups, shipments, and industry financial information as inputs. The GRIM models changes in costs, distribution of shipments, investments, and manufacturer margins that could result from an amended energy conservation standard. The GRIM spreadsheet uses the inputs to arrive at a series of annual cash flows, beginning in 2016 (the base year of the analysis) and continuing to 2050. n76 DOE calculated INPVs by summing the stream of annual discounted cash flows during this period. For manufacturers of residential central air conditioners and heat pumps, DOE used a real discount rate of 11.0 percent, n77 which was derived from industry financials and then modified according to feedback received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In contrast to the NIA, which uses an end date of 2050 for TSLs 1, 3, and 4, and an end date of 2052 for TSL 2, the MIA maintains the same end date (2050) for all TSLs. This is done to enable clear comparison of INPV impacts across TSLs. See chapter 12 of the direct final rule TSD for a more detailed discussion of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DOE estimated preliminary financial metrics, including the industry discount rate, based on publicly available financial information, including Securities and Exchange Commission ("SEC") filings and S&amp;P bond ratings. DOE presented the preliminary financial metrics to manufacturers in MIA interviews. DOE adjusted those values based on feedback from manufacturers. The complete set of financial metrics and more detail about the methodology can be found in chapter 12 of the final rule TSD. Additionally, DOE provides a sensitivity analysis based on an alternative discount rate in chapter 12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the no-new-standards case and each standards case. The difference in INPV between the no-new-standards case and a standards case represents the financial impact of the amended energy conservation standard on manufacturers. As discussed previously, DOE developed critical GRIM inputs using a number of sources, including publicly available data, results of the engineering analysis, and information gathered from industry stakeholders during the course of manufacturer interviews and subsequent CAC/HP Working Group meetings. The GRIM results are presented in section V.B.2. Additional details about the GRIM, the discount rate, and other financial parameters can be found in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more efficient equipment is typically more expensive than manufacturing baseline equipment due to the use of more complex components, which are typically more costly than baseline components. The changes in the manufacturer production costs (MPCs) of covered products can affect the revenues, gross margins, and cash flow of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used the MPCs for each considered efficiency level calculated in the engineering analysis, as described in section IV.C and further detailed in chapter 5 of the direct final rule TSD. The engineering analysis developed multiple MPCs for split-system air conditioners based on representative capacities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2-ton, 3-ton, and 5-ton) and configurations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blower-coil versus coil only). Similarly, MPCs for split-system heat pumps were broken out by representative capacities. In addition, DOE used information from the engineering teardown analysis to disaggregate MPCs into material, labor, overhead, and depreciation costs. Both MPCs and cost breakdowns were validated and revised with manufacturers during manufacturer interviews. The MPCs used in the GRIM are presented in chapter 12 of the direct final rule TSD along with the methodology used to develop weighted average MPCs for split-system air conditioners using blower-coil and coil only shipment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those shipments by efficiency level. Changes in sales volumes and efficiency mix over time can significantly affect manufacturer finances. For this analysis, the GRIM uses the NIA's annual shipment forecasts derived from the shipments analysis from 2016 (the base year) to 2050 (the end year of the analysis period). See chapter 9 of the direct final rule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amended energy conservation standard would cause manufacturers to incur conversion costs to bring their production facilities and equipment designs into compliance. DOE evaluated the level of conversion-related expenditures that would be needed to comply with each considered efficiency level in each product class. For the MIA, DOE classified these conversion costs into two major groups: (1) Product conversion costs; and (2) capital conversion costs. Product conversion costs are investments in research, development, testing, marketing, and other non-capitalized costs necessary to make product designs comply with amended energy conservation standards. Capital conversion costs are investments in property, plant, and equipment necessary to adapt or change existing production facilities such that new compliant product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amended energy conservation standards, DOE used manufacturer interviews to request feedback on the anticipated level of capital investment that would be required at each efficiency level. However, DOE received very limited feedback on likely capital investments from manufacturers. As a result, DOE developed conversion cost estimates based on estimates of capital expenditure requirements derived from the product teardown analysis and engineering analysis described in chapter 5 of the DFR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product conversion costs manufacturers would likely incur to comply with amended energy conservation standards, DOE integrated data from quantitative and qualitative sources. As with capital conversion costs, DOE requested feedback from manufacturers regarding potential product conversion costs. Based on feedback received, DOE applied a scaling factor to estimate product conversion costs based on the magnitude of capital conversion costs. DOE estimated that product conversion costs account for 40 percent of total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of publication of the final rule and the year by which manufacturers must comply with the new standard. The conversion cost figures used in the GRIM can be found in section V.B.2 of this notice. For additional information on the estimated capital and product conversion costs, see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estimated in DOE's MPCs) </w:t>
      </w:r>
      <w:r>
        <w:rPr>
          <w:rFonts w:ascii="arial" w:eastAsia="arial" w:hAnsi="arial" w:cs="arial"/>
          <w:b/>
          <w:i w:val="0"/>
          <w:strike w:val="0"/>
          <w:noProof w:val="0"/>
          <w:color w:val="000000"/>
          <w:position w:val="0"/>
          <w:sz w:val="20"/>
          <w:u w:val="none"/>
          <w:vertAlign w:val="baseline"/>
        </w:rPr>
        <w:t> [*1826] </w:t>
      </w:r>
      <w:r>
        <w:rPr>
          <w:rFonts w:ascii="arial" w:eastAsia="arial" w:hAnsi="arial" w:cs="arial"/>
          <w:b w:val="0"/>
          <w:i w:val="0"/>
          <w:strike w:val="0"/>
          <w:noProof w:val="0"/>
          <w:color w:val="000000"/>
          <w:position w:val="0"/>
          <w:sz w:val="20"/>
          <w:u w:val="none"/>
          <w:vertAlign w:val="baseline"/>
        </w:rPr>
        <w:t xml:space="preserve">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product class and efficiency level. Modifying these markups in the standards case yields different sets of impacts on manufacturers. For the MIA, DOE modeled two standards-case markup scenarios to represent uncertainty regarding the potential impacts on prices and profitability for manufacturers following the implementation of amended energy conservation standards: (1) A preservation of gross margin percentage markup scenario; and (2) a tiered markup scenario. These scenarios lead to different markup values that, when applied to the MPCs, result in varying revenue and cash 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which assumes that manufacturers would be able to maintain the same amount of profit as a percentage of revenues at all efficiency levels within a product class. As production costs increase with efficiency, this scenario implies that the absolute dollar markup will increase as well. Based on publicly available financial information for manufacturers of residential central air conditioners and heat pumps as well as comments from manufacturer interviews, DOE assumed the average non-production cost baseline markup--which includes SG&amp;A expenses, R&amp;D expenses, interest, and profit--to be 1.34 for split-system air conditioners, 1.35 for split-system heat pumps, and 1.32 for single-package air conditioners and single-package heat pumps. Because the preservation of gross margin percentage markup scenario assumes manufacturers would be able to maintain their gross margin percentage markups as production costs increase in response to amended energy conservation standards, it represents a high bound to industry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tiered markup scenario, DOE modeled a situation in which manufacturers set markups based on three tiers of products. These tiers can be described as "good, better, best" or "value, standard, premium." Under this tiered structure, high-volume "value" product lines typically offer fewer features, lower efficiency, and lower markups, while "premium" product lines offer more features, higher efficiency, and higher markups. The tiered markup scenario evaluates impacts on manufacturers when the breadth of their product portfolios shrinks as higher energy conservation standards "demote" higher-tier products to lower tiers. In this scenario, higher-efficiency products that previously commanded "standard" and "premium" markups are reassigned "value" and "standard" markups respectively. This markup scenario represents the low bound to industry profitability under an amended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comparison of industry financial impacts under the two markup scenarios is presented in section V.B.2.a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Cumulative Regulatory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RFI stage, Lennox commented that manufacturers of central air conditioners and heat pumps face a significant cumulative regulatory burden and urged DOE both to consider the impact on manufacturers of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take action to minimize the associate economic burden. (Lennox, No.10 at p. 4) In response, DOE has performed an analysis of cumulative regulatory burden (CRB) in section V.B.2.e of this notice. The CRB analysis is intended to identify rulemakings that could be aligned or combined to minimize total burden. As such, the CRB section focuses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take effect within three years of the effective date of this rulemaking. Rulemakings addressed in the CRB include those for: Commercial Packaged Air Conditioners and Heat Pumps (Air-Cooled) </w:t>
      </w:r>
      <w:hyperlink r:id="rId78" w:history="1">
        <w:r>
          <w:rPr>
            <w:rFonts w:ascii="arial" w:eastAsia="arial" w:hAnsi="arial" w:cs="arial"/>
            <w:b w:val="0"/>
            <w:i/>
            <w:strike w:val="0"/>
            <w:noProof w:val="0"/>
            <w:color w:val="0077CC"/>
            <w:position w:val="0"/>
            <w:sz w:val="20"/>
            <w:u w:val="single"/>
            <w:vertAlign w:val="baseline"/>
          </w:rPr>
          <w:t>(81 FR 2420),</w:t>
        </w:r>
      </w:hyperlink>
      <w:r>
        <w:rPr>
          <w:rFonts w:ascii="arial" w:eastAsia="arial" w:hAnsi="arial" w:cs="arial"/>
          <w:b w:val="0"/>
          <w:i w:val="0"/>
          <w:strike w:val="0"/>
          <w:noProof w:val="0"/>
          <w:color w:val="000000"/>
          <w:position w:val="0"/>
          <w:sz w:val="20"/>
          <w:u w:val="none"/>
          <w:vertAlign w:val="baseline"/>
        </w:rPr>
        <w:t xml:space="preserve"> Residential Boilers </w:t>
      </w:r>
      <w:hyperlink r:id="rId79" w:history="1">
        <w:r>
          <w:rPr>
            <w:rFonts w:ascii="arial" w:eastAsia="arial" w:hAnsi="arial" w:cs="arial"/>
            <w:b w:val="0"/>
            <w:i/>
            <w:strike w:val="0"/>
            <w:noProof w:val="0"/>
            <w:color w:val="0077CC"/>
            <w:position w:val="0"/>
            <w:sz w:val="20"/>
            <w:u w:val="single"/>
            <w:vertAlign w:val="baseline"/>
          </w:rPr>
          <w:t>(81 FR 2320),</w:t>
        </w:r>
      </w:hyperlink>
      <w:r>
        <w:rPr>
          <w:rFonts w:ascii="arial" w:eastAsia="arial" w:hAnsi="arial" w:cs="arial"/>
          <w:b w:val="0"/>
          <w:i w:val="0"/>
          <w:strike w:val="0"/>
          <w:noProof w:val="0"/>
          <w:color w:val="000000"/>
          <w:position w:val="0"/>
          <w:sz w:val="20"/>
          <w:u w:val="none"/>
          <w:vertAlign w:val="baseline"/>
        </w:rPr>
        <w:t xml:space="preserve"> Commercial and Industrial Pumps </w:t>
      </w:r>
      <w:hyperlink r:id="rId80" w:history="1">
        <w:r>
          <w:rPr>
            <w:rFonts w:ascii="arial" w:eastAsia="arial" w:hAnsi="arial" w:cs="arial"/>
            <w:b w:val="0"/>
            <w:i/>
            <w:strike w:val="0"/>
            <w:noProof w:val="0"/>
            <w:color w:val="0077CC"/>
            <w:position w:val="0"/>
            <w:sz w:val="20"/>
            <w:u w:val="single"/>
            <w:vertAlign w:val="baseline"/>
          </w:rPr>
          <w:t>(80 FR 17826),</w:t>
        </w:r>
      </w:hyperlink>
      <w:r>
        <w:rPr>
          <w:rFonts w:ascii="arial" w:eastAsia="arial" w:hAnsi="arial" w:cs="arial"/>
          <w:b w:val="0"/>
          <w:i w:val="0"/>
          <w:strike w:val="0"/>
          <w:noProof w:val="0"/>
          <w:color w:val="000000"/>
          <w:position w:val="0"/>
          <w:sz w:val="20"/>
          <w:u w:val="none"/>
          <w:vertAlign w:val="baseline"/>
        </w:rPr>
        <w:t xml:space="preserve"> Portable Room Air Conditioners </w:t>
      </w:r>
      <w:hyperlink r:id="rId81" w:history="1">
        <w:r>
          <w:rPr>
            <w:rFonts w:ascii="arial" w:eastAsia="arial" w:hAnsi="arial" w:cs="arial"/>
            <w:b w:val="0"/>
            <w:i/>
            <w:strike w:val="0"/>
            <w:noProof w:val="0"/>
            <w:color w:val="0077CC"/>
            <w:position w:val="0"/>
            <w:sz w:val="20"/>
            <w:u w:val="single"/>
            <w:vertAlign w:val="baseline"/>
          </w:rPr>
          <w:t>(81 FR 38398),</w:t>
        </w:r>
      </w:hyperlink>
      <w:r>
        <w:rPr>
          <w:rFonts w:ascii="arial" w:eastAsia="arial" w:hAnsi="arial" w:cs="arial"/>
          <w:b w:val="0"/>
          <w:i w:val="0"/>
          <w:strike w:val="0"/>
          <w:noProof w:val="0"/>
          <w:color w:val="000000"/>
          <w:position w:val="0"/>
          <w:sz w:val="20"/>
          <w:u w:val="none"/>
          <w:vertAlign w:val="baseline"/>
        </w:rPr>
        <w:t xml:space="preserve"> Residential Furnace Fans </w:t>
      </w:r>
      <w:hyperlink r:id="rId66" w:history="1">
        <w:r>
          <w:rPr>
            <w:rFonts w:ascii="arial" w:eastAsia="arial" w:hAnsi="arial" w:cs="arial"/>
            <w:b w:val="0"/>
            <w:i/>
            <w:strike w:val="0"/>
            <w:noProof w:val="0"/>
            <w:color w:val="0077CC"/>
            <w:position w:val="0"/>
            <w:sz w:val="20"/>
            <w:u w:val="single"/>
            <w:vertAlign w:val="baseline"/>
          </w:rPr>
          <w:t>(80 FR 13120),</w:t>
        </w:r>
      </w:hyperlink>
      <w:r>
        <w:rPr>
          <w:rFonts w:ascii="arial" w:eastAsia="arial" w:hAnsi="arial" w:cs="arial"/>
          <w:b w:val="0"/>
          <w:i w:val="0"/>
          <w:strike w:val="0"/>
          <w:noProof w:val="0"/>
          <w:color w:val="000000"/>
          <w:position w:val="0"/>
          <w:sz w:val="20"/>
          <w:u w:val="none"/>
          <w:vertAlign w:val="baseline"/>
        </w:rPr>
        <w:t xml:space="preserve"> and Commercial Warm Air Furnaces </w:t>
      </w:r>
      <w:hyperlink r:id="rId78" w:history="1">
        <w:r>
          <w:rPr>
            <w:rFonts w:ascii="arial" w:eastAsia="arial" w:hAnsi="arial" w:cs="arial"/>
            <w:b w:val="0"/>
            <w:i/>
            <w:strike w:val="0"/>
            <w:noProof w:val="0"/>
            <w:color w:val="0077CC"/>
            <w:position w:val="0"/>
            <w:sz w:val="20"/>
            <w:u w:val="single"/>
            <w:vertAlign w:val="baseline"/>
          </w:rPr>
          <w:t>(81 FR 2420).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Lennox commented that given the complexities associated with regional standards and regulating central air conditioners and heat pumps, DOE should utilize a negotiated rulemaking approach. Lennox requested that DOE consider the pace and timing of rulemakings to ensure stakeholders can provide meaningful comments and analysis. (Lennox, No.10 at p. 3) As discussed throughout this document, DOE established a CAC/HP Working Group to negotiate amended standards for central air conditioners and heat pumps. The recommendations made by the CAC/HP Working Group are presented in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calculated using a methodology based on results published for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and a set of side cases that implement a variety of efficiency-related policies. The methodology is described in chapter 15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n78 The FFC upstream emissions are estimated based on the methodology described in chapter 15.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Available at </w:t>
      </w:r>
      <w:hyperlink r:id="rId82" w:history="1">
        <w:r>
          <w:rPr>
            <w:rFonts w:ascii="arial" w:eastAsia="arial" w:hAnsi="arial" w:cs="arial"/>
            <w:b w:val="0"/>
            <w:i/>
            <w:strike w:val="0"/>
            <w:noProof w:val="0"/>
            <w:color w:val="0077CC"/>
            <w:position w:val="0"/>
            <w:sz w:val="20"/>
            <w:u w:val="single"/>
            <w:vertAlign w:val="baseline"/>
          </w:rPr>
          <w:t>http://www2.epa.gov/climateleadership/center-corporate-climate-leadership-ghg-emission-factors-hub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the greenhouse gas by the gas's global warming potential (GWP) over a 100-year time horizon. Based on the Fifth Assessment Report of the Intergovernmental Panel on Climate Change, n79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IPCC, Climate Change 2013: The Physical Science Basis. Contribution of Working Group I to the Fifth Assessment Report of the Intergovernmental Panel on Climate Change (Cambridge University Press,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[*1827] </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83"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84"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which created an allowance-based trading program that operates along with the Title IV program. CAIR was remanded to the U.S. Environmental Protection Agency (EPA) by the U.S. Court of Appeals for the District of Columbia Circuit, but it remained in effect. n80 In 2011, EPA issued a replacement for CAIR, the Cross-State Air Pollution Rule (CSAPR). </w:t>
      </w:r>
      <w:hyperlink r:id="rId85"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n81 The court ordered EPA to continue administering CAIR. On April 29, 2014, the U.S. Supreme Court reversed the judgment of the D.C. Circuit and remanded the case for further proceedings consistent with the Supreme Court's opinion. n82 On October 23, 2014, the D.C. Circuit lifted the stay of CSAPR. n83 Pursuant to this action, CSAPR went into effect (and CAIR ceased to be in effect) as of January 1, 2015.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See </w:t>
      </w:r>
      <w:hyperlink r:id="rId86" w:history="1">
        <w:r>
          <w:rPr>
            <w:rFonts w:ascii="arial" w:eastAsia="arial" w:hAnsi="arial" w:cs="arial"/>
            <w:b w:val="0"/>
            <w:i/>
            <w:strike w:val="0"/>
            <w:noProof w:val="0"/>
            <w:color w:val="0077CC"/>
            <w:position w:val="0"/>
            <w:sz w:val="20"/>
            <w:u w:val="single"/>
            <w:vertAlign w:val="baseline"/>
          </w:rPr>
          <w:t>North Carolina v. EPA, 531 F.3d 896 (D.C. Cir. 2008),</w:t>
        </w:r>
      </w:hyperlink>
      <w:r>
        <w:rPr>
          <w:rFonts w:ascii="arial" w:eastAsia="arial" w:hAnsi="arial" w:cs="arial"/>
          <w:b w:val="0"/>
          <w:i w:val="0"/>
          <w:strike w:val="0"/>
          <w:noProof w:val="0"/>
          <w:color w:val="000000"/>
          <w:position w:val="0"/>
          <w:sz w:val="20"/>
          <w:u w:val="none"/>
          <w:vertAlign w:val="baseline"/>
        </w:rPr>
        <w:t xml:space="preserve"> modified on rehearing, </w:t>
      </w:r>
      <w:hyperlink r:id="rId87" w:history="1">
        <w:r>
          <w:rPr>
            <w:rFonts w:ascii="arial" w:eastAsia="arial" w:hAnsi="arial" w:cs="arial"/>
            <w:b w:val="0"/>
            <w:i/>
            <w:strike w:val="0"/>
            <w:noProof w:val="0"/>
            <w:color w:val="0077CC"/>
            <w:position w:val="0"/>
            <w:sz w:val="20"/>
            <w:u w:val="single"/>
            <w:vertAlign w:val="baseline"/>
          </w:rPr>
          <w:t>550 F.3d 1176 (D.C. Cir. 2008).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See </w:t>
      </w:r>
      <w:hyperlink r:id="rId88" w:history="1">
        <w:r>
          <w:rPr>
            <w:rFonts w:ascii="arial" w:eastAsia="arial" w:hAnsi="arial" w:cs="arial"/>
            <w:b w:val="0"/>
            <w:i/>
            <w:strike w:val="0"/>
            <w:noProof w:val="0"/>
            <w:color w:val="0077CC"/>
            <w:position w:val="0"/>
            <w:sz w:val="20"/>
            <w:u w:val="single"/>
            <w:vertAlign w:val="baseline"/>
          </w:rPr>
          <w:t>EME Homer City Generation, L.P. v. EPA, 696 F.3d 7 (D.C. Cir. 2012).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 xml:space="preserve">See </w:t>
      </w:r>
      <w:hyperlink r:id="rId89" w:history="1">
        <w:r>
          <w:rPr>
            <w:rFonts w:ascii="arial" w:eastAsia="arial" w:hAnsi="arial" w:cs="arial"/>
            <w:b w:val="0"/>
            <w:i/>
            <w:strike w:val="0"/>
            <w:noProof w:val="0"/>
            <w:color w:val="0077CC"/>
            <w:position w:val="0"/>
            <w:sz w:val="20"/>
            <w:u w:val="single"/>
            <w:vertAlign w:val="baseline"/>
          </w:rPr>
          <w:t>EPA v. EME Homer City Generation, L.P., 134 S.Ct. 1584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 EME Homer City Generation, L.P.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On July 28, 2015, the D.C. Circuit issued its opinion regarding the remaining issues raised with respect to CSAPR that were remand by the Supreme Court. The D.C. Circuit largely upheld CSAPR, but remanded to EPA without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certain States' emission budgets for reconsideration. </w:t>
      </w:r>
      <w:hyperlink r:id="rId90" w:history="1">
        <w:r>
          <w:rPr>
            <w:rFonts w:ascii="arial" w:eastAsia="arial" w:hAnsi="arial" w:cs="arial"/>
            <w:b w:val="0"/>
            <w:i/>
            <w:strike w:val="0"/>
            <w:noProof w:val="0"/>
            <w:color w:val="0077CC"/>
            <w:position w:val="0"/>
            <w:sz w:val="20"/>
            <w:u w:val="single"/>
            <w:vertAlign w:val="baseline"/>
          </w:rPr>
          <w:t>EME Homer City Generation, LP v. EPA, 795 F.3d 118 (D.C. Cir.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significant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decline as a result of the Mercury and Air Toxics Standards (MATS) for power plants. </w:t>
      </w:r>
      <w:hyperlink r:id="rId91"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(February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n85 Therefore, DOE believes that energy conservation standards will generally reduce SO[2] emissions in 2016 and beyond.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DOE notes that on June 29, 2015, the U.S. Supreme Court ruled that the EPA erred when the agency concluded that cost did not need to be considered in the finding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from coal- and oil-fired electric utility steam generating units (EGUs) is appropriate and necessary under section 112 of the Clean Air Act (CAA). </w:t>
      </w:r>
      <w:hyperlink r:id="rId92" w:history="1">
        <w:r>
          <w:rPr>
            <w:rFonts w:ascii="arial" w:eastAsia="arial" w:hAnsi="arial" w:cs="arial"/>
            <w:b w:val="0"/>
            <w:i/>
            <w:strike w:val="0"/>
            <w:noProof w:val="0"/>
            <w:color w:val="0077CC"/>
            <w:position w:val="0"/>
            <w:sz w:val="20"/>
            <w:u w:val="single"/>
            <w:vertAlign w:val="baseline"/>
          </w:rPr>
          <w:t>Michigan v. EPA, 135 S. Ct. 2699 (2015).</w:t>
        </w:r>
      </w:hyperlink>
      <w:r>
        <w:rPr>
          <w:rFonts w:ascii="arial" w:eastAsia="arial" w:hAnsi="arial" w:cs="arial"/>
          <w:b w:val="0"/>
          <w:i w:val="0"/>
          <w:strike w:val="0"/>
          <w:noProof w:val="0"/>
          <w:color w:val="000000"/>
          <w:position w:val="0"/>
          <w:sz w:val="20"/>
          <w:u w:val="none"/>
          <w:vertAlign w:val="baseline"/>
        </w:rPr>
        <w:t xml:space="preserve"> The Supreme Court did not vacate the MATS rule, and DOE has tentatively determined that the Court's decision on the MATS rule does not change the assumptions regarding the impact of energy conservation standards on SO[2] emissions. Further, the Court's decision does not change the impact of the energy conservation standards on mercury emissions. The EPA, in response to the U.S. Supreme Court's direction, has now considered cost in evaluating whether it is appropriate and necessary to regulate coal- and oil-fired EGUs under the CAA. EPA concluded in its final supplemental finding that a consideration of cost does not alter the EPA's previous determination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including mercury, from coal- and oil-fired EGUs is appropriate and necessary. </w:t>
      </w:r>
      <w:hyperlink r:id="rId93" w:history="1">
        <w:r>
          <w:rPr>
            <w:rFonts w:ascii="arial" w:eastAsia="arial" w:hAnsi="arial" w:cs="arial"/>
            <w:b w:val="0"/>
            <w:i/>
            <w:strike w:val="0"/>
            <w:noProof w:val="0"/>
            <w:color w:val="0077CC"/>
            <w:position w:val="0"/>
            <w:sz w:val="20"/>
            <w:u w:val="single"/>
            <w:vertAlign w:val="baseline"/>
          </w:rPr>
          <w:t>79 FR 24420</w:t>
        </w:r>
      </w:hyperlink>
      <w:r>
        <w:rPr>
          <w:rFonts w:ascii="arial" w:eastAsia="arial" w:hAnsi="arial" w:cs="arial"/>
          <w:b w:val="0"/>
          <w:i w:val="0"/>
          <w:strike w:val="0"/>
          <w:noProof w:val="0"/>
          <w:color w:val="000000"/>
          <w:position w:val="0"/>
          <w:sz w:val="20"/>
          <w:u w:val="none"/>
          <w:vertAlign w:val="baseline"/>
        </w:rPr>
        <w:t xml:space="preserve"> (April 25, 2016). The MATS rule remains in effect, but litigation is pending in the D.C. Circuit Court of Appeals over EPA's final supplemental finding MATS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n86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increases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the increase in electricity demand associated with the residential furnace efficiency levels would be expected to increase mercury emissions. DOE estimated mercury emissions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similar to the calculation of the NPV of consumer benefit, DOE considered the reduced emissions expected to result over the lifetime of equipment shipped in the forecast period for each TSL. This section summarizes the basis for the monetary values used for each of these emissions and presents the values considered in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social cost of carbon (SCC) is an estimate of the monetized damages associated with an incremental increase </w:t>
      </w:r>
      <w:r>
        <w:rPr>
          <w:rFonts w:ascii="arial" w:eastAsia="arial" w:hAnsi="arial" w:cs="arial"/>
          <w:b/>
          <w:i w:val="0"/>
          <w:strike w:val="0"/>
          <w:noProof w:val="0"/>
          <w:color w:val="000000"/>
          <w:position w:val="0"/>
          <w:sz w:val="20"/>
          <w:u w:val="none"/>
          <w:vertAlign w:val="baseline"/>
        </w:rPr>
        <w:t> [*1828] </w:t>
      </w:r>
      <w:r>
        <w:rPr>
          <w:rFonts w:ascii="arial" w:eastAsia="arial" w:hAnsi="arial" w:cs="arial"/>
          <w:b w:val="0"/>
          <w:i w:val="0"/>
          <w:strike w:val="0"/>
          <w:noProof w:val="0"/>
          <w:color w:val="000000"/>
          <w:position w:val="0"/>
          <w:sz w:val="20"/>
          <w:u w:val="none"/>
          <w:vertAlign w:val="baseline"/>
        </w:rPr>
        <w:t xml:space="preserv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carbon dioxide. A domestic SCC value is meant to reflect the value of damages in the United States resulting from a unit change in carbon dioxide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94"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(October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DOE acknowledges that there are many uncertainties involved in the estimates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carbon dioxide emissions, the analyst faces a number of challenges. A recent report from the National Research Council n87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carbon dioxide emissions. The agency can estimate the benefits from reduced (or costs from increased) emissions in any future year by multiplying the change in emissions in that year by the SCC value appropriate for that year. The net present value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of reducing carbon dioxide emissions. To ensure consistency in how benefits were evaluated across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global SCC estimates for 2007 (in 2006 dollars)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calculate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the interagency group selected four sets of SCC values for use in regulatory analyses. Three sets of values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although preference is given to consideration of the global benefits of reducing CO[2] emissions. n 88 </w:t>
      </w:r>
      <w:r>
        <w:rPr>
          <w:rFonts w:ascii="arial" w:eastAsia="arial" w:hAnsi="arial" w:cs="arial"/>
          <w:b/>
          <w:i w:val="0"/>
          <w:strike w:val="0"/>
          <w:noProof w:val="0"/>
          <w:color w:val="000000"/>
          <w:position w:val="0"/>
          <w:sz w:val="20"/>
          <w:u w:val="none"/>
          <w:vertAlign w:val="baseline"/>
        </w:rPr>
        <w:t> [*1829] </w:t>
      </w:r>
      <w:r>
        <w:rPr>
          <w:rFonts w:ascii="arial" w:eastAsia="arial" w:hAnsi="arial" w:cs="arial"/>
          <w:b w:val="0"/>
          <w:i w:val="0"/>
          <w:strike w:val="0"/>
          <w:noProof w:val="0"/>
          <w:color w:val="000000"/>
          <w:position w:val="0"/>
          <w:sz w:val="20"/>
          <w:u w:val="none"/>
          <w:vertAlign w:val="baseline"/>
        </w:rPr>
        <w:t xml:space="preserve"> Table IV-17 presents the values in the 2010 interagency group report, n89 which is reproduced in appendix 14-A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Interagency Working Group on Social Cost of Carbon,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val="0"/>
          <w:i/>
          <w:strike w:val="0"/>
          <w:noProof w:val="0"/>
          <w:color w:val="000000"/>
          <w:position w:val="0"/>
          <w:sz w:val="20"/>
          <w:u w:val="none"/>
          <w:vertAlign w:val="baseline"/>
        </w:rPr>
        <w:t xml:space="preserve">available at </w:t>
      </w:r>
      <w:hyperlink r:id="rId95"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1680"/>
        <w:gridCol w:w="16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IV-17--Annual SCC Values From 2010 Interagency Report, 2010-2050</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70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 Percentile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calculated using the most recent versions of the three integrated assessment models that have been published in the peer-reviewed literature, as described in the 2013 update from the interagency working group (revised July 2015).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United States Government-Interagency Working Group on Social Cost of Carbon.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May 2013. Revised July 2015. </w:t>
      </w:r>
      <w:hyperlink r:id="rId20"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IV-18 shows the updated sets of SCC estimates from the latest interagency update in five-year increments from 2010 to 2050. Appendix 14-B of the direct final rule TSD provides the full set of values. The central value that emerges is the average SCC across models at a 3-percent discount rate. However, for purposes of capturing the uncertainties involved in regulatory impact analysis, the interagency group emphasizes the importance of including all four sets of SCC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1680"/>
        <w:gridCol w:w="16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IV-18--Annual SCC Values From 2013 Interagency Update (Revised July</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70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 Percentile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describes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 In July 2015 OMB published a detailed summary and formal response to the many comments that were received. </w:t>
      </w:r>
      <w:hyperlink r:id="rId96"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in considering the potential global benefits resulting from reduced CO[2] emissions, DOE used the </w:t>
      </w:r>
      <w:r>
        <w:rPr>
          <w:rFonts w:ascii="arial" w:eastAsia="arial" w:hAnsi="arial" w:cs="arial"/>
          <w:b/>
          <w:i w:val="0"/>
          <w:strike w:val="0"/>
          <w:noProof w:val="0"/>
          <w:color w:val="000000"/>
          <w:position w:val="0"/>
          <w:sz w:val="20"/>
          <w:u w:val="none"/>
          <w:vertAlign w:val="baseline"/>
        </w:rPr>
        <w:t> [*1830] </w:t>
      </w:r>
      <w:r>
        <w:rPr>
          <w:rFonts w:ascii="arial" w:eastAsia="arial" w:hAnsi="arial" w:cs="arial"/>
          <w:b w:val="0"/>
          <w:i w:val="0"/>
          <w:strike w:val="0"/>
          <w:noProof w:val="0"/>
          <w:color w:val="000000"/>
          <w:position w:val="0"/>
          <w:sz w:val="20"/>
          <w:u w:val="none"/>
          <w:vertAlign w:val="baseline"/>
        </w:rPr>
        <w:t xml:space="preserve"> values from the 2013 interagency report, adjusted to 2015$ using the Gross Domestic Product price deflator. For each of the four SCC cases specified, the values used for emissions in 2015 were $ 12.4, $ 40.6, $ 63.2, and $ 118 per metric ton avoided (values expressed in 2015]. DOE derived values after 2050 based on the trend in 2010-2050 in each of the four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n92 The report includes high and low values for NO[X] (as PM[2.5]) for 2020, 2025, and 2030 discounted at 3 percent and 7 percent; these values are presented in appendix 14C of the direct final rule TSD. DOE primarily relied on the low estimates to be conservative. n93 The national average low values for 2020 (in 2015] are $ 3,187/ton at 3-percent discount rate and $ 2,869/ton at 7-percent discount rate. DOE assigned values after 2030 using the value for 2030. DOE developed values specific to the end-use category for residential air conditioners and heat pumps using a method described in appendix 14C. For this analysis DOE used linear interpolation to define values for the years between 2020 and 2025 and between 2025 and 2030; for years beyond 2030 the value is held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Available at: </w:t>
      </w:r>
      <w:hyperlink r:id="rId21"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Tables 4A-3, 4A-4, and 4A-5 in the report.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w:t>
      </w:r>
      <w:r>
        <w:rPr>
          <w:rFonts w:ascii="arial" w:eastAsia="arial" w:hAnsi="arial" w:cs="arial"/>
          <w:b w:val="0"/>
          <w:i w:val="0"/>
          <w:strike w:val="0"/>
          <w:noProof w:val="0"/>
          <w:color w:val="000000"/>
          <w:position w:val="0"/>
          <w:sz w:val="20"/>
          <w:u w:val="none"/>
          <w:vertAlign w:val="baseline"/>
        </w:rPr>
        <w:t xml:space="preserve"> Order in Pending Case, 577 U.S. ___(2016). However, the benefit-per-ton estimates established in the Regulatory Impact Analysis for the Clean Power Plan are based on scientific studies that remain valid irrespective of the legal status of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For the monetized NO[X] benefits associated with PM[2.5], the related benefits are primarily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et al. 2012), the values would be nearly two-and-a-half times larger. (See chapter 14 of the direct final rule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(in tons) in each year by the associated $ /ton values, and then discounted each series using discount rates of 3 percent and 7 percent as appropriate. DOE will continue to evaluate the monetization of avoided NO[X] emissions and will make any appropriate updates in energy conservation standards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DFR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impacts from new or amended energy conservation standards include direct and indirect impacts. Direct employment impacts are any changes in the number of employees of manufacturers of the products subject to standards;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jobs created or eliminated in the national economy, other than in the manufacturing sector being regulated, due to: (1) Reduced spending by end users on energy; (2) reduced spending on new energy supply by the utility industry; (3) increased consumer spending on the purchase of new products;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n94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suggest that net national employment may increase because of shifts in economic activity resulting from amended standards for central air conditioners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Economic Analysis, "Regional Multipliers: A Handbook for the Regional Input-Output Modeling System (RIMS II),"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indirect national employment impacts for the standard levels considered in this direct final rule using an input/output model of the U.S. economy called Impact of Sector Energy </w:t>
      </w:r>
      <w:r>
        <w:rPr>
          <w:rFonts w:ascii="arial" w:eastAsia="arial" w:hAnsi="arial" w:cs="arial"/>
          <w:b/>
          <w:i w:val="0"/>
          <w:strike w:val="0"/>
          <w:noProof w:val="0"/>
          <w:color w:val="000000"/>
          <w:position w:val="0"/>
          <w:sz w:val="20"/>
          <w:u w:val="none"/>
          <w:vertAlign w:val="baseline"/>
        </w:rPr>
        <w:t> [*1831] </w:t>
      </w:r>
      <w:r>
        <w:rPr>
          <w:rFonts w:ascii="arial" w:eastAsia="arial" w:hAnsi="arial" w:cs="arial"/>
          <w:b w:val="0"/>
          <w:i w:val="0"/>
          <w:strike w:val="0"/>
          <w:noProof w:val="0"/>
          <w:color w:val="000000"/>
          <w:position w:val="0"/>
          <w:sz w:val="20"/>
          <w:u w:val="none"/>
          <w:vertAlign w:val="baseline"/>
        </w:rPr>
        <w:t xml:space="preserve"> Technologies, Version 3.1.1 (ImSET). n95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DFR, DOE used ImSET only to estimate short-term (through 2023) employment impacts, where these uncertainties are reduced.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M.J. Scott, </w:t>
      </w:r>
      <w:r>
        <w:rPr>
          <w:rFonts w:ascii="arial" w:eastAsia="arial" w:hAnsi="arial" w:cs="arial"/>
          <w:b w:val="0"/>
          <w:i/>
          <w:strike w:val="0"/>
          <w:noProof w:val="0"/>
          <w:color w:val="000000"/>
          <w:position w:val="0"/>
          <w:sz w:val="20"/>
          <w:u w:val="none"/>
          <w:vertAlign w:val="baseline"/>
        </w:rPr>
        <w:t>et. al., ImSET 3.1: Impact of Sector Energy Technologies,</w:t>
      </w:r>
      <w:r>
        <w:rPr>
          <w:rFonts w:ascii="arial" w:eastAsia="arial" w:hAnsi="arial" w:cs="arial"/>
          <w:b w:val="0"/>
          <w:i w:val="0"/>
          <w:strike w:val="0"/>
          <w:noProof w:val="0"/>
          <w:color w:val="000000"/>
          <w:position w:val="0"/>
          <w:sz w:val="20"/>
          <w:u w:val="none"/>
          <w:vertAlign w:val="baseline"/>
        </w:rPr>
        <w:t xml:space="preserve"> PNNL-18412, (2009), </w:t>
      </w:r>
      <w:r>
        <w:rPr>
          <w:rFonts w:ascii="arial" w:eastAsia="arial" w:hAnsi="arial" w:cs="arial"/>
          <w:b w:val="0"/>
          <w:i/>
          <w:strike w:val="0"/>
          <w:noProof w:val="0"/>
          <w:color w:val="000000"/>
          <w:position w:val="0"/>
          <w:sz w:val="20"/>
          <w:u w:val="none"/>
          <w:vertAlign w:val="baseline"/>
        </w:rPr>
        <w:t xml:space="preserve">available at </w:t>
      </w:r>
      <w:hyperlink r:id="rId97"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details on the employment impact analysis, see chapter 16 of the DFR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results from DOE's analyses with respect to amended energy conservation standards for central air conditioners and heat pumps. It addresses the trial standard levels examined by DOE, the projected impacts of each of these levels if adopted as energy conservation standards for central air conditioners and heat pumps, and the standards levels that DOE is adopting in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DFR, DOE analyzed the benefits and burdens of seven TSLs for central air conditioners and heat pumps. These TSLs were developed using combinations of efficiency levels for each of the product classes analyzed by DOE. DOE presents the results for those TSLs in this document. The results for all efficiency levels that DOE analyzed are in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presents the TSLs and the corresponding efficiency levels for the central air conditioner and heat pump product classes. TSL 4 represents the maximum technologically feasible ("max-tech") for all product classes. TSL 3 represents the maximum energy savings, considering a national standard. TSL 2, the Recommended TSL, represents the maximum national NPV, considering regional standards. TSL 1 represents a minimal increase in SEER for split-system product classes only, considering regional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Air Conditioners and Heat Pumps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Split-system</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Split-system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 pumps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HSPF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Hot-Humid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Hot-Dry *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HSPF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Hot-Humid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Hot-Dry *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HSPF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17.0/16.5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19.0/17.5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HSPF</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9.9/9.4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Air Conditioners and Heat Pumps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Small-duct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Space-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 AC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 heat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high-velocity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constrain. AC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Recommended TSL includes energy conservation standards based on EER in addition to SEER for split-system and single-package air conditioners in the Hot-Dry region. For split-system air conditioners the EER standards are: 12.2 EER for cooling capacities less than 45,000 Btu/hr; 11.7 EER for cooling capacities equal to or greater than 45,000 Btu/hr; and 10.2 EER for split-system air conditioners with a seasonal energy efficiency ratio greater than or equal to 16.0. For single-package air conditioners, the EER standard is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Hot-Humid includes: The states of Alabama, Arkansas, Delaware, Florida, Georgia, Hawaii, Kentucky, Louisiana, Maryland, Mississippi, North Carolina, Oklahoma, Puerto Rico, South Carolina, Tennessee, Texas, Virginia, the District of Columbia,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Hot-Dry includes the states of Arizona, California, Nevada, and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15.0 SEER energy conservation standard applies to cooling capacities less than 45,000 Btu/hr; the 14.5 SEER energy conservation standard applies to cooling capacities equal to or greater than 45,000 Btu/hr.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17.0 SEER energy conservation standard applies to cooling capacities less than 30,000 Btu/hr; the 16.5 SEER energy conservation standards applies to cooling capacities equal to or greater than 30,000 Btu/hr.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19.0 SEER and 9.9 HSPF energy conservation standards apply to cooling capacities less than 45,000 Btu/hr; the 17.5 SEER and 9.4 HSPF energy conservation standards apply to cooling capacities equal to or greater than 45,000 Btu/hr.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n/a--Not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central air conditioner and heat pump consumers by looking at the effects potential amended standards at each TSL would have on the LCC and PBP. DOE also examined the impacts of potential standards on selected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w:t>
      </w:r>
      <w:r>
        <w:rPr>
          <w:rFonts w:ascii="arial" w:eastAsia="arial" w:hAnsi="arial" w:cs="arial"/>
          <w:b/>
          <w:i w:val="0"/>
          <w:strike w:val="0"/>
          <w:noProof w:val="0"/>
          <w:color w:val="000000"/>
          <w:position w:val="0"/>
          <w:sz w:val="20"/>
          <w:u w:val="none"/>
          <w:vertAlign w:val="baseline"/>
        </w:rPr>
        <w:t> [*1832] </w:t>
      </w:r>
      <w:r>
        <w:rPr>
          <w:rFonts w:ascii="arial" w:eastAsia="arial" w:hAnsi="arial" w:cs="arial"/>
          <w:b w:val="0"/>
          <w:i w:val="0"/>
          <w:strike w:val="0"/>
          <w:noProof w:val="0"/>
          <w:color w:val="000000"/>
          <w:position w:val="0"/>
          <w:sz w:val="20"/>
          <w:u w:val="none"/>
          <w:vertAlign w:val="baseline"/>
        </w:rPr>
        <w:t xml:space="preserve">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direct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show the LCC and PBP results for the TSLs considered for each product class. In the first of each pair of tables, the simple payback is measured relative to consumer use of the baseline product. In the second table, the LCC impacts are measured relative to the consumer LCCs projected for the no-new-standards case in the compliance year (see section IV.F.2.f). Because some consumers purchase products with higher efficiency in the no-new-standards case, the average savings are less than the difference between the average LCC of EL 0 and the average LCC at each TSL. The savings refer only to consumers who are affected by a standard at a given TSL. Those who already purchase a product with an efficiency at or above a given TSL are not affected.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Split-System Central Air Conditioners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$ 3,966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Hot-Dry</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Hot-Humid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Hot-Dry</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Hot-Humid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Hot-Dry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Hot-Humid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 *</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17/16.5/16.5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4,906</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Split-System Central Air Conditioners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$ 7,841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9,862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9,036</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with that efficiency level. The PBP is measured relative to use of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15 SEER for 2 and 3 ton units, 14.5 SEER for 5 ton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Max-Tech SEER is different for 2, 3, and 5 ton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15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V-3--LCC Impacts Relative to the No-New-Standards Case for Split-System</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Air Conditioners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Hot-Dry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Hot-Humid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Hot-Dry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Hot-Humid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Hot-Dry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Hot-Humid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17/16.5/16.5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15 SEER for 2 and 3 ton units, 14.5 SEER for 5 ton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Max-Tech SEER is different for 2, 3, and 5 ton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w:t>
            </w:r>
          </w:p>
        </w:tc>
      </w:tr>
      <w:tr>
        <w:tblPrEx>
          <w:tblW w:w="0" w:type="auto"/>
          <w:jc w:val="center"/>
          <w:tblLayout w:type="fixed"/>
          <w:tblCellMar>
            <w:left w:w="108" w:type="dxa"/>
            <w:right w:w="108" w:type="dxa"/>
          </w:tblCellMar>
        </w:tblPrEx>
        <w:trPr>
          <w:tblHeader/>
          <w:jc w:val="center"/>
        </w:trPr>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Split-System Central Heat Pumps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19/19/17.5</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320"/>
        <w:gridCol w:w="1320"/>
        <w:gridCol w:w="1320"/>
        <w:gridCol w:w="132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Split-System Central Heat Pumps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$ 11,642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20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with that efficiency level. The PBP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Max-Tech SEER is different for 2, 3, and 5 ton unit. </w:t>
      </w:r>
      <w:r>
        <w:rPr>
          <w:rFonts w:ascii="arial" w:eastAsia="arial" w:hAnsi="arial" w:cs="arial"/>
          <w:b/>
          <w:i w:val="0"/>
          <w:strike w:val="0"/>
          <w:noProof w:val="0"/>
          <w:color w:val="000000"/>
          <w:position w:val="0"/>
          <w:sz w:val="20"/>
          <w:u w:val="none"/>
          <w:vertAlign w:val="baseline"/>
        </w:rPr>
        <w:t> [*1833]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3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V-5--LCC Impacts Relative to the No-New-Standards Case for Split-System</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Heat Pumps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net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19/19/17.5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Max-Tech SEER is different for 2, 3, and 5 ton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080"/>
        <w:gridCol w:w="6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for Packaged Central Air Conditioners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08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08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$ 4,779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$ 5,452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$ 10,231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mended</w:t>
            </w:r>
          </w:p>
        </w:tc>
        <w:tc>
          <w:tcPr>
            <w:tcW w:w="108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10,281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with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V-7--LCC Impacts Relative to the No-New-Standards Case for Packaged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Air Conditioners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net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w:t>
            </w:r>
          </w:p>
        </w:tc>
      </w:tr>
      <w:tr>
        <w:tblPrEx>
          <w:tblW w:w="0" w:type="auto"/>
          <w:jc w:val="center"/>
          <w:tblLayout w:type="fixed"/>
          <w:tblCellMar>
            <w:left w:w="108" w:type="dxa"/>
            <w:right w:w="108" w:type="dxa"/>
          </w:tblCellMar>
        </w:tblPrEx>
        <w:trPr>
          <w:tblHeader/>
          <w:jc w:val="center"/>
        </w:trPr>
        <w:tc>
          <w:tcPr>
            <w:tcW w:w="54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Packaged Central Heat Pumps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Packaged Central Heat Pumps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$ 5,361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$ 12,359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with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V-9--LCC Impacts Relative to the No-New-Standards Case for Packaged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Heat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net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6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w:t>
            </w:r>
          </w:p>
        </w:tc>
      </w:tr>
      <w:tr>
        <w:tblPrEx>
          <w:tblW w:w="0" w:type="auto"/>
          <w:jc w:val="center"/>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Space-Constrained Air Conditioners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$ 4,736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$ 8,515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mended</w:t>
            </w:r>
          </w:p>
        </w:tc>
        <w:tc>
          <w:tcPr>
            <w:tcW w:w="108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with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V-11--LCC Impacts Relative to the No-New-Standards Case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Space-Constrained Air Conditioners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net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6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and PBP Results for</w:t>
            </w:r>
          </w:p>
        </w:tc>
      </w:tr>
      <w:tr>
        <w:tblPrEx>
          <w:tblW w:w="0" w:type="auto"/>
          <w:jc w:val="center"/>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Small-Duct High-Velocity Air Conditioners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$ 9,579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mended</w:t>
            </w:r>
          </w:p>
        </w:tc>
        <w:tc>
          <w:tcPr>
            <w:tcW w:w="1080" w:type="dxa"/>
            <w:tcBorders>
              <w:bottom w:val="nil"/>
              <w:right w:val="nil"/>
            </w:tcBorders>
          </w:tcPr>
          <w:p/>
        </w:tc>
        <w:tc>
          <w:tcPr>
            <w:tcW w:w="6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6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with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V.13--LCC Impacts Relative to the No-New-Standards Case for Small-Duct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High-Velocity Air Conditioners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net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consumer subgroup analysis, DOE estimated the impacts of the considered TSLs on low-income households and senior-only households. The average LCC savings and simple payback periods for low-income and senior-only households are compared to the results for all consumers of split air conditioners and split heat pumps in Table V-12 and Table V-13. In most cases, the average LCC savings and PBP for low-income households and senior-only households at the considered efficiency levels are not substantially different from the average for all households. Chapter 11 of the direct final rule TSD presents detailed results of the consumer subgroup analysis. </w:t>
      </w:r>
      <w:r>
        <w:rPr>
          <w:rFonts w:ascii="arial" w:eastAsia="arial" w:hAnsi="arial" w:cs="arial"/>
          <w:b/>
          <w:i w:val="0"/>
          <w:strike w:val="0"/>
          <w:noProof w:val="0"/>
          <w:color w:val="000000"/>
          <w:position w:val="0"/>
          <w:sz w:val="20"/>
          <w:u w:val="none"/>
          <w:vertAlign w:val="baseline"/>
        </w:rPr>
        <w:t> [*1835]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V-12--Split-System Central Air Conditioners: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 for Senior-Only and Low-Income Consumer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Compared to All Households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Hot-Dry</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Hot-Humid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Hot-Dry</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Hot-Humid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Hot-Dry</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Hot-Humid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17/16.5/16.5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V-12--Split-System Central Air Conditioners:</w:t>
            </w:r>
          </w:p>
        </w:tc>
      </w:tr>
      <w:tr>
        <w:tblPrEx>
          <w:tblW w:w="0" w:type="auto"/>
          <w:jc w:val="center"/>
          <w:tblLayout w:type="fixed"/>
          <w:tblCellMar>
            <w:left w:w="108" w:type="dxa"/>
            <w:right w:w="108" w:type="dxa"/>
          </w:tblCellMar>
        </w:tblPrEx>
        <w:trPr>
          <w:tblHeader/>
          <w:jc w:val="center"/>
        </w:trPr>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 for Senior-Only and Low-Income Consumer</w:t>
            </w:r>
          </w:p>
        </w:tc>
      </w:tr>
      <w:tr>
        <w:tblPrEx>
          <w:tblW w:w="0" w:type="auto"/>
          <w:jc w:val="center"/>
          <w:tblLayout w:type="fixed"/>
          <w:tblCellMar>
            <w:left w:w="108" w:type="dxa"/>
            <w:right w:w="108" w:type="dxa"/>
          </w:tblCellMar>
        </w:tblPrEx>
        <w:trPr>
          <w:tblHeader/>
          <w:jc w:val="center"/>
        </w:trPr>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Compared to All Households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15 SEER for 2 and 3 ton units, 14.5 SEER for 5 ton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Max-Tech SEER is different for 2, 3, and 5 ton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V-13--Split-System Heat Pumps: Impacts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 and Low-Income Consumer Subgroups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Compared to All Households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 fn19 17.5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V-13--Split-System Heat Pumps: Impacts for</w:t>
            </w:r>
          </w:p>
        </w:tc>
      </w:tr>
      <w:tr>
        <w:tblPrEx>
          <w:tblW w:w="0" w:type="auto"/>
          <w:jc w:val="center"/>
          <w:tblLayout w:type="fixed"/>
          <w:tblCellMar>
            <w:left w:w="108" w:type="dxa"/>
            <w:right w:w="108" w:type="dxa"/>
          </w:tblCellMar>
        </w:tblPrEx>
        <w:trPr>
          <w:tblHeader/>
          <w:jc w:val="center"/>
        </w:trPr>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 and Low-Income Consumer Subgroups</w:t>
            </w:r>
          </w:p>
        </w:tc>
      </w:tr>
      <w:tr>
        <w:tblPrEx>
          <w:tblW w:w="0" w:type="auto"/>
          <w:jc w:val="center"/>
          <w:tblLayout w:type="fixed"/>
          <w:tblCellMar>
            <w:left w:w="108" w:type="dxa"/>
            <w:right w:w="108" w:type="dxa"/>
          </w:tblCellMar>
        </w:tblPrEx>
        <w:trPr>
          <w:tblHeader/>
          <w:jc w:val="center"/>
        </w:trPr>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Compared to All Households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Max-Tech SEER is different for 2, 3, and 5 ton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III.J.2, EPCA establishes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payback period for each of the considered TSLs, DOE used discrete values rather than distributions for input values, and, as required by EPCA, based the energy use calculation on the DOE test procedures for central air conditioners and heat pumps. In contrast, the PBPs presented in section V.B.1.a were calculated using distributions that reflect the range of energy use in the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V-14 presents the rebuttable-presumption payback periods for the considered TSLs. While DOE examined the rebuttable-presumption criterion, it considered whether the standard levels considered for this rule are economically justified through a more detailed analysis of the economic impacts of those levels, pursuant to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 Rebuttable Presumption Payback Period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Central Air Conditioners and Heat Pumps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Air Conditioners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Heat Pumps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Air Conditioners *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Heat Pumps *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 Air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 *</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rebuttable presumption payback period uses a national calculation so there are no results for TSL 1 and the Recommended TSL because split-system central air conditioners have regional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TSL is set at the baseline level so payback period is not relevant. </w:t>
      </w:r>
      <w:r>
        <w:rPr>
          <w:rFonts w:ascii="arial" w:eastAsia="arial" w:hAnsi="arial" w:cs="arial"/>
          <w:b/>
          <w:i w:val="0"/>
          <w:strike w:val="0"/>
          <w:noProof w:val="0"/>
          <w:color w:val="000000"/>
          <w:position w:val="0"/>
          <w:sz w:val="20"/>
          <w:u w:val="none"/>
          <w:vertAlign w:val="baseline"/>
        </w:rPr>
        <w:t> [*1836]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 manufacturer impact analysis (MIA) to estimate the impact of amended energy conservation standards on central air conditioner and heat pump manufacturers. The following section describes the expected impacts on manufacturers at each considered TSL. Chapter 12 of the direct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V-15 and Table V-16 depict the estimated financial impacts (represented by changes in industry net present value, or INPV) of amended energy conservation standards on manufacturers of central air conditioners and heat pumps, as well as the conversion costs that DOE expects manufacturers would incur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2.b, DOE modeled two different markup scenarios to evaluate the range of cash flow impacts on the central air conditioner and heat pump industry: (1) The preservation of gross margin percentage markup scenario; and (2) the 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less severe end of the range of potential impacts on industry profitability, DOE modeled a preservation of gross margin percentage markup scenario, in which a uniform "gross margin percentage" markup is applied across all potential efficiency levels. In this scenario, DOE assumed that a manufacturer's absolute dollar markup would increase as production costs increase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more severe end of the range of potential impacts on industry profitability, DOE modeled a tiered markup scenario. In this scenario, the breadth of manufacturers' product portfolios shrinks as higher energy conservation standards increase the efficiency of baseline products. In this scenario, products in more efficient tiers that previously commanded higher markups are "demoted" to lower efficiency tiers that command lower markups. The contraction in markups in this scenario reduces manufacturers' per-unit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markup scenarios results in a unique set of cash flows and corresponding industry values at each TSL. In the following discussion, the INPV results refer to the difference in industry value between the no-new-standards case and each standards case that result from the sum of discounted cash flows from the base year (2016) through the end of the analysis period (2050). To provide perspective on the short-run cash flow impact, DOE includes in the discussion of results a comparison of free cash flow between the no-new-standards case and the standards case at each TSL in the year before amended standards would take effect. This figure provides an understanding of the magnitude of required conversion costs relative to cash flows calculated by the industry in the no-new-standards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320"/>
        <w:gridCol w:w="1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V-15--Manufacturer Impact Analysis Results for Central</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 Conditioners and Heat Pumps: Preservation of Gross Margin</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Markup Scenario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(429.6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TSL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 All values have been rounded to the nearest tenth. M =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TSL recommended by the CAC/HP Working Group with 2023 compliance date. All other TSLs have a modeled compliance date of 2021, which is six years after the compliance date of the standards adopted in the June 27, 2011 DFR.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320"/>
        <w:gridCol w:w="1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V-16--Manufacturer Impact Analysis Results for Central</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 Conditioners and Heat Pumps: Tiered Markup Scenario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(426.8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TSL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 All values have been rounded to the nearest tenth. M =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TSL recommended by the CAC/HP Working Group with 2023 compliance date. All other TSLs have a modeled compliance date of 2021, which is six years after the compliance date of the standards adopted in the June 27, 2011 DFR.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1, DOE estimates impacts on INPV to range from -$ 644.1 million to -$ 29.9 million, or a change of -14.3 percent to -0.7 percent. DOE projects that in the absence of new standards, 57 percent of central air conditioner and heat pump shipments would already meet or exceed the efficiency levels prescribed by TSL 1 in the compliance </w:t>
      </w:r>
      <w:r>
        <w:rPr>
          <w:rFonts w:ascii="arial" w:eastAsia="arial" w:hAnsi="arial" w:cs="arial"/>
          <w:b/>
          <w:i w:val="0"/>
          <w:strike w:val="0"/>
          <w:noProof w:val="0"/>
          <w:color w:val="000000"/>
          <w:position w:val="0"/>
          <w:sz w:val="20"/>
          <w:u w:val="none"/>
          <w:vertAlign w:val="baseline"/>
        </w:rPr>
        <w:t> [*1837] </w:t>
      </w:r>
      <w:r>
        <w:rPr>
          <w:rFonts w:ascii="arial" w:eastAsia="arial" w:hAnsi="arial" w:cs="arial"/>
          <w:b w:val="0"/>
          <w:i w:val="0"/>
          <w:strike w:val="0"/>
          <w:noProof w:val="0"/>
          <w:color w:val="000000"/>
          <w:position w:val="0"/>
          <w:sz w:val="20"/>
          <w:u w:val="none"/>
          <w:vertAlign w:val="baseline"/>
        </w:rPr>
        <w:t xml:space="preserve"> year (2021). DOE estimates total industry conversion costs of $ 101.7 million would be required to bring the balance of shipments into compliance with a new standard. These conversion costs drive an estimated decrease in industry free cash flow in the year before the compliance date (2020). In the more severe tiered markup scenario, DOE estimates a decrease in industry free cash flow in the year prior to compliance of $ 39.8 million, or a change of -9.7 percent relative to the no-new-standards case value of $ 411.9 million. At TSL 1, DOE also projects higher unit prices will result in a slight decrease in total shipments over the period beginning with the compliance year (2021) and ending in 2050. DOE estimates a change in shipments of -0.04 percent relative to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under the preservation of gross margin percentage scenario, the shipment-weighted average price per unit increases by 1.8 percent relative to the no-new-standards-case price per unit in the year of compliance (2021). This slight price increase would mitigate a portion of the $ 101.7 million in conversion costs estimated at TSL 1, resulting in slightly negative INPV impacts under this scenario. Under the tiered markup scenario, the industry markup structure is compressed as the least efficient products are eliminated from the market. Under amended standards, products in higher efficiency tiers that previously commanded higher markups are demoted to lower efficiency tiers that command lower markups. At TSL 1, this markup scenario results in a weighted average price increase of 0.3 percent. This relatively modest price increase is outweighed by the expected conversion costs and slight decrease in total shipments, resulting in more severe INPV impacts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TSL recommended by the ASRAC CAC/HP Working Group, DOE estimates impacts on INPV to range from -$ 692.3 million to -$ 114.2 million, or a change in INPV of -15.4 percent to -2.5 percent. DOE projects that in the absence of new standards, 32 percent of central air conditioner and heat pump shipments would already meet or exceed the efficiency levels prescribed by TSL 2 in the compliance year (2023). DOE estimates total industry conversion costs of $ 342.6 million would be required to bring the balance of shipments into compliance with a new standard. These conversion costs drive an estimated decrease in industry free cash flow in the year before the compliance date (2022). In the more severe tiered markup scenario, DOE estimates a decrease in industry free cash flow of up to $ 150.8 million, or a change of -35.3 percent relative to the no-new-standards case value of $ 426.8 million in the year before compliance (2022). At TSL 2, DOE also projects higher unit prices will result in a slight decrease in total shipments over the period beginning with the compliance year (2023) and ending in 2050. DOE estimates a change in shipments of -0.03 percent relative to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under the preservation of gross margin percentage scenario, the shipment-weighted average price per unit increases by 4.4 percent relative to the no-new-standards-case price per unit in the year of compliance (2023). In this scenario, manufacturers are able to fully pass on the increase in MPC to consumers. However, this price increase is outweighed by the $ 342.6 million in conversion costs estimated at TSL 2, resulting in slightly negative INPV impacts under this scenario. Under the tiered markup scenario, the weighted average price per unit increases by 2.9 percent. This price increase is offset by the expected conversion costs and slight decrease in total shipments, resulting in more severe INPV impacts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impacts on INPV to range from -$ 1,114.2 million to $ 16.1 million, or a change in INPV of -24.8 percent to 0.4 percent. DOE projects that in the absence of new standards, 8 percent of central air conditioner and heat pump shipments would meet or exceed the efficiency levels prescribed by TSL 3 in the compliance year (2021). DOE estimates total industry conversion costs of $ 563.1 million would be required to bring the balance of shipments into compliance with a new standard. These conversion costs drive an estimated decrease in industry free cash flow in the year before the compliance date (2020). In the more severe tiered markup scenario, DOE estimates a decrease in industry free cash flow in the year prior to compliance of $ 220.3 million, or a change of -53.5 percent relative to the no-new-standards case. At TSL 3, DOE also projects higher unit prices will result in a slight decrease in total shipments over the period beginning with the compliance year (2021) and ending in 2050. DOE estimates a change in shipments of -0.24 percent relative to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under the preservation of gross margin percentage scenario, the shipment-weighted average price per unit increases by 20.9 percent relative to the no-new-standards-case price per unit in the year of compliance (2021). Under this scenario, the higher unit price offsets conversion costs and the slight decrease in shipments to produce slightly positive INPV impacts. Under the tiered markup scenario, the weighted average price increases by 17.9 percent. This price increase is not sufficient to offset the expected conversion costs and slight decrease in total shipments, resulting in negative INPV impacts at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impacts on INPV to range from -$ 1,135.6 million to $ 393.5 million, or a change in INPV of -25.3 percent to 8.8 percent. DOE projects that in the absence of new standards, 3 percent of central air conditioner and heat pump shipments would meet or exceed the efficiency levels prescribed by TSL 4 in the compliance year (2021). DOE estimates total industry conversion costs of $ 621.6 million would be required to bring the balance of shipments into compliance with a new standard. These conversion costs drive an estimated decrease in industry free cash flow in the year before the compliance date (2020). In the more severe tiered markup scenario, DOE estimates a decrease in industry free cash flow in the year prior to compliance of approximately $ 243.2 million, or a change of -59.0 percent relative to the no-new-standards case. At this level, DOE also projects higher prices will result in a slight decrease in total shipments over the period beginning with the compliance year (2021) and ending in 2050. DOE estimates a change in shipments of -0.29 percent relative to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under the preservation of gross margin percentage scenario, the shipment-weighted average price per unit increases by 43.2 percent relative to the no-new-standards-case price per unit in the year of compliance (2021). Under this scenario, the higher unit price offsets conversion costs and the slight decrease in shipments to produce positive INPV impacts. Under the tiered markup scenario, the weighted average price per unit increases by 39.2 percent. This increase is outweighed by the expected conversion costs and a decrease in total shipments, resulting in negative INPV impacts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quantitatively assess the potential impacts of amended energy conservation standards on direct employment, DOE used the GRIM to estimate the domestic labor expenditures and number of direct employees in the no-new-standards case and at each TSL from the base year of the analysis (2016) through the end of the analysis (2050). DOE used statistical </w:t>
      </w:r>
      <w:r>
        <w:rPr>
          <w:rFonts w:ascii="arial" w:eastAsia="arial" w:hAnsi="arial" w:cs="arial"/>
          <w:b/>
          <w:i w:val="0"/>
          <w:strike w:val="0"/>
          <w:noProof w:val="0"/>
          <w:color w:val="000000"/>
          <w:position w:val="0"/>
          <w:sz w:val="20"/>
          <w:u w:val="none"/>
          <w:vertAlign w:val="baseline"/>
        </w:rPr>
        <w:t> [*1838] </w:t>
      </w:r>
      <w:r>
        <w:rPr>
          <w:rFonts w:ascii="arial" w:eastAsia="arial" w:hAnsi="arial" w:cs="arial"/>
          <w:b w:val="0"/>
          <w:i w:val="0"/>
          <w:strike w:val="0"/>
          <w:noProof w:val="0"/>
          <w:color w:val="000000"/>
          <w:position w:val="0"/>
          <w:sz w:val="20"/>
          <w:u w:val="none"/>
          <w:vertAlign w:val="baseline"/>
        </w:rPr>
        <w:t xml:space="preserve"> data from the U.S. Census Bureau's 2014 Annual Survey of Manufacturers, the results of the engineering analysis, and interviews with manufacturers to determine the inputs necessary to calculate industry-wide labor expenditures and domestic direct employment levels. Labor expenditures related to producing the equipment are a function of the labor intensity of producing the equipment, the sales volume, and an assumption that wages remain fixed in real terms over time. The total labor expenditures in each year are calculated by multiplying the MPCs by the labor percentage of MPCs. DOE estimates that 50 percent of residential central air conditioner and heat pump units are produced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times the labor rate found in the U.S. Census Bureau's 2014 Annual Survey of Manufacturers). The production worker estimates in this section only cover workers up to the line-supervisor level who are directly involved in fabricating and assembling a product within an OEM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an upper bound to employment change, DOE assumes all domestic manufacturers would choose to continue producing products in the U.S. and would not move production to foreign countries. To estimate a lower bound to employment, DOE considers the case where all manufacturers choose to relocate production overseas rather than make the necessary conversions at domestic production facilities. A complete description of the assumptions used to calculate these upper and lower bounds can be found in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amended energy conservation standards, DOE estimates that the residential central air conditioner and heat pump industry would employ 10,379 and 10,708 domestic production workers in 2021 and 2023, respectively. Table V-17 shows the range of impacts of potential amended energy conservation standards on U.S. production workers of central air conditioners and heat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9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V-17--Potential Changes in the Total Number of Central Air Conditioner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Heat Pump Production Workers in in Compliance Year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No-new-standard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Changes in</w:t>
            </w: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Production</w:t>
            </w: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642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886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1,878.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Compliance</w:t>
            </w: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9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compliance year for TSL 2 is 2023, as recommended by the CAC/HP Working Group; all other TSLs have a compliance year of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no-new-standard case assumes 10,379 domestic production workers in 2021 and 10,708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upper end of the range estimates the maximum increase and/or minimum decrease in the estimated number of domestic production workers in the residential central air conditioner and heat pump industry after implementation of amended energy conservation standards. It assumes manufacturers would continue to produce the same scope of covered products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end of the range represents the maximum decrease in the total number of U.S. production workers that could result from an amended energy conservation standard. In interviews, manufacturers stated that the residential HVAC industry has seen increasing migration to foreign production facilities, often located in Mexico. Many manufacturers of central air conditioners and heat pumps already have foreign production facilities. Some manufacturers indicated a change in standard would lead to a re-evaluation of production in other countries, where it may be possible to mitigate capital investments and/or to reduce the cost of labor inputs. As a result, the lower bound of direct employment impacts assumes domestic production of covered products ceases as manufacturers shift production abroad in search of reduced manufacturing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conclusion is independent of any conclusions regarding indirect employment impacts in the broader United States economy, which are documented in chapter 15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and in discussions during the CAC/HP Working Group meetings, manufacturers of residential central air conditioners and heat pumps did not indicate that amended energy conservation standards would significantly constrain manufacturing production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using average cost assumptions to develop an industry cash flow estimate is not adequate for assessing differential impacts among subgroups of manufacturers. Small manufacturers, niche players, or manufacturers exhibiting a cost structure that differs largely from the industry average could be affected differently. DOE used the results of the industry characterization to group manufacturers exhibiting similar characteristics. Specifically, DOE identified small business manufacturers as a subgroup for a separate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small business subgroup analysis, DOE applied the small business size standards published by the Small Business Administration (SBA) to determine whether a company is considered a small business. The size standards are codified at 13 CFR part 121. To be categorized as a small business under North American Industry Classification System (NAICS) code 333415, "Air-Conditioning and Warm Air Heating Equipment and Commercial and Industrial Refrigeration Equipment Manufacturing," a residential central air conditioner and heat pump manufacturer and its affiliates may employ a maximum of 1,250 employees. The 1,250-employee threshold includes all employees in a business's parent company and any other subsidiaries. The small business subgroup analysis is discussed in </w:t>
      </w:r>
      <w:r>
        <w:rPr>
          <w:rFonts w:ascii="arial" w:eastAsia="arial" w:hAnsi="arial" w:cs="arial"/>
          <w:b/>
          <w:i w:val="0"/>
          <w:strike w:val="0"/>
          <w:noProof w:val="0"/>
          <w:color w:val="000000"/>
          <w:position w:val="0"/>
          <w:sz w:val="20"/>
          <w:u w:val="none"/>
          <w:vertAlign w:val="baseline"/>
        </w:rPr>
        <w:t> [*1839] </w:t>
      </w:r>
      <w:r>
        <w:rPr>
          <w:rFonts w:ascii="arial" w:eastAsia="arial" w:hAnsi="arial" w:cs="arial"/>
          <w:b w:val="0"/>
          <w:i w:val="0"/>
          <w:strike w:val="0"/>
          <w:noProof w:val="0"/>
          <w:color w:val="000000"/>
          <w:position w:val="0"/>
          <w:sz w:val="20"/>
          <w:u w:val="none"/>
          <w:vertAlign w:val="baseline"/>
        </w:rPr>
        <w:t xml:space="preserve"> section VI.B of this notice and in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can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manufacturers of central air conditioners and heat pumps during the compliance period, from 2017 to 2023, or those that will take effect approximately three years after the 2023 compliance date of amended energy conservation standards for central air conditioners and heat pumps. In interviews,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equipment other than central air conditioners and heat pumps that contribute to their cumulative regulatory burden. The compliance years and expected industry conversion costs of relevant amended energy conservation standards are indicated in Table V-18.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V-18--Compliance Dates and Expected Conversion</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Expenses of Federal Energy Conservation Standards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Affecting Residential Central Air Conditioner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Heat Pump Manufacturers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 *</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from</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today's rule *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 and 2023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Air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 (Air-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Cooled) </w:t>
            </w:r>
            <w:hyperlink r:id="rId78" w:history="1">
              <w:r>
                <w:rPr>
                  <w:rFonts w:ascii="arial" w:eastAsia="arial" w:hAnsi="arial" w:cs="arial"/>
                  <w:b w:val="0"/>
                  <w:i/>
                  <w:strike w:val="0"/>
                  <w:noProof w:val="0"/>
                  <w:color w:val="0077CC"/>
                  <w:position w:val="0"/>
                  <w:sz w:val="18"/>
                  <w:u w:val="single"/>
                  <w:vertAlign w:val="baseline"/>
                </w:rPr>
                <w:t>81 FR 2420</w:t>
              </w:r>
            </w:hyperlink>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15, 2016)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 * * * 81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2320 (January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15, 2016)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Pumps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hyperlink r:id="rId80" w:history="1">
              <w:r>
                <w:rPr>
                  <w:rFonts w:ascii="arial" w:eastAsia="arial" w:hAnsi="arial" w:cs="arial"/>
                  <w:b w:val="0"/>
                  <w:i/>
                  <w:strike w:val="0"/>
                  <w:color w:val="0077CC"/>
                  <w:sz w:val="18"/>
                  <w:u w:val="single"/>
                  <w:vertAlign w:val="baseline"/>
                </w:rPr>
                <w:t>80 FR 17826</w:t>
              </w:r>
            </w:hyperlink>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26, 2016)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Room Air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 *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hyperlink r:id="rId81" w:history="1">
              <w:r>
                <w:rPr>
                  <w:rFonts w:ascii="arial" w:eastAsia="arial" w:hAnsi="arial" w:cs="arial"/>
                  <w:b w:val="0"/>
                  <w:i/>
                  <w:strike w:val="0"/>
                  <w:color w:val="0077CC"/>
                  <w:sz w:val="18"/>
                  <w:u w:val="single"/>
                  <w:vertAlign w:val="baseline"/>
                </w:rPr>
                <w:t>81 FR 38398</w:t>
              </w:r>
            </w:hyperlink>
            <w:r>
              <w:rPr>
                <w:rFonts w:ascii="arial" w:eastAsia="arial" w:hAnsi="arial" w:cs="arial"/>
                <w:b w:val="0"/>
                <w:i w:val="0"/>
                <w:strike w:val="0"/>
                <w:noProof w:val="0"/>
                <w:color w:val="000000"/>
                <w:position w:val="0"/>
                <w:sz w:val="18"/>
                <w:u w:val="none"/>
                <w:vertAlign w:val="baseline"/>
              </w:rPr>
              <w:t xml:space="preserve"> (June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13, 2016)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 * * * 80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13120 (March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81 FR 158836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24, 2016)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 81 FR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2420 (January 15,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V-18--Compliance Dates and Expected Conversion</w:t>
            </w:r>
          </w:p>
        </w:tc>
      </w:tr>
      <w:tr>
        <w:tblPrEx>
          <w:tblW w:w="0" w:type="auto"/>
          <w:jc w:val="center"/>
          <w:tblLayout w:type="fixed"/>
          <w:tblCellMar>
            <w:left w:w="108" w:type="dxa"/>
            <w:right w:w="108" w:type="dxa"/>
          </w:tblCellMar>
        </w:tblPrEx>
        <w:trPr>
          <w:jc w:val="center"/>
        </w:trPr>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Expenses of Federal Energy Conservation Standards</w:t>
            </w:r>
          </w:p>
        </w:tc>
      </w:tr>
      <w:tr>
        <w:tblPrEx>
          <w:tblW w:w="0" w:type="auto"/>
          <w:jc w:val="center"/>
          <w:tblLayout w:type="fixed"/>
          <w:tblCellMar>
            <w:left w:w="108" w:type="dxa"/>
            <w:right w:w="108" w:type="dxa"/>
          </w:tblCellMar>
        </w:tblPrEx>
        <w:trPr>
          <w:jc w:val="center"/>
        </w:trPr>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Affecting Residential Central Air Conditioner</w:t>
            </w:r>
          </w:p>
        </w:tc>
      </w:tr>
      <w:tr>
        <w:tblPrEx>
          <w:tblW w:w="0" w:type="auto"/>
          <w:jc w:val="center"/>
          <w:tblLayout w:type="fixed"/>
          <w:tblCellMar>
            <w:left w:w="108" w:type="dxa"/>
            <w:right w:w="108" w:type="dxa"/>
          </w:tblCellMar>
        </w:tblPrEx>
        <w:trPr>
          <w:jc w:val="center"/>
        </w:trPr>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Heat Pump Manufacturers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costs/revenue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520.8 (2014]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Air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 (Air-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Cooled) </w:t>
            </w:r>
            <w:hyperlink r:id="rId78" w:history="1">
              <w:r>
                <w:rPr>
                  <w:rFonts w:ascii="arial" w:eastAsia="arial" w:hAnsi="arial" w:cs="arial"/>
                  <w:b w:val="0"/>
                  <w:i/>
                  <w:strike w:val="0"/>
                  <w:noProof w:val="0"/>
                  <w:color w:val="0077CC"/>
                  <w:position w:val="0"/>
                  <w:sz w:val="18"/>
                  <w:u w:val="single"/>
                  <w:vertAlign w:val="baseline"/>
                </w:rPr>
                <w:t>81 FR 2420</w:t>
              </w:r>
            </w:hyperlink>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15, 2016)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(2014]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 * * * 81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2320 (January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15, 2016)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 (2014]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Pumps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hyperlink r:id="rId80" w:history="1">
              <w:r>
                <w:rPr>
                  <w:rFonts w:ascii="arial" w:eastAsia="arial" w:hAnsi="arial" w:cs="arial"/>
                  <w:b w:val="0"/>
                  <w:i/>
                  <w:strike w:val="0"/>
                  <w:color w:val="0077CC"/>
                  <w:sz w:val="18"/>
                  <w:u w:val="single"/>
                  <w:vertAlign w:val="baseline"/>
                </w:rPr>
                <w:t>80 FR 17826</w:t>
              </w:r>
            </w:hyperlink>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26, 2016)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Room Air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302.8 (2014]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 *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40" w:after="0" w:line="220" w:lineRule="atLeast"/>
              <w:ind w:left="0"/>
              <w:jc w:val="left"/>
            </w:pPr>
            <w:hyperlink r:id="rId81" w:history="1">
              <w:r>
                <w:rPr>
                  <w:rFonts w:ascii="arial" w:eastAsia="arial" w:hAnsi="arial" w:cs="arial"/>
                  <w:b w:val="0"/>
                  <w:i/>
                  <w:strike w:val="0"/>
                  <w:color w:val="0077CC"/>
                  <w:sz w:val="18"/>
                  <w:u w:val="single"/>
                  <w:vertAlign w:val="baseline"/>
                </w:rPr>
                <w:t>81 FR 38398</w:t>
              </w:r>
            </w:hyperlink>
            <w:r>
              <w:rPr>
                <w:rFonts w:ascii="arial" w:eastAsia="arial" w:hAnsi="arial" w:cs="arial"/>
                <w:b w:val="0"/>
                <w:i w:val="0"/>
                <w:strike w:val="0"/>
                <w:noProof w:val="0"/>
                <w:color w:val="000000"/>
                <w:position w:val="0"/>
                <w:sz w:val="18"/>
                <w:u w:val="none"/>
                <w:vertAlign w:val="baseline"/>
              </w:rPr>
              <w:t xml:space="preserve"> (June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13, 2016)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 (2013]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 * * * 80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13120 (March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 (2014]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81 FR 158836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24, 2016)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to 22.2 (2014$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to 5.2%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 81 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2420 (January 15,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number of manufacturers listed in the final rule or notice of proposed rulemaking for the energy conservation standard that is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number of manufacturers producing central air conditioners and heat pumps that are affected by the listed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The final rule for this energy conservation standard has not been published. The compliance date and analysis of conversion costs have not been finalized at this time. (If a value is provided for total industry conversion expense, this value represents an estimate from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conversion costs as a percentage of cumulative revenue for the industry during the conversion period. The conversion period is the timeframe over which manufacturers must make conversion cost investments and lasts from the announcement year of the final rule to the standards year of the rule. This period typically ranges from 3 to 5 years, depending on the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Low and high conversion cost scenarios were analyzed as part of this Direct Final Rule. The range of estimated conversion expenses presented here reflects those two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identified federal energy conservation standards for residential water heaters, residential room air conditioners, and commercial packaged air conditioners and heat pumps (water and evaporative cooled) as sources of cumulative regulatory burden for manufacturers of central air conditioners and heat pumps. However, NOPRs have not yet been published for those standards so information on manufacturer impacts is not yet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energy conservation standards listed, manufacturers cited increasing ENERGY STAR n96 standards as a source of regulatory burden. In response, DOE does not consider ENERGY STAR in its presentation of cumulative regulatory burden, because ENERGY STAR is a voluntary program and is not federally mandated.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ENERGY STAR is a U.S. EPA voluntary program designed to identify and promote energy-efficient products to reduce greenhouse gas emissions. For more information on the ENERGY STAR program, please visit </w:t>
      </w:r>
      <w:hyperlink r:id="rId98" w:history="1">
        <w:r>
          <w:rPr>
            <w:rFonts w:ascii="arial" w:eastAsia="arial" w:hAnsi="arial" w:cs="arial"/>
            <w:b w:val="0"/>
            <w:i/>
            <w:strike w:val="0"/>
            <w:noProof w:val="0"/>
            <w:color w:val="0077CC"/>
            <w:position w:val="0"/>
            <w:sz w:val="20"/>
            <w:u w:val="single"/>
            <w:vertAlign w:val="baseline"/>
          </w:rPr>
          <w:t>www.energystar.gov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also cited the U.S. EPA Significant New Alternatives Policy (SNAP) Program as a source of regulatory burden. The SNAP Program evaluates and regulates substitutes for ozone-depleting chemicals (such as air conditioning refrigerants) that are being phased out under the stratospheric ozone protection provisions of the Clean Air Act. On April 10, 2015, the EPA issued a final rule allowing the use of three flammable refrigerants (HFC-32 (R-32), Propane (R-290), and R-441A) as new acceptable substitutes, subject to use conditions, for refrigerant in the Household and Light Commercial Air Conditioning class of equipment. </w:t>
      </w:r>
      <w:hyperlink r:id="rId38" w:history="1">
        <w:r>
          <w:rPr>
            <w:rFonts w:ascii="arial" w:eastAsia="arial" w:hAnsi="arial" w:cs="arial"/>
            <w:b w:val="0"/>
            <w:i/>
            <w:strike w:val="0"/>
            <w:noProof w:val="0"/>
            <w:color w:val="0077CC"/>
            <w:position w:val="0"/>
            <w:sz w:val="20"/>
            <w:u w:val="single"/>
            <w:vertAlign w:val="baseline"/>
          </w:rPr>
          <w:t>80 FR 19454</w:t>
        </w:r>
      </w:hyperlink>
      <w:r>
        <w:rPr>
          <w:rFonts w:ascii="arial" w:eastAsia="arial" w:hAnsi="arial" w:cs="arial"/>
          <w:b w:val="0"/>
          <w:i w:val="0"/>
          <w:strike w:val="0"/>
          <w:noProof w:val="0"/>
          <w:color w:val="000000"/>
          <w:position w:val="0"/>
          <w:sz w:val="20"/>
          <w:u w:val="none"/>
          <w:vertAlign w:val="baseline"/>
        </w:rPr>
        <w:t xml:space="preserve"> (April 10, 2015). However, DOE notes that the use of alternate refrigerants by manufacturers of residential central air conditioners and heat pumps would not be required as a direct result of this rule. Hence, alternate refrigerants were not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information on the cumulative regulatory burden can be found in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energy savings attributable to potential standards for central air conditioners and heat pumps, DOE compared the energy consumption of those products under the base case to </w:t>
      </w:r>
      <w:r>
        <w:rPr>
          <w:rFonts w:ascii="arial" w:eastAsia="arial" w:hAnsi="arial" w:cs="arial"/>
          <w:b/>
          <w:i w:val="0"/>
          <w:strike w:val="0"/>
          <w:noProof w:val="0"/>
          <w:color w:val="000000"/>
          <w:position w:val="0"/>
          <w:sz w:val="20"/>
          <w:u w:val="none"/>
          <w:vertAlign w:val="baseline"/>
        </w:rPr>
        <w:t> [*1840] </w:t>
      </w:r>
      <w:r>
        <w:rPr>
          <w:rFonts w:ascii="arial" w:eastAsia="arial" w:hAnsi="arial" w:cs="arial"/>
          <w:b w:val="0"/>
          <w:i w:val="0"/>
          <w:strike w:val="0"/>
          <w:noProof w:val="0"/>
          <w:color w:val="000000"/>
          <w:position w:val="0"/>
          <w:sz w:val="20"/>
          <w:u w:val="none"/>
          <w:vertAlign w:val="baseline"/>
        </w:rPr>
        <w:t xml:space="preserve"> their anticipated energy consumption under each TSL. The savings are measured over the entire lifetime of products purchased in the 30-year period that begins in the first full year of anticipated compliance with amended standards (2021-2050 or, for the recommended TSL, 2023-2052). Table V-19 presents the estimated national energy savings for each considered TSL disaggregated by product class. Because TSL 1 and the Recommended TSL are comprised of regional standards for split system central air conditioners, the national energy savings results for this product class are disaggregated by region. The approach for estimating national energy savings is described in section IV.H.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V-19--Central Air Conditioners and Heat Pumps: Cumulative National</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Savings for Potential Standards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 sold in 30-year period]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 TSL *</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Hot-dry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Hot-dry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humid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humid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w:t>
            </w: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Primary Energy Use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0.4</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Full Fuel Cycle Energy Use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0.5</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288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National results for all product classes with exception of split system central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n97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n98 The review timeframe established in EPCA is generally not synchronized with the product lifetime, product manufacturing cycles, or other factors specific to central air conditioners and heat pumps. Thus, such results are presented for informational purposes only and are not indicative of any change in DOE's analytical methodology. The NES sensitivity analysis results based on a nine-year period of shipments are presented in Table V-20.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U.S. Office of Management and Budget, "Circular A-4: Regulatory Analysis" (Sept. 17, 2003) (Available at: </w:t>
      </w:r>
      <w:hyperlink r:id="rId99"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840"/>
        <w:gridCol w:w="840"/>
        <w:gridCol w:w="120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V-20--Cumulative National Energy Savings for Potential Standards for</w:t>
            </w:r>
          </w:p>
        </w:tc>
      </w:tr>
      <w:tr>
        <w:tblPrEx>
          <w:tblW w:w="0" w:type="auto"/>
          <w:jc w:val="center"/>
          <w:tblLayout w:type="fixed"/>
          <w:tblCellMar>
            <w:left w:w="108" w:type="dxa"/>
            <w:right w:w="108" w:type="dxa"/>
          </w:tblCellMar>
        </w:tblPrEx>
        <w:trPr>
          <w:tblHeader/>
          <w:jc w:val="center"/>
        </w:trPr>
        <w:tc>
          <w:tcPr>
            <w:tcW w:w="912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Air Conditioners and Heat Pumps</w:t>
            </w:r>
          </w:p>
        </w:tc>
      </w:tr>
      <w:tr>
        <w:tblPrEx>
          <w:tblW w:w="0" w:type="auto"/>
          <w:jc w:val="center"/>
          <w:tblLayout w:type="fixed"/>
          <w:tblCellMar>
            <w:left w:w="108" w:type="dxa"/>
            <w:right w:w="108" w:type="dxa"/>
          </w:tblCellMar>
        </w:tblPrEx>
        <w:trPr>
          <w:tblHeader/>
          <w:jc w:val="center"/>
        </w:trPr>
        <w:tc>
          <w:tcPr>
            <w:tcW w:w="912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 sold in 9-year period]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 TSL *</w:t>
            </w: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humid</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dry</w:t>
            </w: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humid</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dry</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w:t>
            </w:r>
          </w:p>
        </w:tc>
      </w:tr>
      <w:tr>
        <w:tblPrEx>
          <w:tblW w:w="0" w:type="auto"/>
          <w:jc w:val="center"/>
          <w:tblLayout w:type="fixed"/>
          <w:tblCellMar>
            <w:left w:w="108" w:type="dxa"/>
            <w:right w:w="108" w:type="dxa"/>
          </w:tblCellMar>
        </w:tblPrEx>
        <w:trPr>
          <w:jc w:val="center"/>
        </w:trPr>
        <w:tc>
          <w:tcPr>
            <w:tcW w:w="912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Primary Energy Use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0.1</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0.3</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912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Full Fuel Cycle Energy Use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0.1</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0.4</w:t>
            </w:r>
          </w:p>
        </w:tc>
        <w:tc>
          <w:tcPr>
            <w:tcW w:w="288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0.9</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8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National results for all product classes with exception of split system central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V-21 shows the consumer NPV of the total costs and savings for consumers that would result from each TSL considered for central air conditioners and heat pumps disaggregated by product class. As noted above in the presentation of national energy savings results, because TSL 1 and the Recommended TSL are comprised of regional standards for split system central air conditioners, the national energy savings results for this product class are disaggregated by region. The impacts cover the lifetime of products purchased in 2021-2050. In accordance with OMB's guidelines on regulatory analysis, n99 DOE calculated NPV using both a 7-percent and a 3-percent real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OMB Circular A-4, section E (Sept. 17, 2003) (Available at: </w:t>
      </w:r>
      <w:hyperlink r:id="rId100"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840"/>
        <w:gridCol w:w="840"/>
        <w:gridCol w:w="120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V-21--Central Air Conditioners and Heat Pumps: Cumulative Net Present</w:t>
            </w:r>
          </w:p>
        </w:tc>
      </w:tr>
      <w:tr>
        <w:tblPrEx>
          <w:tblW w:w="0" w:type="auto"/>
          <w:jc w:val="center"/>
          <w:tblLayout w:type="fixed"/>
          <w:tblCellMar>
            <w:left w:w="108" w:type="dxa"/>
            <w:right w:w="108" w:type="dxa"/>
          </w:tblCellMar>
        </w:tblPrEx>
        <w:trPr>
          <w:tblHeader/>
          <w:jc w:val="center"/>
        </w:trPr>
        <w:tc>
          <w:tcPr>
            <w:tcW w:w="912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 Consumer Benefits for Potential Standards</w:t>
            </w:r>
          </w:p>
        </w:tc>
      </w:tr>
      <w:tr>
        <w:tblPrEx>
          <w:tblW w:w="0" w:type="auto"/>
          <w:jc w:val="center"/>
          <w:tblLayout w:type="fixed"/>
          <w:tblCellMar>
            <w:left w:w="108" w:type="dxa"/>
            <w:right w:w="108" w:type="dxa"/>
          </w:tblCellMar>
        </w:tblPrEx>
        <w:trPr>
          <w:tblHeader/>
          <w:jc w:val="center"/>
        </w:trPr>
        <w:tc>
          <w:tcPr>
            <w:tcW w:w="912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 sold in 30-year period]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 TSL *</w:t>
            </w: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humid</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dry</w:t>
            </w: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humid</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dry</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w:t>
            </w:r>
          </w:p>
        </w:tc>
      </w:tr>
      <w:tr>
        <w:tblPrEx>
          <w:tblW w:w="0" w:type="auto"/>
          <w:jc w:val="center"/>
          <w:tblLayout w:type="fixed"/>
          <w:tblCellMar>
            <w:left w:w="108" w:type="dxa"/>
            <w:right w:w="108" w:type="dxa"/>
          </w:tblCellMar>
        </w:tblPrEx>
        <w:trPr>
          <w:jc w:val="center"/>
        </w:trPr>
        <w:tc>
          <w:tcPr>
            <w:tcW w:w="912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3-percent discount rate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2.1</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8.5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5.7</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12.2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912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7-percent discount rate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0.7</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c>
          <w:tcPr>
            <w:tcW w:w="288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2.5</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8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National results for all product classes with exception of split system central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results based on the aforementioned nine-year analytical period are presented in Table V-22. The impacts are counted over the lifetime of products purchased in 2021-2029. As mentioned previously, such results are presented for informational purposes only and is not indicative of any change in DOE's analytical methodology or decision criteria. </w:t>
      </w:r>
      <w:r>
        <w:rPr>
          <w:rFonts w:ascii="arial" w:eastAsia="arial" w:hAnsi="arial" w:cs="arial"/>
          <w:b/>
          <w:i w:val="0"/>
          <w:strike w:val="0"/>
          <w:noProof w:val="0"/>
          <w:color w:val="000000"/>
          <w:position w:val="0"/>
          <w:sz w:val="20"/>
          <w:u w:val="none"/>
          <w:vertAlign w:val="baseline"/>
        </w:rPr>
        <w:t> [*1842]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840"/>
        <w:gridCol w:w="840"/>
        <w:gridCol w:w="120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V-22--Cumulative Net Present Value of Consumer Benefits for Potential</w:t>
            </w:r>
          </w:p>
        </w:tc>
      </w:tr>
      <w:tr>
        <w:tblPrEx>
          <w:tblW w:w="0" w:type="auto"/>
          <w:jc w:val="center"/>
          <w:tblLayout w:type="fixed"/>
          <w:tblCellMar>
            <w:left w:w="108" w:type="dxa"/>
            <w:right w:w="108" w:type="dxa"/>
          </w:tblCellMar>
        </w:tblPrEx>
        <w:trPr>
          <w:tblHeader/>
          <w:jc w:val="center"/>
        </w:trPr>
        <w:tc>
          <w:tcPr>
            <w:tcW w:w="912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Central Air Conditioners and Heat Pumps</w:t>
            </w:r>
          </w:p>
        </w:tc>
      </w:tr>
      <w:tr>
        <w:tblPrEx>
          <w:tblW w:w="0" w:type="auto"/>
          <w:jc w:val="center"/>
          <w:tblLayout w:type="fixed"/>
          <w:tblCellMar>
            <w:left w:w="108" w:type="dxa"/>
            <w:right w:w="108" w:type="dxa"/>
          </w:tblCellMar>
        </w:tblPrEx>
        <w:trPr>
          <w:tblHeader/>
          <w:jc w:val="center"/>
        </w:trPr>
        <w:tc>
          <w:tcPr>
            <w:tcW w:w="912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 sold in 9-year period]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 TSL *</w:t>
            </w: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humid</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dry</w:t>
            </w: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humid</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dry</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w:t>
            </w:r>
          </w:p>
        </w:tc>
      </w:tr>
      <w:tr>
        <w:tblPrEx>
          <w:tblW w:w="0" w:type="auto"/>
          <w:jc w:val="center"/>
          <w:tblLayout w:type="fixed"/>
          <w:tblCellMar>
            <w:left w:w="108" w:type="dxa"/>
            <w:right w:w="108" w:type="dxa"/>
          </w:tblCellMar>
        </w:tblPrEx>
        <w:trPr>
          <w:jc w:val="center"/>
        </w:trPr>
        <w:tc>
          <w:tcPr>
            <w:tcW w:w="912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3-percent discount rate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0.7</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912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7-percent discount rate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0.3</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AC</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HP</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2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0.5</w:t>
            </w:r>
          </w:p>
        </w:tc>
        <w:tc>
          <w:tcPr>
            <w:tcW w:w="288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0.8</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8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National results for all product classes with exception of split system central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the default decreasing price trend (see section IV.H.2) to estimate the change in price for central air conditioners and heat pumps over the analysis period. DOE also conducted a sensitivity analysis that considered one scenario with a constant price trend and one scenario with a slightly higher rate of price decline than the reference case. The results of these alternative cases are presented in appendix 10-C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amended energy conservation standards for central air conditioners and heat pumps to reduce energy costs for consumers, with the resulting net savings being redirected to other forms of economic activity. Those shifts in spending and economic activity could affect the demand for labor. As described in section IV.N,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calculated results for near-term time frames (2021 to 2026),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amended standards are likely to have a negligible impact on the net demand for labor in the economy. The net change in jobs is so small that it would be imperceptible in national labor statistics and might be offset by other, unanticipated effects on employment. Chapter 16 of the direct final rule TSD presents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Product Utility 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the amended standards it is adopting in this direct final rule would not lessen the utility or performance of central air conditioners and heat pumps. Manufacturers of these products currently offer central air conditioner and heat pump that meet or exceed the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III.I.1.e, EPCA directs DOE to consider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standards. It also directs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in writing to the Secretary within 60 days of the publication of a proposed rule, together with an analysis of the nature and extent of the impact. To assist the Attorney General in making this determination, DOE provided the Department of Justice (DOJ) with copies of the NOPR and the TSD for review. In its assessment letter responding to DOE, DOJ concluded that the proposed energy conservation standards for central air conditioners and heat pumps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of energy production. Reduced electricity demand due to energy conservation standards is also likely to reduce the cost of maintaining the reliability of the electricity system, particularly during peak-load periods. As a measure of this reduced demand, chapter 15 in the direct final rule TSD presents the estimated reduction in generating capacity, relative to the base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conservation resulting from amended standards for central air conditioners and heat pumps are expected to yield environmental benefits in the form of reduced emissions of air pollutants and greenhouse gases. Table V-23 provides DOE's estimate of cumulative reductions in air pollutant emissions resulting from each of the TSLs. The tables include both power sector emissions and upstream emissions. The emissions were calculated using the multipliers discussed in section IV.K. DOE reports annual emissions impacts for each TSL in chapter 13 of the direct final rule TSD. </w:t>
      </w:r>
      <w:r>
        <w:rPr>
          <w:rFonts w:ascii="arial" w:eastAsia="arial" w:hAnsi="arial" w:cs="arial"/>
          <w:b/>
          <w:i w:val="0"/>
          <w:strike w:val="0"/>
          <w:noProof w:val="0"/>
          <w:color w:val="000000"/>
          <w:position w:val="0"/>
          <w:sz w:val="20"/>
          <w:u w:val="none"/>
          <w:vertAlign w:val="baseline"/>
        </w:rPr>
        <w:t> [*1843]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V-23--Cumulative Emissions Reduction Estimated for Central Air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 and Heat Pump Potential Standards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 sold in 30-year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104,677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 *</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rule, DOE estimated monetary benefits likely to result from the reduced emissions of CO[2] and NO[X] that DOE estimated for each of the TSLs considered for central air conditioners and heat pumps. As discussed in section IV.L, for CO[2,] DOE used the most recent values for the SCC developed by an interagency process. The four sets of SCC values for CO[2] emissions reductions in 2015 resulting from that process (expressed in 2014] are represented by $ 12.4/metric ton (the average value from a distribution that uses a 5-percent discount rate), $ 40.6/metric ton (the average value from a distribution that uses a 3-percent discount rate), $ 63.2/metric ton (the average value from a distribution that uses a 2.5-percent discount rate), and $ 118/metric ton (the 95th-percentile value from a distribution that uses a 3-percent discount rate). The values for later years are higher due to increasing damages (emissions-related costs) as the projected magnitude of climate change impacts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V-24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14 of the direct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V-24--Estimates of Global Present Value of CO2 Emissions Reduction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Central Air Conditioner and Heat Pump Potential Standards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 sold in 30-year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72,741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46,375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40,542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$ 12.4, $ 40.6, $ 63.2, and $ 118 per metric ton (2015].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greenhouse gas (GHG) emissions to changes in the future global climate and the potential resulting damages to the world economy continues to evolve rapidly. Thus, any value placed on reducing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direct final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amended standards for central air conditioners and heat pumps. The dollar-per-ton values that DOE used are discussed in section IV.L.2. Table V-25 presents the cumulative present values for NO[X] emissions reductions for each TSL calculated using seven-percent and three-percent discount rates. This table presents values that use the low dollar-per-ton values, which reflect DOE's primary estimate. Results that reflect the range of NO[X] dollar-per-ton values are presented in Table V-25.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V-25--Estimates of Present Value of NOX Emissions Reduction for Central</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 Conditioner and Heat Pump Potential Standards</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 sold in 30-year period]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 *</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2,448</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Components may not sum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can be viewed as a complement to the NPV of the consumer savings calculated for each TSL considered in this rulemaking. Table V-26 presents the NPV values that result from adding the estimates of the potential economic benefits resulting from reduced CO[2] and NO[X] emissions in each of four valuation scenarios to the NPV of consumer savings calculated for each TSL for the central air conditioners and heat pumps considered in this rulemaking, at both a seven-percent and three-percent discount rate. The CO[2] values used in the columns of each table correspond to the 2015 values in the four sets of SCC values discussed above. </w:t>
      </w:r>
      <w:r>
        <w:rPr>
          <w:rFonts w:ascii="arial" w:eastAsia="arial" w:hAnsi="arial" w:cs="arial"/>
          <w:b/>
          <w:i w:val="0"/>
          <w:strike w:val="0"/>
          <w:noProof w:val="0"/>
          <w:color w:val="000000"/>
          <w:position w:val="0"/>
          <w:sz w:val="20"/>
          <w:u w:val="none"/>
          <w:vertAlign w:val="baseline"/>
        </w:rPr>
        <w:t> [*1845]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V-26--Central Air Conditioners and Heat Pumps: Net Present Value of</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Savings Combined With Present Value of Monetized Benefits From CO2</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NOX Emissions Reductions for Potential Standards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$ 118/metric</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 NOX</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 NOX</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$ 118/metric</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low NOX</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low NOX</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cost savings are domestic U.S. monetary savings that occur as a result of purchasing the covered products. The CO[2] reduction is a benefit that accrues globally due to decreased domestic energy consumption that is expected to result from this rule. Because CO[2] emissions have a very long residence time in the atmosphere, the SCC values in future years reflect future climate-related impacts that continue beyond 2100 through 2300.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new or amended energy conservation standards, the standards that DOE adopts for any type (or class) of covered product must be designed to achieve the maximum improvement in energy efficiency that the Secretary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DOE considered the impacts of amended standards for central air conditioners and heat pumps at each TSL, beginning with the maximum technologically feasible level, to determine whether that level was economically justified. Where the max-tech level was not justified, DOE then considered the next-most-efficient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in understanding the benefits and/or burdens of each TSL, tables in this section summarize the quantitative analytical results for each TSL. In addition to the quantitative results presented in the tables, DOE also considers other burdens and benefits that affect economic justification. These include the impacts on identifiable subgroups of consumers who may be disproportionately affected by a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renter versus owner or builder versus purchaser). Other literature indicates that with less than perfect foresight and a high degree of uncertainty about the future, consumers may trade off at a higher than 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a purchase of a product in the standards case, this decreases sales for product manufacturers, and the cost to manufacturers is included in the MIA. Second, DOE accounts for energy savings attributable only to products actually used by consumers in the standards case; if a standard decreases the number of products purchased by consumers, this decreases the potential energy savings from an energy conservation standard. DOE provides estimates of changes in the volume of product purchases in chapter 9 of the direct final rule TSD. DOE's current analysis does not explicitly control for heterogeneity in consumer </w:t>
      </w:r>
      <w:r>
        <w:rPr>
          <w:rFonts w:ascii="arial" w:eastAsia="arial" w:hAnsi="arial" w:cs="arial"/>
          <w:b/>
          <w:i w:val="0"/>
          <w:strike w:val="0"/>
          <w:noProof w:val="0"/>
          <w:color w:val="000000"/>
          <w:position w:val="0"/>
          <w:sz w:val="20"/>
          <w:u w:val="none"/>
          <w:vertAlign w:val="baseline"/>
        </w:rPr>
        <w:t> [*1846] </w:t>
      </w:r>
      <w:r>
        <w:rPr>
          <w:rFonts w:ascii="arial" w:eastAsia="arial" w:hAnsi="arial" w:cs="arial"/>
          <w:b w:val="0"/>
          <w:i w:val="0"/>
          <w:strike w:val="0"/>
          <w:noProof w:val="0"/>
          <w:color w:val="000000"/>
          <w:position w:val="0"/>
          <w:sz w:val="20"/>
          <w:u w:val="none"/>
          <w:vertAlign w:val="baseline"/>
        </w:rPr>
        <w:t xml:space="preserve">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preferences across subcategories of products or specific features, or consumer price sensitivity variation according to household income.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standards, and potential enhancements to the methodology by which these impacts are defined and estimated in the regulatory process. n101 DOE welcomes comments on how to more fully assess the potential impact of energy conservation standards on consumer choice and how to quantify this impact in its regulatory analysis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Alan Sanstad, Notes on the Economics of Household Energy Consumption and Technology Choice. Lawrence Berkeley National Laboratory (2010) (Available at: </w:t>
      </w:r>
      <w:hyperlink r:id="rId101" w:history="1">
        <w:r>
          <w:rPr>
            <w:rFonts w:ascii="arial" w:eastAsia="arial" w:hAnsi="arial" w:cs="arial"/>
            <w:b w:val="0"/>
            <w:i/>
            <w:strike w:val="0"/>
            <w:noProof w:val="0"/>
            <w:color w:val="0077CC"/>
            <w:position w:val="0"/>
            <w:sz w:val="20"/>
            <w:u w:val="single"/>
            <w:vertAlign w:val="baseline"/>
          </w:rPr>
          <w:t>http://www1.eere.energy.gov/buildings/appliance_standards/pdfs/consumer_ee_theory.pdf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 xml:space="preserve"> (Last accessed May 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Central Air Conditioner and Heat Pump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V-27 and Table V-28 summarize the quantitative impacts estimated for each TSL for central air conditioners and heat pumps. The national impacts are measured over the lifetime of central air conditioners and heat pumps purchased in the 30-year period that begins in the anticipated first year of compliance with any amended standards (2021-2050 or, in the case of the recommended TSL, 2023-2052). The energy savings, emissions reductions, and value of emissions reductions refer to full-fuel-cycle results. The efficiency levels contained in each TSL are described in section V.A.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920"/>
        <w:gridCol w:w="204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V-27--Summary of Results for Central Air Conditioner and Heat Pump</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TSLs: National Impacts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 TSL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FFC National Energy Savings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Emissions Reduction (Total FFC Emissions)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23,586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63,387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104,677.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0.482 to 6.997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1.143 to 16.855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3.190 to 46.375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5.298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 to 506.6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528.1 to 1204.1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1471.5 to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2448.1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3355.0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to 180.4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178.6 to 402.6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525.4 to 1184.5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875.0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920" w:type="dxa"/>
            <w:tcBorders>
              <w:bottom w:val="nil"/>
              <w:right w:val="nil"/>
            </w:tcBorders>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920" w:type="dxa"/>
            <w:tcBorders>
              <w:right w:val="nil"/>
            </w:tcBorders>
          </w:tcPr>
          <w:p/>
        </w:tc>
        <w:tc>
          <w:tcPr>
            <w:tcW w:w="2040" w:type="dxa"/>
            <w:tcBorders>
              <w:right w:val="nil"/>
            </w:tcBorders>
          </w:tcPr>
          <w:p/>
        </w:tc>
        <w:tc>
          <w:tcPr>
            <w:tcW w:w="192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680"/>
        <w:gridCol w:w="18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V-28--Summary of Results for Central Air Conditioners and Heat Pumps by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Manufacturer and Consumer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3,852.0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3,803.9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3,382.0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3,360.6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$ 4,496.1</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 to 0.4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 to 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Air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$ 43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$ 43</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$ 169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$ 150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$ 82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$ 39</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Heat Pumps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Air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Heat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High-Velocity</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Air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10.5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10.5</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7.6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7.7</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Heat Pumps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Air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Heat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High-Velocity</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Air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25%</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42%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45%</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Heat Pumps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Air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Heat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High-Velocity</w:t>
            </w: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1680" w:type="dxa"/>
            <w:tcBorders>
              <w:right w:val="nil"/>
            </w:tcBorders>
          </w:tcPr>
          <w:p/>
        </w:tc>
        <w:tc>
          <w:tcPr>
            <w:tcW w:w="180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 N = North region. HD = Hot-dry region; HH = Hot-humid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There are no impacts for Package Air Conditioners. Package Heat Pumps, Space-Constrained Air Conditioners, and Small-Duct High-Velocity because the standard levels are at the baseline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by shares of each product class in total projected shipments in 2021. Does not include shipments for SCAC and SDHV.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DOE considered TSL 4, which would save an estimated total of 14.2 quads of energy, an amount DOE considers significant. TSL 4 has an estimated NPV of consumer benefit of -$ 31.4 billion using a 7-percent discount rate, and -$ 28.1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841 Mt of CO[2], 452.4 thousand tons of SO[2], 1,559 thousand tons of NO[X], 1.669 tons of Hg, 3,738 thousand tons of CH[4,] and 9.481 thousand tons of N[2] O. The estimated monetary value of the CO[2] emissions reductions at TSL 4 ranges from $ 5.298 billion to $ 76.950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savings is -$ 304 for split air conditioners, -$ 425 for split heat pumps, -$ 80 for package air conditioners, $ 115 for package heat pumps, $ 58 for space-constrained air conditioners, and -$ 540 for small-duct high-velocity air conditioners. The simple PBP is 19.2 years for split air conditioners, 14.9 years for split heat pumps, 12.3 years for package air conditioners, 5.2 years for package heat pumps, 11.6 years for space-constrained air conditioners, and 34.3 years for small-duct high-velocity air conditioners. The share of consumers experiencing a net LCC cost is 75 percent for split air conditioners, 79 percent for split heat pumps, 69 percent for package air conditioners, 39 percent for package heat pumps, 60 percent for space-constrained air conditioners, and 90 percent for small-duct high-velocity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$ 1,135.6 million to an increase of $ 393.5 million. If the more severe range of impacts is reached, TSL 4 could result in a net loss of up to 25.3 percent of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the Secretary has concluded that, at TSL 4 for central air conditioner and heat pump standards, the benefits of energy savings and emissions reductions would be outweighed by the negative NPV of total consumer benefits at a 3-percent and 7-percent discount rate, negative average consumer LCC savings for most product classes, and the reduction in industry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TSL 3, which would save an estimated total of 8.6 quads of energy, an amount DOE considers significant. TSL 3 has an estimated NPV of consumer benefit of -$ 10 billion using a 7-percent discount rate, and $ 1.1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508.7 Mt of CO[2], 272.4 thousand tons of SO[2], 944.2 thousand tons of NO[X], 1.005 tons of Hg, 2,264 thousand tons of CH[4,] and 5.711 thousand tons of N[2] O. The estimated monetary value of the CO[2] emissions reductions at TSL 3 ranges from $ 3.190 billion to $ 46.375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savings is -$ 122 for split air conditioners, -$ 25 for split heat pumps, $ 43 for package air conditioners, and $ 115 for package heat pumps. The simple PBP is 15.2 years for split air conditioners, 9.4 years for split heat pumps, 8.9 years for package air conditioners, and 5.2 years for package heat pumps. The share of consumers experiencing a net LCC cost is 63 percent for split air conditioners, 54 percent for split heat pumps, 53 percent for package air conditioners, and 39 percent for package heat pumps. There are no impacts on space-constrained air conditioners or small-duct high-velocity air conditioners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the projected change in INPV ranges from a decrease of $ 1,114.2 million to an increase of $ 16.1 million. If the more severe range of impacts is reached, TSL 3 could result in a net loss of up to 24.8 percent of INPV for manufacturers. </w:t>
      </w:r>
      <w:r>
        <w:rPr>
          <w:rFonts w:ascii="arial" w:eastAsia="arial" w:hAnsi="arial" w:cs="arial"/>
          <w:b/>
          <w:i w:val="0"/>
          <w:strike w:val="0"/>
          <w:noProof w:val="0"/>
          <w:color w:val="000000"/>
          <w:position w:val="0"/>
          <w:sz w:val="20"/>
          <w:u w:val="none"/>
          <w:vertAlign w:val="baseline"/>
        </w:rPr>
        <w:t> [*1848]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the Secretary has concluded that at TSL 3 for central air conditioner and heat pump standards, the benefits of energy savings, positive NPV of consumer benefit at a 3-percent discount rate, and emissions reductions would be outweighed by the negative NPV of consumer benefit at a 7-percent discount rate, negative average LCC savings for most product classes, and the potential reduction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the Recommended TSL, which would save an estimated total of 3.2 quads of energy, an amount DOE considers significant. The Recommended TSL has an estimated NPV of consumer benefit of $ 2.5 billion using a 7-percent discount rate, and $ 12.2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under the Recommended TSL are 188.3 Mt of CO[2], 100.8 thousand tons of SO[2], 350.3 thousand tons of NO[X], 0.372 tons of Hg, 842.4 thousand tons of CH[4,] and 2.114 thousand tons of N[2] O. The estimated monetary value of the CO[2] emissions reductions ranges from $ 1.143 billion to $ 16.855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Recommended TSL, the average LCC savings for split air conditioners is $ 43 in the north region, $ 150 in the hot dry region, $ 39 in the hot humid region, and $ 131 for split heat pumps. The simple payback period for split air conditioners is 10.5 years in the north region, 7.6 years in the hot dry region, 7.7 years in the hot humid region, and 4.9 years for split heat pumps. The share of consumers experiencing a net LCC cost for split air conditioners is 25 percent in the north region, 42 percent in the hot dry region, 45 percent in the hot humid region, and 20 percent for split heat pumps. There are no impacts to packaged air conditioners, packaged heat pumps, space-constrained air conditioners, and small-duct high-velocity air conditioners under the Recommended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Recommended TSL, the projected change in INPV ranges from a decrease of $ 692.3 million to a decrease of $ 114.2 million. If the more severe range of impacts is reached, TSL 3 could result in a net loss of up to 15.4 percent of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the Secretary has concluded that under the Recommended TSL for central air conditioner and heat pump standards, the benefits of energy savings, positive NPV of consumer benefit, positive impacts on consumers (as indicated by positive average LCC savings and favorable PBPs), and emission reductions, would outweigh the negative impacts on some consumers and the potential reduction in INPV for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provided by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DOE is issuing this direct final rule that establishes amended energy conservation standards for central air conditioners and heat pumps at the Recommended TSL. The amended energy conservation standards for central air conditioners and heat pumps as determined by the DOE test procedure at the time of the 2015-2016 ASRAC negotiations are presented in Table V-29.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V-29--Amended Energy Conservation Standards for Central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Conditioners and Heat Pumps as Determined by the DOE Test Procedure at the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of the 2015-2016 ASRAC Negotiations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Southeast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Southwest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Heat Pumps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Heat Pumps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Heat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Southeast includes: The states of Alabama, Arkansas, Delaware, Florida, Georgia, Hawaii, Kentucky, Louisiana, Maryland, Mississippi, North Carolina, Oklahoma, Puerto Rico, South Carolina, Tennessee, Texas, Virginia, the District of Columbia,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Southwest includes the states of Arizona, California, Nevada, and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10.2 EER amended energy conservation standard applies to split-system air conditioners with a seasonal energy efficiency ratio greater than or equal to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energy conservation standards for small-duct high velocity and space-constrained product classes remain unchanged from current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V-30 shows the amended energy conservation standards for central air conditioners and heat pumps as determined by the November 2016 test procedure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V-30--Amended Energy Conservation Standards for Central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Conditioners and Heat Pumps as Determined by the November 2016 Test Procedure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Southeast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Southwest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EER2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Heat Pumps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Heat Pumps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Heat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Southeast includes: The states of Alabama, Arkansas, Delaware, Florida, Georgia, Hawaii, Kentucky, Louisiana, Maryland, Mississippi, North Carolina, Oklahoma, Puerto Rico, South Carolina, Tennessee, Texas, Virginia, the District of Columbia,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Southwest includes the states of Arizona, California, Nevada, and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9.8 EER amended energy conservation standard applies to split-system air conditioners with a seasonal energy efficiency ratio greater than or equal to 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energy conservation standards for small-duct high velocity and space-constrained product classes remain unchanged from current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paragraph describes how DOE translated the energy conservation standards in Table V-29--which are in terms of SEER, HSPF, and EER as determined by the DOE test procedure at the time of the 2015-2016 ASRAC Negotiations--to the energy conservation standard levels in Table V-30--which are in terms of SEER2, HSPF2, and EER2 as determined by the November 2016 test procedure final rule. DOE used a methodology consistent with the recommendations of the CAC/HP Working Group to translate the SEER standard levels to SEER2 standard levels for the split-system and single-package product classes. Note that the heating load line slope factor established by the November 2016 test procedure final rule is different than the heating load line slope factors used by the CAC/HP Working Group in their Term Sheet recommendation #9. DOE translated the HSPF standard levels to HSPF2 standard levels for split-system and single-package heat pumps by adjusting for the intermediate heating load line slope factor established by the November 2016 test procedure final rule using interpolation. (November 2016 Test Procedure Final Rule, pp. 127-130)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in response to the provisional translations for HSPF2 for split system and single-package heat pumps are summarized in the November 2016 test procedure final rule. (November 2016 Test Procedure Final Rule, pp. 127-130) Commenters agreed with the translation for split-system heat pumps, but industry commenters felt that the 6.8 value was too high for single-package heat pumps. Alternative HSPF2 values that were suggested in comments ranged from 6.5 (Docket No. EERE-2016-BT-TP-0029, Lennox, No. 25 at p. 10) to 6.7 (Docket No. EERE-2016-BT-TP-0029, Goodman, No. 39 at p. 10) Data provided under confidentiality supports the range suggested in comments. DOE combined that data with the data it used to validate its interpolated value of 6.8. DOE found that the combined data shows that 6.7 HSPF2 is an appropriate translation. For this reason, DOE is adopting 6.7 HSPF2 for single-package heat pumps in this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August 2016 test procedure SNOPR and November 2016 test procedure final rule did not include translated levels for small-duct high velocity (SDHV) and space-constrained products. Neither did Recommendation #9 of the Term Sheet. Recommendation #9 did, however, state that the energy conservation standards for those product classes should remain unchanged from current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there would be no change in stringency). (ASRAC Term Sheet, No. 76 at pp. 4-5) On October 27, 2016, DOE published a notice of data availability (NODA) that provided provisional translations of the CAC/HP Working Group's recommended energy conservation standard levels for small-duct high velocity and space constrained products (which are in terms of the test procedure at the time of the 2015-2016 Negotiations) into levels consistent with the test procedure proposed in the August 2016 test procedure SNOPR. </w:t>
      </w:r>
      <w:hyperlink r:id="rId102" w:history="1">
        <w:r>
          <w:rPr>
            <w:rFonts w:ascii="arial" w:eastAsia="arial" w:hAnsi="arial" w:cs="arial"/>
            <w:b w:val="0"/>
            <w:i/>
            <w:strike w:val="0"/>
            <w:noProof w:val="0"/>
            <w:color w:val="0077CC"/>
            <w:position w:val="0"/>
            <w:sz w:val="20"/>
            <w:u w:val="single"/>
            <w:vertAlign w:val="baseline"/>
          </w:rPr>
          <w:t>81 FR 74727</w:t>
        </w:r>
      </w:hyperlink>
      <w:r>
        <w:rPr>
          <w:rFonts w:ascii="arial" w:eastAsia="arial" w:hAnsi="arial" w:cs="arial"/>
          <w:b w:val="0"/>
          <w:i w:val="0"/>
          <w:strike w:val="0"/>
          <w:noProof w:val="0"/>
          <w:color w:val="000000"/>
          <w:position w:val="0"/>
          <w:sz w:val="20"/>
          <w:u w:val="none"/>
          <w:vertAlign w:val="baseline"/>
        </w:rPr>
        <w:t xml:space="preserve"> (October 27, 2016). Table V-31 presents the provisional translations included in the October 2016 NODA. Note that multiple provisional translations from SEER to SEER2 are included for space-constrained air conditioners and heat pumps because, at the time of the NODA publication, DOE had not finalized the test procedure which would establish the minimum external static pressure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V-31--Provisional Translations of CAC/HP Working Group-Recommended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 Levels Included in October 2016 NODA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CAC/HP working</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August 2016 test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 SNOPR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translation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 Systems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 Conditioners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11.6/**</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Heat Pumps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Estimated SEER2 at 0.50 in. 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Estimated SEER2 at 0.30 in. 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its provisional translations for space-constrained air conditioners published in the NODA, DOE reviewed existing test data, adjusted relevant measurements based on blower performance data, and </w:t>
      </w:r>
      <w:r>
        <w:rPr>
          <w:rFonts w:ascii="arial" w:eastAsia="arial" w:hAnsi="arial" w:cs="arial"/>
          <w:b/>
          <w:i w:val="0"/>
          <w:strike w:val="0"/>
          <w:noProof w:val="0"/>
          <w:color w:val="000000"/>
          <w:position w:val="0"/>
          <w:sz w:val="20"/>
          <w:u w:val="none"/>
          <w:vertAlign w:val="baseline"/>
        </w:rPr>
        <w:t> [*1850] </w:t>
      </w:r>
      <w:r>
        <w:rPr>
          <w:rFonts w:ascii="arial" w:eastAsia="arial" w:hAnsi="arial" w:cs="arial"/>
          <w:b w:val="0"/>
          <w:i w:val="0"/>
          <w:strike w:val="0"/>
          <w:noProof w:val="0"/>
          <w:color w:val="000000"/>
          <w:position w:val="0"/>
          <w:sz w:val="20"/>
          <w:u w:val="none"/>
          <w:vertAlign w:val="baseline"/>
        </w:rPr>
        <w:t xml:space="preserve"> translated the levels based on the average impact. For the space-constrained and SDHV heat pump translations published in the NODA, DOE also reviewed test data and confirmed that the 15% reduction from HSPF to HSPF2 that DOE observed for split-system and single-package heat pumps was appropriate also for space-constrained and SDHV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written comments, manufacturers and AHRI expressed support for DOE's provisional translations for SDHV products. Unico stated that it reviewed all of its test reports from the previous two years and found its range of results validated DOE's translations for SDHV products. (Unico, No. 95 at p. 2). AHRI and Lennox also expressed support for DOE's SEER and HPSF to SEER2 and HSPF2 levels for SDHV products. (AHRI, No. 94 at p. 1; Lennox, No. 97 at p. 1) EEI commented that it did not agree with DOE's translation because the HSPF appears to drop by approximately 15.3%, even though there has been no change to the product. (EEI, No. 96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concern expressed by EEI, DOE's translations do not assume nor reflect any change to product design. EPCA requires DOE to consider changes in energy conservation standards if a test procedure change alters the measurement, but does not prohibit a test procedure change that alters the measurement. (</w:t>
      </w:r>
      <w:hyperlink r:id="rId22" w:history="1">
        <w:r>
          <w:rPr>
            <w:rFonts w:ascii="arial" w:eastAsia="arial" w:hAnsi="arial" w:cs="arial"/>
            <w:b w:val="0"/>
            <w:i/>
            <w:strike w:val="0"/>
            <w:noProof w:val="0"/>
            <w:color w:val="0077CC"/>
            <w:position w:val="0"/>
            <w:sz w:val="20"/>
            <w:u w:val="single"/>
            <w:vertAlign w:val="baseline"/>
          </w:rPr>
          <w:t>42 U.S.C. 6293(e)</w:t>
        </w:r>
      </w:hyperlink>
      <w:r>
        <w:rPr>
          <w:rFonts w:ascii="arial" w:eastAsia="arial" w:hAnsi="arial" w:cs="arial"/>
          <w:b w:val="0"/>
          <w:i w:val="0"/>
          <w:strike w:val="0"/>
          <w:noProof w:val="0"/>
          <w:color w:val="000000"/>
          <w:position w:val="0"/>
          <w:sz w:val="20"/>
          <w:u w:val="none"/>
          <w:vertAlign w:val="baseline"/>
        </w:rPr>
        <w:t>) In the November 2016 test procedure final rule, DOE adopted provisions that amend the test procedure required to determine representations for CAC/HP, including SDHV products. These provisions impact the value of the test procedure results. For instance, the November 2016 test procedure final rule assumes higher heating loads for heat pumps in colder outdoor conditions, which will typically result in lower HSPF2 ratings. (November 2016 Test Procedure Final Rule, pp. 110-127) Simply stated, an SDHV product tested in accordance with the test procedure at the time of the 2015-2016 ASRAC Negotiations will get a different rating than the same SDHV product (without design changes) tested in accordance with the test procedure adopted in the November 2016 test procedure final rule. DOE's translations are intended to reflect these differences. DOE is using "SEER2", "HSPF2", and "EER2" to distinguish ratings determined by the November 2016 test procedure from the SEER, HSPF and EER ratings determined by past test procedures to mitigate confusion that may result from the possibility that products available before and after the November 2016 test procedure final rule may have a different SEER2/HSPF2/EER2 than SEER/HSPF/EER rating despite no changes to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Unico's SDHV data validate DOE's translations, which are also supported by AHRI and Lennox. DOE did not receive any other comments or data suggesting that its translations for SDHV products are inappropriate. For these reasons, DOE is adopting the SDHV translations presented in the October 2016 NODA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is concerned that the SEER2 translation DOE presented for space-constrained air conditioners is too high by 0.1. AHRI calculated SEER2 to be 11.7 at 0.30 in. wc. rather than 11.8. AHRI provided data for 4 space-constrained products to illustrate its results. (AHRI, No. 94 at p. 2). Lennox also commented that DOE's SEER2 translation for space-constrained air conditioners is too high by 0.1. (Lennox, No. 97 at p. 2) AHRI and Lennox also commented that DOE should adopt the same SEER2 standard for space-constrained air conditioners and heat pumps (AHRI, No. 94 at p.2; Lennox, No. 97 at p. 2) First Co. strongly disagrees with DOE's proposed translation of SEER to SEER2 values for space-constrained air conditioners because DOE's methodology for determining SEER2 fails to account for the significant SEER reduction resulting from what they claim to be "new" coil-only testing requirements for space-constrained air conditioners. First Co. is referring to amendments to the certification requirements of 10 CFR 429 adopted for CAC/HP in the June 2016 test procedure final rule, which became effective in July 2016 and are required for representations starting December 5, 2016. (</w:t>
      </w:r>
      <w:hyperlink r:id="rId103" w:history="1">
        <w:r>
          <w:rPr>
            <w:rFonts w:ascii="arial" w:eastAsia="arial" w:hAnsi="arial" w:cs="arial"/>
            <w:b w:val="0"/>
            <w:i/>
            <w:strike w:val="0"/>
            <w:noProof w:val="0"/>
            <w:color w:val="0077CC"/>
            <w:position w:val="0"/>
            <w:sz w:val="20"/>
            <w:u w:val="single"/>
            <w:vertAlign w:val="baseline"/>
          </w:rPr>
          <w:t>10 CFR 429.16(a)(1)</w:t>
        </w:r>
      </w:hyperlink>
      <w:r>
        <w:rPr>
          <w:rFonts w:ascii="arial" w:eastAsia="arial" w:hAnsi="arial" w:cs="arial"/>
          <w:b w:val="0"/>
          <w:i w:val="0"/>
          <w:strike w:val="0"/>
          <w:noProof w:val="0"/>
          <w:color w:val="000000"/>
          <w:position w:val="0"/>
          <w:sz w:val="20"/>
          <w:u w:val="none"/>
          <w:vertAlign w:val="baseline"/>
        </w:rPr>
        <w:t>) First Co. stated that prior to the June 2016 test procedure final rule, space constrained units, which are manufactured and sold only for installation with blower coil indoor units, have been tested with blower coil units with high-efficiency motors (ECMs). The high-efficiency motors average 200W/1000 scfm or less for indoor power compared with the default fan power value of 365W/1000 scfm applied under the "coil- only" test. First Co. claims that the impact of the "coil-only" test alone is approximately a 10% reduction in SEER of these products from 12 SEER to 10.8 SEER, and that DOE's methodology is flawed because it uses a starting point of 365W/1000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"coil-only" default fan power value of the current test procedure) and only considers the change in energy usage from 365W/1000 scfm to 441 W/1000 scfm. They claim that this ignores the increase in energy usage from 200W/1000 scfm to 365W/1000 scfm, and the resulting SEER reduction, caused by the imposition of the "coil-only" test. First Co. submits that SEER2 should be calculated by applying the following methodology, which takes into account the new "coil-only" test and the changes in the August 2016 test procedure SNOPR: replace 200W/1000 scfm (test data using ECM) with 411 W/1000 scfm and recalculate the SEER. First Co. indicates that applying this methodology, SEER will be reduced by approximately 10% for the coil only test and by an additional 4% to account for the suggested 411 W/1000 scfm number, resulting in a 10.4 SEER2 rating for space constrained air conditioners. (First Co., No. 93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 space-constrained air conditioner translation data provided by AHRI. DOE combined AHRI's data with the data DOE used to develop DOE's provisional translations. Note that after the October 2016 NODA, DOE issued the November 2016 test procedure final rule in which it adopted a minimum external static pressure requirement of 0.3 in. wc. for space-constrained air conditioners and heat pumps. (November 2016 Test Procedure Final Rule, pp. 97-99) Consequently, DOE combined AHRI's data with DOE's data reflective of performance at that operating condition. Once combined, the data validates AHRI's assertion that 11.7 is the appropriate SEER2 level for space-constrained air conditioners at 0.3 in. wc. Thus, DOE is adopting 11.7 SEER2 as the standard level for space-constrained air conditioners in this final rule. DOE disagrees with AHRI and Lennox that 11.7 SEER2 should also be used for space-constrained heat pumps. While space-constrained air conditioners are required to certify at least one coil-only combination that is representative of the least efficient coil-only combination distributed in commerce, space-constrained heat pumps have no coil-only requirement. (</w:t>
      </w:r>
      <w:hyperlink r:id="rId103" w:history="1">
        <w:r>
          <w:rPr>
            <w:rFonts w:ascii="arial" w:eastAsia="arial" w:hAnsi="arial" w:cs="arial"/>
            <w:b w:val="0"/>
            <w:i/>
            <w:strike w:val="0"/>
            <w:noProof w:val="0"/>
            <w:color w:val="0077CC"/>
            <w:position w:val="0"/>
            <w:sz w:val="20"/>
            <w:u w:val="single"/>
            <w:vertAlign w:val="baseline"/>
          </w:rPr>
          <w:t>10 CFR 429.16(a)(1)</w:t>
        </w:r>
      </w:hyperlink>
      <w:r>
        <w:rPr>
          <w:rFonts w:ascii="arial" w:eastAsia="arial" w:hAnsi="arial" w:cs="arial"/>
          <w:b w:val="0"/>
          <w:i w:val="0"/>
          <w:strike w:val="0"/>
          <w:noProof w:val="0"/>
          <w:color w:val="000000"/>
          <w:position w:val="0"/>
          <w:sz w:val="20"/>
          <w:u w:val="none"/>
          <w:vertAlign w:val="baseline"/>
        </w:rPr>
        <w:t xml:space="preserve">) AHRI derived 11.7 SEER2 using 406 W/1000 scfm (the default fan power at 0.3 in. wc.) for indoor fan power consumption. As discussed in the November 2015 test procedure SNOPR and subsequently referenced in the November 2016 test procedure final rule, this default fan power value is reflective of the weighted-average performance of indoor fan by motor type distribution projected for the effective date of this standard, which includes a significant majority of lower-efficiency PSC motors. </w:t>
      </w:r>
      <w:hyperlink r:id="rId47" w:history="1">
        <w:r>
          <w:rPr>
            <w:rFonts w:ascii="arial" w:eastAsia="arial" w:hAnsi="arial" w:cs="arial"/>
            <w:b w:val="0"/>
            <w:i/>
            <w:strike w:val="0"/>
            <w:noProof w:val="0"/>
            <w:color w:val="0077CC"/>
            <w:position w:val="0"/>
            <w:sz w:val="20"/>
            <w:u w:val="single"/>
            <w:vertAlign w:val="baseline"/>
          </w:rPr>
          <w:t>80 FR 69319-20</w:t>
        </w:r>
      </w:hyperlink>
      <w:r>
        <w:rPr>
          <w:rFonts w:ascii="arial" w:eastAsia="arial" w:hAnsi="arial" w:cs="arial"/>
          <w:b w:val="0"/>
          <w:i w:val="0"/>
          <w:strike w:val="0"/>
          <w:noProof w:val="0"/>
          <w:color w:val="000000"/>
          <w:position w:val="0"/>
          <w:sz w:val="20"/>
          <w:u w:val="none"/>
          <w:vertAlign w:val="baseline"/>
        </w:rPr>
        <w:t xml:space="preserve"> and (November 2016 Test Procedure Final Rule, pp. 104-110) First </w:t>
      </w:r>
      <w:r>
        <w:rPr>
          <w:rFonts w:ascii="arial" w:eastAsia="arial" w:hAnsi="arial" w:cs="arial"/>
          <w:b/>
          <w:i w:val="0"/>
          <w:strike w:val="0"/>
          <w:noProof w:val="0"/>
          <w:color w:val="000000"/>
          <w:position w:val="0"/>
          <w:sz w:val="20"/>
          <w:u w:val="none"/>
          <w:vertAlign w:val="baseline"/>
        </w:rPr>
        <w:t> [*1851] </w:t>
      </w:r>
      <w:r>
        <w:rPr>
          <w:rFonts w:ascii="arial" w:eastAsia="arial" w:hAnsi="arial" w:cs="arial"/>
          <w:b w:val="0"/>
          <w:i w:val="0"/>
          <w:strike w:val="0"/>
          <w:noProof w:val="0"/>
          <w:color w:val="000000"/>
          <w:position w:val="0"/>
          <w:sz w:val="20"/>
          <w:u w:val="none"/>
          <w:vertAlign w:val="baseline"/>
        </w:rPr>
        <w:t xml:space="preserve"> Co. states that most space-constrained blower-coil systems currently sold include a high-efficiency ECM motor. (First Co., No. 93 at pp. 1-2) Brushless permanent magnet motors (often referred to as "ECM") are more efficient than PSC motors. Thus, 406 W/1000 scfm is not representative of the field operation of space-constrained blower-coil systems being sold. DOE's provisional analysis presented in the October 2016 NODA is consistent with First Co.'s claims, showing that higher-efficiency motors typically used in space-constrained blower-coil systems sold today consume less than 406 W/1000 scfm, resulting in a higher SEER2 level for space-constrained blower-coil systems compared to space-constrained coil-only systems. DOE did not receive any additional comments or data regarding the SEER2 level for space-constrained heat pumps. For these reasons, DOE finds that a higher SEER2 level for space-constrained heat pumps--which is based on blower-coil performance--compared to space-constrained air-conditioners--which is based on coil-only performance--is appropriate. DOE adopts its provisional translation of 11.9 SEER2 for space-constrained heat pumps for these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provided a response to First Co.'s comment regarding the required coil-only test for testing of space constrained products in the November 30, 2016 test procedure final rule. (November 2016 Test Procedure Final Rule, pp. 146-148)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Benefits and Costs (Annualized) of the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amended standards can also be expressed in terms of annualized values. The annualized monetary values are the sum of: (1) The annualized national economic value (expressed in 2015] of the benefits from operation of products that meet the proposed standards (consisting primarily of operating cost savings from using less energy, minus increases in product purchase costs, which is another way of representing consumer NPV), and (2) the annualized monetary value of the benefits of emission reductions, including CO[2] emission reductions.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2016.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amended standards for central air conditioners and heat pumps, expressed in 2015$, are shown in Table V-32.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that uses a 3-percent discount rate ($ 40.6/t in 2015)), the estimated cost of the adopted standards is $ 741 million per year in increased product costs, while the estimated benefits are $ 1,041 million per year in reduced product operating costs, $ 337 million per year in CO[2] reductions, and $ 22 million per year in reduced NO[X] emissions. In this case, the net benefit would amount to $ 659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that uses a 3-percent discount rate ($ 40.6/t in 2015), the estimated cost of the standards adopted in this rule is $ 747 million per year in increased product costs, while the estimated benefits are $ 1,488 million per year in reduced product operating costs, $ 337 million per year in CO[2] reductions, and $ 32 million per year in reduced NO[X] emissions. In this case, the net benefit would amount to $ 1,110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using a 7-percent discount rate for only the increased product costs and the reduced product operating costs, the net benefit would amount to $ 300 million per year. Using a 3-percent discount rate for only the increased product costs and the reduced product operating costs, the net benefit would amount to $ 741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V-32--Annualized Benefits and Costs of Amended Standards (Recommended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for Central Air Conditioners and Heat Pumps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2015$/year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1,163 to 2,090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1,127 to 2,054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 to 2,223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1,620 to 2,547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1,557 to 2,484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1,826 to 2,753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 to 1,349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 to 1,269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 to 1,500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 to 1,800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757 to 1,684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 to 2,028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central air conditioners and heat pumps shipped in 2023-2052. These results include benefits to consumers which accrue after 2050 from the products purchased in 2023-2052. The incremental installed costs include incremental equipment cost as well as installation costs. The CO[2] reduction benefits are global benefits due to actions that occur nationally. The Primary, Low Net Benefits, and High Net Benefits Estimates utilize projections of energy prices from the AEO 2015 Reference case, Low Estimate, and High Estimate, respectively. In addition, incremental product costs reflect a modest decline rate for projected product prices in the Primary Estimate, a constant rate in the Low Net Benefits Estimate, and a higher decline rate in the High Net Benefits Estimate. The methods used to derive projected price trends are explained in section IV.F.1.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reduction benefits are calculated using 4 different sets of SCC values. The first three use the average SCC calculated using 5%, 3%, and 2.5% discount rates, respectively. The fourth represents the 95th percentile of the SCC distribution calculated using a 3%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21"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For the Primary Estimate and Low Net Benefits Estimate, DOE used a national benefit-per-ton estimate for NO[X] emitted from the Electric Generating Unit sector based on an estimate of premature mortality derived from the ACS study (Krewski et al., 2009). For the High Net 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presented using only the average SCC with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94"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(October 4, 1993), requires each agency to identify the problem that it intends to address, including, where applicable, the failures of private markets or public institutions that warrant new agency action, as well as to assess the significance of that problem. The problems that the standards set forth in this direct final rule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appliances and equipment that are not captured by the users of such products.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quantify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this regulatory action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104"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(January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w:t>
      </w:r>
      <w:r>
        <w:rPr>
          <w:rFonts w:ascii="arial" w:eastAsia="arial" w:hAnsi="arial" w:cs="arial"/>
          <w:b/>
          <w:i w:val="0"/>
          <w:strike w:val="0"/>
          <w:noProof w:val="0"/>
          <w:color w:val="000000"/>
          <w:position w:val="0"/>
          <w:sz w:val="20"/>
          <w:u w:val="none"/>
          <w:vertAlign w:val="baseline"/>
        </w:rPr>
        <w:t> [*1853] </w:t>
      </w:r>
      <w:r>
        <w:rPr>
          <w:rFonts w:ascii="arial" w:eastAsia="arial" w:hAnsi="arial" w:cs="arial"/>
          <w:b w:val="0"/>
          <w:i w:val="0"/>
          <w:strike w:val="0"/>
          <w:noProof w:val="0"/>
          <w:color w:val="000000"/>
          <w:position w:val="0"/>
          <w:sz w:val="20"/>
          <w:u w:val="none"/>
          <w:vertAlign w:val="baseline"/>
        </w:rPr>
        <w:t xml:space="preserve">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direct final rule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105"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106"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107"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Reasons Why Action is Being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undertaken this rulemaking pursuant to </w:t>
      </w:r>
      <w:hyperlink r:id="rId12" w:history="1">
        <w:r>
          <w:rPr>
            <w:rFonts w:ascii="arial" w:eastAsia="arial" w:hAnsi="arial" w:cs="arial"/>
            <w:b w:val="0"/>
            <w:i/>
            <w:strike w:val="0"/>
            <w:noProof w:val="0"/>
            <w:color w:val="0077CC"/>
            <w:position w:val="0"/>
            <w:sz w:val="20"/>
            <w:u w:val="single"/>
            <w:vertAlign w:val="baseline"/>
          </w:rPr>
          <w:t>42 U.S.C. 6295(d)(3)</w:t>
        </w:r>
      </w:hyperlink>
      <w:r>
        <w:rPr>
          <w:rFonts w:ascii="arial" w:eastAsia="arial" w:hAnsi="arial" w:cs="arial"/>
          <w:b w:val="0"/>
          <w:i w:val="0"/>
          <w:strike w:val="0"/>
          <w:noProof w:val="0"/>
          <w:color w:val="000000"/>
          <w:position w:val="0"/>
          <w:sz w:val="20"/>
          <w:u w:val="none"/>
          <w:vertAlign w:val="baseline"/>
        </w:rPr>
        <w:t>, which requires DOE to conduct a second round of amended standards rulemaking for residential central air conditioners and heat pumps. The Energy Policy and Conservation Act of 1975 (EPCA), as amended by the Energy Independence and Security Act of 2007 (EISA 2007), requires that not later than six years after issuance of any final rule establishing or amending a standard, DOE must publish either a notice of the determination that standards for the product do not need to be amended, or a notice of proposed rulemaking including new proposed energy conservation standards.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DOE's last final rule for residential central air conditioners and heat pumps was issued on June 27, 2011, so as a result, DOE must act by June 27,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Objectives of, and Legal Basis for,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II.A above, Title III,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which includes the residential central air conditioners and heat pumps that are the subject of this rulemaking. (</w:t>
      </w:r>
      <w:hyperlink r:id="rId11" w:history="1">
        <w:r>
          <w:rPr>
            <w:rFonts w:ascii="arial" w:eastAsia="arial" w:hAnsi="arial" w:cs="arial"/>
            <w:b w:val="0"/>
            <w:i/>
            <w:strike w:val="0"/>
            <w:noProof w:val="0"/>
            <w:color w:val="0077CC"/>
            <w:position w:val="0"/>
            <w:sz w:val="20"/>
            <w:u w:val="single"/>
            <w:vertAlign w:val="baseline"/>
          </w:rPr>
          <w:t>42 U.S.C. 6292(a)(3)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Appliance Energy Conservation Act of 1987 (NAECA; </w:t>
      </w:r>
      <w:hyperlink r:id="rId23" w:history="1">
        <w:r>
          <w:rPr>
            <w:rFonts w:ascii="arial" w:eastAsia="arial" w:hAnsi="arial" w:cs="arial"/>
            <w:b w:val="0"/>
            <w:i/>
            <w:strike w:val="0"/>
            <w:noProof w:val="0"/>
            <w:color w:val="0077CC"/>
            <w:position w:val="0"/>
            <w:sz w:val="20"/>
            <w:u w:val="single"/>
            <w:vertAlign w:val="baseline"/>
          </w:rPr>
          <w:t>Pub. L. 100-12</w:t>
        </w:r>
      </w:hyperlink>
      <w:r>
        <w:rPr>
          <w:rFonts w:ascii="arial" w:eastAsia="arial" w:hAnsi="arial" w:cs="arial"/>
          <w:b w:val="0"/>
          <w:i w:val="0"/>
          <w:strike w:val="0"/>
          <w:noProof w:val="0"/>
          <w:color w:val="000000"/>
          <w:position w:val="0"/>
          <w:sz w:val="20"/>
          <w:u w:val="none"/>
          <w:vertAlign w:val="baseline"/>
        </w:rPr>
        <w:t>) included amendments to EPCA that established the original energy conservation standards for central air conditioners and heat pumps. (</w:t>
      </w:r>
      <w:hyperlink r:id="rId12" w:history="1">
        <w:r>
          <w:rPr>
            <w:rFonts w:ascii="arial" w:eastAsia="arial" w:hAnsi="arial" w:cs="arial"/>
            <w:b w:val="0"/>
            <w:i/>
            <w:strike w:val="0"/>
            <w:noProof w:val="0"/>
            <w:color w:val="0077CC"/>
            <w:position w:val="0"/>
            <w:sz w:val="20"/>
            <w:u w:val="single"/>
            <w:vertAlign w:val="baseline"/>
          </w:rPr>
          <w:t>42 U.S.C. 6295(d)(1)</w:t>
        </w:r>
      </w:hyperlink>
      <w:r>
        <w:rPr>
          <w:rFonts w:ascii="arial" w:eastAsia="arial" w:hAnsi="arial" w:cs="arial"/>
          <w:b w:val="0"/>
          <w:i w:val="0"/>
          <w:strike w:val="0"/>
          <w:noProof w:val="0"/>
          <w:color w:val="000000"/>
          <w:position w:val="0"/>
          <w:sz w:val="20"/>
          <w:u w:val="none"/>
          <w:vertAlign w:val="baseline"/>
        </w:rPr>
        <w:t>-(2)) EPCA, as amended, also requires DOE to conduct two cycles of rulemakings to determine whether to amend the energy conservation standards for central air conditioners and heat pumps. (</w:t>
      </w:r>
      <w:hyperlink r:id="rId12" w:history="1">
        <w:r>
          <w:rPr>
            <w:rFonts w:ascii="arial" w:eastAsia="arial" w:hAnsi="arial" w:cs="arial"/>
            <w:b w:val="0"/>
            <w:i/>
            <w:strike w:val="0"/>
            <w:noProof w:val="0"/>
            <w:color w:val="0077CC"/>
            <w:position w:val="0"/>
            <w:sz w:val="20"/>
            <w:u w:val="single"/>
            <w:vertAlign w:val="baseline"/>
          </w:rPr>
          <w:t>42 U.S.C. 6295(d)(3)</w:t>
        </w:r>
      </w:hyperlink>
      <w:r>
        <w:rPr>
          <w:rFonts w:ascii="arial" w:eastAsia="arial" w:hAnsi="arial" w:cs="arial"/>
          <w:b w:val="0"/>
          <w:i w:val="0"/>
          <w:strike w:val="0"/>
          <w:noProof w:val="0"/>
          <w:color w:val="000000"/>
          <w:position w:val="0"/>
          <w:sz w:val="20"/>
          <w:u w:val="none"/>
          <w:vertAlign w:val="baseline"/>
        </w:rPr>
        <w:t xml:space="preserve">) The first cycle culminated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17, 2004 (the August 2004 Rule), which prescribed energy conservation standards for central air conditioners and heat pumps manufactured or imported on and after January 23, 2006. </w:t>
      </w:r>
      <w:hyperlink r:id="rId24" w:history="1">
        <w:r>
          <w:rPr>
            <w:rFonts w:ascii="arial" w:eastAsia="arial" w:hAnsi="arial" w:cs="arial"/>
            <w:b w:val="0"/>
            <w:i/>
            <w:strike w:val="0"/>
            <w:noProof w:val="0"/>
            <w:color w:val="0077CC"/>
            <w:position w:val="0"/>
            <w:sz w:val="20"/>
            <w:u w:val="single"/>
            <w:vertAlign w:val="baseline"/>
          </w:rPr>
          <w:t>69 FR 50997.</w:t>
        </w:r>
      </w:hyperlink>
      <w:r>
        <w:rPr>
          <w:rFonts w:ascii="arial" w:eastAsia="arial" w:hAnsi="arial" w:cs="arial"/>
          <w:b w:val="0"/>
          <w:i w:val="0"/>
          <w:strike w:val="0"/>
          <w:noProof w:val="0"/>
          <w:color w:val="000000"/>
          <w:position w:val="0"/>
          <w:sz w:val="20"/>
          <w:u w:val="none"/>
          <w:vertAlign w:val="baseline"/>
        </w:rPr>
        <w:t xml:space="preserve"> DOE completed the second of the two rulemaking cycles by publishing a direct final rule on June 27, 2011 (2011 Direct Final Rule). </w:t>
      </w:r>
      <w:hyperlink r:id="rId16" w:history="1">
        <w:r>
          <w:rPr>
            <w:rFonts w:ascii="arial" w:eastAsia="arial" w:hAnsi="arial" w:cs="arial"/>
            <w:b w:val="0"/>
            <w:i/>
            <w:strike w:val="0"/>
            <w:noProof w:val="0"/>
            <w:color w:val="0077CC"/>
            <w:position w:val="0"/>
            <w:sz w:val="20"/>
            <w:u w:val="single"/>
            <w:vertAlign w:val="baseline"/>
          </w:rPr>
          <w:t>76 FR 37414.</w:t>
        </w:r>
      </w:hyperlink>
      <w:r>
        <w:rPr>
          <w:rFonts w:ascii="arial" w:eastAsia="arial" w:hAnsi="arial" w:cs="arial"/>
          <w:b w:val="0"/>
          <w:i w:val="0"/>
          <w:strike w:val="0"/>
          <w:noProof w:val="0"/>
          <w:color w:val="000000"/>
          <w:position w:val="0"/>
          <w:sz w:val="20"/>
          <w:u w:val="none"/>
          <w:vertAlign w:val="baseline"/>
        </w:rPr>
        <w:t xml:space="preserve"> The 2011 Direct Final Rule (2011 DFR) amended standards for central air conditioners and heat pumps manufactured on or after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periodically review its already established energy conservation standards for a covered product. Not later than six years after issuance of any final rule establishing or amending a standard, DOE must publish a notice of determination that standards for the product do not need to be amended, or a notice of proposed rulemaking including new proposed standards.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Pursuant to this requirement, the next review that DOE would need to conduct must occur no later than six years from the issuance of the 2011 direct final rule. This direct final rule fulfills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 for Estimating the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residential central air conditioners and heat pumps,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this rule. The size standards are codified at 13 CFR part 121. The standards are listed by North American Industry Classification System (NAICS) code and industry description and are available at: </w:t>
      </w:r>
      <w:hyperlink r:id="rId108"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Residential central air conditioner and heat pump manufacturing is classified under NAICS 333415, "Air-Conditioning and Warm Air Heating Equipment and Commercial and Industrial Refrigeration Equipment Manufacturing." The SBA sets a threshold of 1,250 employees or fewer for an entity to be considered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the potential standard levels considered in today's direct final rule under the provisions of the Regulatory Flexibility Act and the procedures and policies published on February 19, 2003. During its market survey, DOE used publicly available information to identify small manufacturers. DOE's research involved industry trade association membership directories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AHRI), information from previous rulemakings,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or sell central air conditioner and heat pump products covered by this rulemaking. DOE also asked stakeholders and industry representatives if they were aware of any additional small manufacturers during manufacturer interviews. DOE </w:t>
      </w:r>
      <w:r>
        <w:rPr>
          <w:rFonts w:ascii="arial" w:eastAsia="arial" w:hAnsi="arial" w:cs="arial"/>
          <w:b/>
          <w:i w:val="0"/>
          <w:strike w:val="0"/>
          <w:noProof w:val="0"/>
          <w:color w:val="000000"/>
          <w:position w:val="0"/>
          <w:sz w:val="20"/>
          <w:u w:val="none"/>
          <w:vertAlign w:val="baseline"/>
        </w:rPr>
        <w:t> [*1854] </w:t>
      </w:r>
      <w:r>
        <w:rPr>
          <w:rFonts w:ascii="arial" w:eastAsia="arial" w:hAnsi="arial" w:cs="arial"/>
          <w:b w:val="0"/>
          <w:i w:val="0"/>
          <w:strike w:val="0"/>
          <w:noProof w:val="0"/>
          <w:color w:val="000000"/>
          <w:position w:val="0"/>
          <w:sz w:val="20"/>
          <w:u w:val="none"/>
          <w:vertAlign w:val="baseline"/>
        </w:rPr>
        <w:t xml:space="preserve"> reviewed publicly available data and contacted various companies on its complete list of manufacturers to determine whether they met the SBA's definition of a small business manufacturer. DOE screened out companies that do not offer products impacted by this rulemaking, do not meet the definition of a "small business," exclusively rebrand and distribute products manufactured by others, or are foreign owned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30 manufacturers of central air conditioner and heat pump products affected by this direct final rule. Of these, DOE identified three as domestic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contacted the identified small businesses to invite them to take part in a manufacturer impact analysis interview. DOE was able to reach and discuss potential standards with one small business. DOE also obtained information about small businesses and potential impacts on small businesses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Residential Central Air Conditioner and Heat Pump Industry Structure and Nature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large manufacturers supply over 95 percent of the market for central air conditioners and heat pumps. Of the three domestic small businesses identified, DOE's research indicates that all three are independent coil manufacturers (ICMs). DOE defines an ICM as a manufacturer of indoor units that does not manufacture single-package units or outdoor units. ICMs match their indoor evaporators or air handlers with condensing units from original equipment manufacturers (OEMs). For the purpose of this rulemaking, DOE did not identify any domestic small businesses that are OEMs of central air conditioner and heat pump products impacted by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2.a, manufacturers of central air conditioners and heat pumps may incur conversion costs to bring their manufacturing facilities and product designs into compliance with amended standards. Because DOE did not identify any small business OEMs of products impacted by this direct final rule, the following discussion of small business impacts focuses on the potential impacts facing small business ICMs. Like OEMs, ICMs operate factories and equipment and, accordingly, would be responsible for updating manufacturing practices to ensure products comply with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impacts facing small ICMs, DOE used data from its engineering analysis and product teardown analysis to estimate investments in equipment and tooling that ICMs may incur as a result of this direct final rule. Indoor coils do not have SEER ratings on their own because they are a component of split-systems. Consequently, their rated efficiency depends on their interaction with the outdoor units with which they are paired. Generally, all else being equal, split-systems with larger indoor coils will be more efficient because the indoor coil has a larger heat transfer surface area. Accordingly, DOE estimated investments in equipment and tooling ICMs may make in response to this direct final rule to increase the heat transfer surface area of their indoor coils and, in turn, increase the overall efficiency of split-systems. DOE used the least-cost coil-only units from its engineering analysis to determine the typical size of indoor coil used by manufacturers at each efficiency level analyzed. DOE then estimated potential capital conversion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investments in equipment and tooling) small ICMs would make to meet the recommended level. Focusing on equipment and tooling used to manufacture heat exchangers and outdoor cases, DOE estimated capital conversion costs of $ 2.3 million per small ICM. Using assumptions outlined in section 2.a and in chapter 12 of the direct final rule TSD, DOE calculated product conversion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R&amp;D expenditures) as 40 percent of total conversion costs, or $ 1.5 million per small ICM. This equates to total estimated conversion costs of $ 3.8 million per small ICM.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publicly available data, DOE estimated the average annual revenue of the three small ICMs to be $ 29.7 million. As negotiated by the CAC/HP Working Group, this direct final rule will not take effect until 2023. DOE therefore expects ICMs will be able to spread their conversion costs over the six-year period between publication of this direct final rule and the compliance year. Given these assumptions, DOE estimates total conversion costs resulting from this direct final rule to be 2.2 percent of small ICMs' six-year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considered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the recommended standards, represented by TSL 2. In reviewing alternatives to the adopted standards, DOE examined energy conservation standards set at both lower and higher efficiency levels than those recommended in this direct final rule. TSL 1 would establish less stringent efficiency levels, potentially reducing impacts on small business manufacturers. However, it would come at the expense of a reduction in energy savings. Where TSL 2 is projected to save 3.2 quads of energy, TSL 1 would save only 1.3 quads of energy, or 41% of the savings achieved at TSL 2. In addition to TSL 1, DOE examined more stringent efficiency levels at TSLs 3 and 4. These levels would achieve significantly higher energy savings of 8.6 and 14.2 quads respectively; however, the financial burden facing manufacturers, including small businesses, would also be more severe at these levels. (See section V.B.2.a for a more detailed discussion of financial impacts facing manufacturers at each TSL.) DOE believes that establishing standards at the recommended level, TSL 2, balances the benefits of energy savings with the potential burdens placed on manufacturers of covered products, including small business manufacturers. Accordingly, DOE is not adopting one of the other TSLs considered in the analysis, or the other policy alternatives examined as part of the regulatory impact analysis and included in chapter 17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for small business manufacturers may be available through other means. For example, individual manufacturers may petition for a waiver of the applicable test procedure. (See </w:t>
      </w:r>
      <w:hyperlink r:id="rId109"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35"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xml:space="preserve">, provides authority for the Secretary to adjust a rule issued under EPCA in order to prevent "special hardship, inequity, or unfair distribution of burdens" that may be imposed on that manufacturer as a result of such rule. Manufacturers </w:t>
      </w:r>
      <w:r>
        <w:rPr>
          <w:rFonts w:ascii="arial" w:eastAsia="arial" w:hAnsi="arial" w:cs="arial"/>
          <w:b/>
          <w:i w:val="0"/>
          <w:strike w:val="0"/>
          <w:noProof w:val="0"/>
          <w:color w:val="000000"/>
          <w:position w:val="0"/>
          <w:sz w:val="20"/>
          <w:u w:val="none"/>
          <w:vertAlign w:val="baseline"/>
        </w:rPr>
        <w:t> [*1855] </w:t>
      </w:r>
      <w:r>
        <w:rPr>
          <w:rFonts w:ascii="arial" w:eastAsia="arial" w:hAnsi="arial" w:cs="arial"/>
          <w:b w:val="0"/>
          <w:i w:val="0"/>
          <w:strike w:val="0"/>
          <w:noProof w:val="0"/>
          <w:color w:val="000000"/>
          <w:position w:val="0"/>
          <w:sz w:val="20"/>
          <w:u w:val="none"/>
          <w:vertAlign w:val="baseline"/>
        </w:rPr>
        <w:t xml:space="preserve">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central air conditioners and heat pumps must certify to DOE that their products comply with any applicable energy conservation standards. In certifying compliance, manufacturers must test their products according to the DOE test procedures for central air conditioners and heat pumps,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central air conditioners and heat pumps. </w:t>
      </w:r>
      <w:hyperlink r:id="rId110"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(January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this direct final rule fits within the category of actions included in Categorical Exclusion (CX) B5.1 and otherwise meets the requirements for application of a CX. See 10 CFR part 1021, App. B, B5.1(b); 1021.410(b) and Appendix B, B(1)-(5). The proposed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rule is available at </w:t>
      </w:r>
      <w:hyperlink r:id="rId111"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112"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rule. States can petition DOE for exemption from such preemption to the extent, and based on criteria, set forth in EPCA. (</w:t>
      </w:r>
      <w:hyperlink r:id="rId25"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114"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(February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115"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16"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117"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18"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concluded that this direct final rule may require expenditures of $ 100 million or more by the private sector. Such expenditures may include: (1) Investment in research and development and in capital expenditures by central air conditioner and heat pump manufacturers in the years between the final rule and the compliance date for the new standards, </w:t>
      </w:r>
      <w:r>
        <w:rPr>
          <w:rFonts w:ascii="arial" w:eastAsia="arial" w:hAnsi="arial" w:cs="arial"/>
          <w:b/>
          <w:i w:val="0"/>
          <w:strike w:val="0"/>
          <w:noProof w:val="0"/>
          <w:color w:val="000000"/>
          <w:position w:val="0"/>
          <w:sz w:val="20"/>
          <w:u w:val="none"/>
          <w:vertAlign w:val="baseline"/>
        </w:rPr>
        <w:t> [*1856] </w:t>
      </w:r>
      <w:r>
        <w:rPr>
          <w:rFonts w:ascii="arial" w:eastAsia="arial" w:hAnsi="arial" w:cs="arial"/>
          <w:b w:val="0"/>
          <w:i w:val="0"/>
          <w:strike w:val="0"/>
          <w:noProof w:val="0"/>
          <w:color w:val="000000"/>
          <w:position w:val="0"/>
          <w:sz w:val="20"/>
          <w:u w:val="none"/>
          <w:vertAlign w:val="baseline"/>
        </w:rPr>
        <w:t xml:space="preserve"> and (2) incremental additional expenditures by consumers to purchase higher-efficiency central air conditioners and heat pumps,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rule. (</w:t>
      </w:r>
      <w:hyperlink r:id="rId116"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and chapter 17 of the TSD for this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19"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DOE is required to select from those alternatives the most cost-effective and least burdensome alternative that achieves the objectives of the rule unless DOE publishes an explanation for doing otherwise, or the selection of such an alternative is inconsistent with law. In accordance with the statutory provisions discussed in this document, this rule would establish amended energy conservation standards for central air conditioners and heat pumps that are designed to achieve the maximum improvement in energy efficiency that DOE has determined to be both technologically feasible and economically justified. A full discussion of the alternatives considered by DOE is presented in chapter 17 of the TSD for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20"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21"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22"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(February 22, 2002), and DOE's guidelines were published at </w:t>
      </w:r>
      <w:hyperlink r:id="rId123"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(October 7, 2002). DOE has reviewed this direct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24"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regulatory action, which adopts amended energy conservation standards for central air conditioners and heat pumps,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(January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direct final rule prior to its effective date. The report will state that it has been determined that the rule is a "major rule" as defined by </w:t>
      </w:r>
      <w:hyperlink r:id="rId12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DOE also will submit the supporting analyses to the Comptroller General in the U.S. Government Accountability Office ("GAO") and make them available to each House of Congress. </w:t>
      </w:r>
      <w:r>
        <w:rPr>
          <w:rFonts w:ascii="arial" w:eastAsia="arial" w:hAnsi="arial" w:cs="arial"/>
          <w:b/>
          <w:i w:val="0"/>
          <w:strike w:val="0"/>
          <w:noProof w:val="0"/>
          <w:color w:val="000000"/>
          <w:position w:val="0"/>
          <w:sz w:val="20"/>
          <w:u w:val="none"/>
          <w:vertAlign w:val="baseline"/>
        </w:rPr>
        <w:t> [*1857]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direct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Incorporation by reference,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J.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is amending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36"/>
        </w:numPr>
        <w:spacing w:before="120" w:line="240" w:lineRule="atLeast"/>
      </w:pPr>
      <w:r>
        <w:rPr>
          <w:b/>
          <w:i w:val="0"/>
          <w:sz w:val="20"/>
        </w:rPr>
        <w:t xml:space="preserve"> PROGRAM FOR CONSUMER PRODUCTS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 revising paragraphs (c)(1) through (3) and adding paragraphs (c)(5) and (6) to read as follows:</w:t>
      </w:r>
    </w:p>
    <w:p>
      <w:pPr>
        <w:numPr>
          <w:numId w:val="38"/>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
        </w:numPr>
        <w:spacing w:before="120" w:after="0" w:line="260" w:lineRule="atLeast"/>
        <w:ind w:right="0"/>
        <w:jc w:val="both"/>
      </w:pPr>
      <w:r>
        <w:rPr>
          <w:b/>
          <w:i/>
          <w:sz w:val="20"/>
        </w:rPr>
        <w:t>nd heat pumps.</w:t>
      </w:r>
      <w:r>
        <w:rPr>
          <w:rFonts w:ascii="arial" w:eastAsia="arial" w:hAnsi="arial" w:cs="arial"/>
          <w:b w:val="0"/>
          <w:i w:val="0"/>
          <w:strike w:val="0"/>
          <w:noProof w:val="0"/>
          <w:color w:val="000000"/>
          <w:position w:val="0"/>
          <w:sz w:val="20"/>
          <w:u w:val="none"/>
          <w:vertAlign w:val="baseline"/>
        </w:rPr>
        <w:t xml:space="preserve">The energy conservation standards defined in terms of the heating seasonal performance factor are based on Region IV, the minimum standardized design heating requirement, and the provisions of </w:t>
      </w:r>
      <w:hyperlink r:id="rId103" w:history="1">
        <w:r>
          <w:rPr>
            <w:rFonts w:ascii="arial" w:eastAsia="arial" w:hAnsi="arial" w:cs="arial"/>
            <w:b w:val="0"/>
            <w:i/>
            <w:strike w:val="0"/>
            <w:noProof w:val="0"/>
            <w:color w:val="0077CC"/>
            <w:position w:val="0"/>
            <w:sz w:val="20"/>
            <w:u w:val="single"/>
            <w:vertAlign w:val="baseline"/>
          </w:rPr>
          <w:t>10 CFR 429.16</w:t>
        </w:r>
      </w:hyperlink>
      <w:r>
        <w:rPr>
          <w:rFonts w:ascii="arial" w:eastAsia="arial" w:hAnsi="arial" w:cs="arial"/>
          <w:b w:val="0"/>
          <w:i w:val="0"/>
          <w:strike w:val="0"/>
          <w:noProof w:val="0"/>
          <w:color w:val="000000"/>
          <w:position w:val="0"/>
          <w:sz w:val="20"/>
          <w:u w:val="none"/>
          <w:vertAlign w:val="baseline"/>
        </w:rPr>
        <w:t>. (1) Central air conditioners and central air conditioning heat pumps manufactured on or after January 1, 2015, and before January 1, 2023, must have Seasonal Energy Efficiency Ratio and Heating Seasonal Performance Factor not less than: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Seasonal</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seasonal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ratio</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(HSPF)</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Split systems--air conditioners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Split systems--heat pumps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Single package units--air conditioners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Single package units--heat pumps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Small-duct, high-velocity systems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(vi)(A) Space-constrained products--air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(vi)(B) Space-constrained products--heat pumps</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bl>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meeting the applicable requirements in paragraph (c)(1) of this section, products in product class (i) of paragraph (c)(1) of this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split-systems--air conditioners) that are installed on or after January 1, 2015, and before January 1, 2023, in the States of Alabama, Arkansas, Delaware, Florida, Georgia, Hawaii, Kentucky, Louisiana, Maryland, Mississippi, North Carolina, Oklahoma, South Carolina, Tennessee, Texas, or Virginia, or in the District of Columbia, must have a Seasonal Energy Efficiency Ratio (SEER) of 14 or higher. Any outdoor unit model that has a certified combination with a rating below 14 SEER cannot be installed in these States. The least efficient combination of each basic model must comply with this standard.</w:t>
      </w:r>
    </w:p>
    <w:p>
      <w:pPr>
        <w:numPr>
          <w:numId w:val="40"/>
        </w:numPr>
        <w:spacing w:before="120" w:line="240" w:lineRule="atLeast"/>
      </w:pP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meeting the applicable requirements in paragraph (c)(1) of this section, products in product classes (i) and (iii) of paragraph (c)(1) of this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split systems--air conditioners and single-package units--air conditioners) that are installed on or after January 1, 2015, and before January 1, 2023, in the States of Arizona, California, Nevada, or New Mexico must have a Seasonal Energy Efficiency Ratio (SEER) of 14 or higher and have an Energy Efficiency Ratio (EER) (at a standard rating of 95 [degrees] F dry bulb outdoor temperature) not less than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ratio (EER)</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Split systems--air conditioners with rated cooling</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less than 45,000 Btu/hr</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Split systems--air conditioners with rated cooling</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equal to or greater than 45,000 Btu/hr</w:t>
            </w:r>
          </w:p>
        </w:tc>
        <w:tc>
          <w:tcPr>
            <w:tcW w:w="1680" w:type="dxa"/>
          </w:tcP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Single-package units--air conditioners</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bl>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outdoor unit model that has a certified combination with a rating below 14 SEER or the applicable EER cannot be installed in this region. The least-efficient combination of each basic model must comply with this standard.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Central air conditioners and central air conditioning heat pumps manufactured on or after January 1, 2023, must have a Seasonal Energy Efficiency Ratio 2 and a Heating Seasonal Performance Factor 2 not less than: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Seasonal</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seasonal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ratio 2</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 2</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(SEER2)</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(HSPF2)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(i)(A) Split systems--air conditioners with 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 cooling capacity less than 45,000 Btu/hr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 Split systems--air conditioners with 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 cooling capacity equal to or greater than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45,000 Btu/hr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Split systems--heat pumps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Single-package units--air conditioners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Single-package units--heat pumps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Small-duct, high-velocity systems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(vi)(A) Space-constrained products--air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(vi)(B) Space-constrained products--heat pumps</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r>
    </w:tbl>
    <w:p>
      <w:pPr>
        <w:numPr>
          <w:numId w:val="40"/>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meeting the applicable requirements in paragraph (c)(5) of this section, products in product classes (i) and (iii) of paragraph (c)(5) of this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split systems--air conditioners and single-package units--air conditioners) that are installed on or after January 1, 2023, in the southeast or southwest must have a Seasonal Energy Efficiency Ratio 2 and a Energy Efficiency Ratio 2 not less than: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Southeast</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Southwest **</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EER2 ***</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(i)(A) Split-systems--air conditioners with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11.7/9.8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certified cooling capacity less than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45,000 Btu/hr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 Split-systems--air conditioners with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11.2/9.8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certified cooling capacity equal to 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45,000 Btu/hr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Single-package units--air conditioners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"Southeast" includes the States of Alabama, Arkansas, Delaware, Florida, Georgia, Hawaii, Kentucky, Louisiana, Maryland, Mississippi, North Carolina, Oklahoma, Puerto Rico, South Carolina, Tennessee, Texas, Virginia, the District of Columbia, and the U.S. Territories.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"Southwest" includes the States of Arizona, California, Nevada, and New Mexico.</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EER refers to the energy efficiency ratio at a standard rating of 95 [degrees] F dry bulb outdoor temperature.</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11.7 EER2 standard applies to products with a certified SEER2 less than 15.2. The 9.8 EER2 standard applies to products with a certified SEER2 greater than or equal to 15.2.</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 The 11.2 EER2 standard applies to products with a certified SEER2 less than 15.2. The 9.8 EER2 standard applies to products with a certified SEER2 greater than or equal to 15.2.</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outdoor unit model that has a certified combination with a rating below the applicable standard level(s) for a region cannot be installed in that region. The least-efficient combination of each basic model must comply with this standard.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2016-29992 Filed 1-5-17;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May 8, 2017 unless adverse comment is received by April 26, 2017. If adverse comments are received that DOE determines may provide a reasonable basis for withdrawal of the direct final rule, a timely withdrawal of this rule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If no such adverse comments are received, compliance with the amended standards in this final rule will be required for central air conditioners and heat pumps as specified in this final rule starting on January 1, 2023.</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27" w:history="1">
        <w:r>
          <w:rPr>
            <w:rFonts w:ascii="arial" w:eastAsia="arial" w:hAnsi="arial" w:cs="arial"/>
            <w:b w:val="0"/>
            <w:i/>
            <w:strike w:val="0"/>
            <w:noProof w:val="0"/>
            <w:color w:val="0077CC"/>
            <w:position w:val="0"/>
            <w:sz w:val="20"/>
            <w:u w:val="single"/>
            <w:vertAlign w:val="baseline"/>
          </w:rPr>
          <w:t>www.</w:t>
        </w:r>
      </w:hyperlink>
      <w:hyperlink r:id="rId127" w:history="1">
        <w:r>
          <w:rPr>
            <w:rFonts w:ascii="arial" w:eastAsia="arial" w:hAnsi="arial" w:cs="arial"/>
            <w:b/>
            <w:i/>
            <w:strike w:val="0"/>
            <w:noProof w:val="0"/>
            <w:color w:val="0077CC"/>
            <w:position w:val="0"/>
            <w:sz w:val="20"/>
            <w:u w:val="single"/>
            <w:vertAlign w:val="baseline"/>
          </w:rPr>
          <w:t>regulations</w:t>
        </w:r>
      </w:hyperlink>
      <w:hyperlink r:id="rId1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27" w:history="1">
        <w:r>
          <w:rPr>
            <w:rFonts w:ascii="arial" w:eastAsia="arial" w:hAnsi="arial" w:cs="arial"/>
            <w:b w:val="0"/>
            <w:i/>
            <w:strike w:val="0"/>
            <w:noProof w:val="0"/>
            <w:color w:val="0077CC"/>
            <w:position w:val="0"/>
            <w:sz w:val="20"/>
            <w:u w:val="single"/>
            <w:vertAlign w:val="baseline"/>
          </w:rPr>
          <w:t>www.</w:t>
        </w:r>
      </w:hyperlink>
      <w:hyperlink r:id="rId127" w:history="1">
        <w:r>
          <w:rPr>
            <w:rFonts w:ascii="arial" w:eastAsia="arial" w:hAnsi="arial" w:cs="arial"/>
            <w:b/>
            <w:i/>
            <w:strike w:val="0"/>
            <w:noProof w:val="0"/>
            <w:color w:val="0077CC"/>
            <w:position w:val="0"/>
            <w:sz w:val="20"/>
            <w:u w:val="single"/>
            <w:vertAlign w:val="baseline"/>
          </w:rPr>
          <w:t>regulations</w:t>
        </w:r>
      </w:hyperlink>
      <w:hyperlink r:id="rId1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for residential central air conditioners and heat pumps can be found at: </w:t>
      </w:r>
      <w:r>
        <w:rPr>
          <w:rFonts w:ascii="arial" w:eastAsia="arial" w:hAnsi="arial" w:cs="arial"/>
          <w:b w:val="0"/>
          <w:i/>
          <w:strike w:val="0"/>
          <w:noProof w:val="0"/>
          <w:color w:val="000000"/>
          <w:position w:val="0"/>
          <w:sz w:val="20"/>
          <w:u w:val="none"/>
          <w:vertAlign w:val="baseline"/>
        </w:rPr>
        <w:t>www1.eere.energy.gov/buildings/appliance_standards/rulemaking.aspx/ruleid/72.</w:t>
      </w:r>
      <w:r>
        <w:rPr>
          <w:rFonts w:ascii="arial" w:eastAsia="arial" w:hAnsi="arial" w:cs="arial"/>
          <w:b w:val="0"/>
          <w:i w:val="0"/>
          <w:strike w:val="0"/>
          <w:noProof w:val="0"/>
          <w:color w:val="000000"/>
          <w:position w:val="0"/>
          <w:sz w:val="20"/>
          <w:u w:val="none"/>
          <w:vertAlign w:val="baseline"/>
        </w:rPr>
        <w:t xml:space="preserve"> The </w:t>
      </w:r>
      <w:hyperlink r:id="rId127" w:history="1">
        <w:r>
          <w:rPr>
            <w:rFonts w:ascii="arial" w:eastAsia="arial" w:hAnsi="arial" w:cs="arial"/>
            <w:b w:val="0"/>
            <w:i/>
            <w:strike w:val="0"/>
            <w:noProof w:val="0"/>
            <w:color w:val="0077CC"/>
            <w:position w:val="0"/>
            <w:sz w:val="20"/>
            <w:u w:val="single"/>
            <w:vertAlign w:val="baseline"/>
          </w:rPr>
          <w:t>www.</w:t>
        </w:r>
      </w:hyperlink>
      <w:hyperlink r:id="rId127" w:history="1">
        <w:r>
          <w:rPr>
            <w:rFonts w:ascii="arial" w:eastAsia="arial" w:hAnsi="arial" w:cs="arial"/>
            <w:b/>
            <w:i/>
            <w:strike w:val="0"/>
            <w:noProof w:val="0"/>
            <w:color w:val="0077CC"/>
            <w:position w:val="0"/>
            <w:sz w:val="20"/>
            <w:u w:val="single"/>
            <w:vertAlign w:val="baseline"/>
          </w:rPr>
          <w:t>regulations</w:t>
        </w:r>
      </w:hyperlink>
      <w:hyperlink r:id="rId1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or review other public comments and the docket, contact the Appliance and Equipment Standards staff at (202) 586-6636 or by email: </w:t>
      </w:r>
      <w:hyperlink r:id="rId128" w:history="1">
        <w:r>
          <w:rPr>
            <w:rFonts w:ascii="arial" w:eastAsia="arial" w:hAnsi="arial" w:cs="arial"/>
            <w:b w:val="0"/>
            <w:i/>
            <w:strike w:val="0"/>
            <w:noProof w:val="0"/>
            <w:color w:val="0077CC"/>
            <w:position w:val="0"/>
            <w:sz w:val="20"/>
            <w:u w:val="single"/>
            <w:vertAlign w:val="baseline"/>
          </w:rPr>
          <w:t>Appliance_Standards_Public_Meetings@ee.doe.gov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Antonio Bouza, U.S. Department of Energy, Office of Energy Efficiency and Renewable Energy, Building Technologies Office, EE-5B, 1000 Independence Avenue SW., Washington, DC 20585-0121. Telephone: (202) 586-4563. Email: </w:t>
      </w:r>
      <w:hyperlink r:id="rId129"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Johanna Jochum, U.S. Department of Energy, Office of the General Counsel, GC-33, 1000 Independence Avenue SW., Washington, DC 20585-0121. Telephone: (202) 287-6307. Email: </w:t>
      </w:r>
      <w:hyperlink r:id="rId130" w:history="1">
        <w:r>
          <w:rPr>
            <w:rFonts w:ascii="arial" w:eastAsia="arial" w:hAnsi="arial" w:cs="arial"/>
            <w:b w:val="0"/>
            <w:i/>
            <w:strike w:val="0"/>
            <w:noProof w:val="0"/>
            <w:color w:val="0077CC"/>
            <w:position w:val="0"/>
            <w:sz w:val="20"/>
            <w:u w:val="single"/>
            <w:vertAlign w:val="baseline"/>
          </w:rPr>
          <w:t>Johanna.Jochum@hq.doe.gov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1786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c) Central air conditioner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www.whitehouse.gov/omb/circulars_a004_a-4" TargetMode="External" /><Relationship Id="rId101" Type="http://schemas.openxmlformats.org/officeDocument/2006/relationships/hyperlink" Target="http://www1.eere.energy.gov/buildings/appliance_standards/pdfs/consumer_ee_theory.pdf" TargetMode="External" /><Relationship Id="rId102" Type="http://schemas.openxmlformats.org/officeDocument/2006/relationships/hyperlink" Target="https://advance.lexis.com/api/document?collection=administrative-codes&amp;id=urn:contentItem:5M1P-PT40-006W-84VV-00000-00&amp;context=" TargetMode="External" /><Relationship Id="rId103" Type="http://schemas.openxmlformats.org/officeDocument/2006/relationships/hyperlink" Target="https://advance.lexis.com/api/document?collection=administrative-codes&amp;id=urn:contentItem:5R2D-W490-008G-Y4MV-00000-00&amp;context=" TargetMode="External" /><Relationship Id="rId104" Type="http://schemas.openxmlformats.org/officeDocument/2006/relationships/hyperlink" Target="https://advance.lexis.com/api/document?collection=administrative-codes&amp;id=urn:contentItem:5206-DWC0-006W-80M2-00000-00&amp;context=" TargetMode="External" /><Relationship Id="rId105" Type="http://schemas.openxmlformats.org/officeDocument/2006/relationships/hyperlink" Target="https://advance.lexis.com/api/document?collection=administrative-codes&amp;id=urn:contentItem:46HT-RP60-006W-84SH-00000-00&amp;context=" TargetMode="External" /><Relationship Id="rId106" Type="http://schemas.openxmlformats.org/officeDocument/2006/relationships/hyperlink" Target="https://advance.lexis.com/api/document?collection=administrative-codes&amp;id=urn:contentItem:47YP-2TJ0-006W-845X-00000-00&amp;context=" TargetMode="External" /><Relationship Id="rId107" Type="http://schemas.openxmlformats.org/officeDocument/2006/relationships/hyperlink" Target="http://energy.gov/gc/office-general-counsel" TargetMode="External" /><Relationship Id="rId108" Type="http://schemas.openxmlformats.org/officeDocument/2006/relationships/hyperlink" Target="http://www.sba.gov/sites/default/files/files/Size_Standards_Table.pdf" TargetMode="External" /><Relationship Id="rId109" Type="http://schemas.openxmlformats.org/officeDocument/2006/relationships/hyperlink" Target="https://advance.lexis.com/api/document?collection=administrative-codes&amp;id=urn:contentItem:5PWY-CWY0-008G-Y132-00000-00&amp;context=" TargetMode="External" /><Relationship Id="rId11" Type="http://schemas.openxmlformats.org/officeDocument/2006/relationships/hyperlink" Target="https://advance.lexis.com/api/document?collection=statutes-legislation&amp;id=urn:contentItem:4YF7-GMB1-NRF4-435V-00000-00&amp;context=" TargetMode="External" /><Relationship Id="rId110" Type="http://schemas.openxmlformats.org/officeDocument/2006/relationships/hyperlink" Target="https://advance.lexis.com/api/document?collection=administrative-codes&amp;id=urn:contentItem:52B7-3BW0-006W-80MT-00000-00&amp;context=" TargetMode="External" /><Relationship Id="rId111" Type="http://schemas.openxmlformats.org/officeDocument/2006/relationships/hyperlink" Target="http://cxnepa.energy.gov/" TargetMode="External" /><Relationship Id="rId112" Type="http://schemas.openxmlformats.org/officeDocument/2006/relationships/hyperlink" Target="https://advance.lexis.com/api/document?collection=administrative-codes&amp;id=urn:contentItem:3X4V-NKX0-006W-833G-00000-00&amp;context=" TargetMode="External" /><Relationship Id="rId113" Type="http://schemas.openxmlformats.org/officeDocument/2006/relationships/hyperlink" Target="https://advance.lexis.com/api/document?collection=administrative-codes&amp;id=urn:contentItem:3YT4-BSC0-006W-82KB-00000-00&amp;context=" TargetMode="External" /><Relationship Id="rId114" Type="http://schemas.openxmlformats.org/officeDocument/2006/relationships/hyperlink" Target="https://advance.lexis.com/api/document?collection=administrative-codes&amp;id=urn:contentItem:3SHC-1750-006W-9026-00000-00&amp;context=" TargetMode="External" /><Relationship Id="rId115" Type="http://schemas.openxmlformats.org/officeDocument/2006/relationships/hyperlink" Target="https://advance.lexis.com/api/document?collection=statutes-legislation&amp;id=urn:contentItem:4YF7-GVH1-NRF4-42C8-00000-00&amp;context=" TargetMode="External" /><Relationship Id="rId116" Type="http://schemas.openxmlformats.org/officeDocument/2006/relationships/hyperlink" Target="https://advance.lexis.com/api/document?collection=statutes-legislation&amp;id=urn:contentItem:4YF7-GWP1-NRF4-4368-00000-00&amp;context=" TargetMode="External" /><Relationship Id="rId117" Type="http://schemas.openxmlformats.org/officeDocument/2006/relationships/hyperlink" Target="https://advance.lexis.com/api/document?collection=administrative-codes&amp;id=urn:contentItem:3SHB-TTS0-006W-9045-00000-00&amp;context=" TargetMode="External" /><Relationship Id="rId118" Type="http://schemas.openxmlformats.org/officeDocument/2006/relationships/hyperlink" Target="http://energy.gov/sites/prod/files/gcprod/documents/umra_97.pdf" TargetMode="External" /><Relationship Id="rId119" Type="http://schemas.openxmlformats.org/officeDocument/2006/relationships/hyperlink" Target="https://advance.lexis.com/api/document?collection=statutes-legislation&amp;id=urn:contentItem:4YF7-GSR1-NRF4-4023-00000-00&amp;context=" TargetMode="External" /><Relationship Id="rId12" Type="http://schemas.openxmlformats.org/officeDocument/2006/relationships/hyperlink" Target="https://advance.lexis.com/api/document?collection=statutes-legislation&amp;id=urn:contentItem:4YF7-GR61-NRF4-40BK-00000-00&amp;context=" TargetMode="External" /><Relationship Id="rId120" Type="http://schemas.openxmlformats.org/officeDocument/2006/relationships/hyperlink" Target="https://advance.lexis.com/api/document?collection=administrative-codes&amp;id=urn:contentItem:3SDR-X4D0-001J-X3GV-00000-00&amp;context=" TargetMode="External" /><Relationship Id="rId121" Type="http://schemas.openxmlformats.org/officeDocument/2006/relationships/hyperlink" Target="https://advance.lexis.com/api/document?collection=statutes-legislation&amp;id=urn:contentItem:4YF7-GHY1-NRF4-409B-00000-00&amp;context=" TargetMode="External" /><Relationship Id="rId122" Type="http://schemas.openxmlformats.org/officeDocument/2006/relationships/hyperlink" Target="https://advance.lexis.com/api/document?collection=administrative-codes&amp;id=urn:contentItem:456G-VJ10-006W-84J8-00000-00&amp;context=" TargetMode="External" /><Relationship Id="rId123" Type="http://schemas.openxmlformats.org/officeDocument/2006/relationships/hyperlink" Target="https://advance.lexis.com/api/document?collection=administrative-codes&amp;id=urn:contentItem:46XX-5W60-006W-850B-00000-00&amp;context=" TargetMode="External" /><Relationship Id="rId124" Type="http://schemas.openxmlformats.org/officeDocument/2006/relationships/hyperlink" Target="https://advance.lexis.com/api/document?collection=administrative-codes&amp;id=urn:contentItem:433N-45V0-006W-82C7-00000-00&amp;context=" TargetMode="External" /><Relationship Id="rId125" Type="http://schemas.openxmlformats.org/officeDocument/2006/relationships/hyperlink" Target="https://advance.lexis.com/api/document?collection=statutes-legislation&amp;id=urn:contentItem:4YF7-GTB1-NRF4-40PP-00000-00&amp;context=" TargetMode="External" /><Relationship Id="rId126" Type="http://schemas.openxmlformats.org/officeDocument/2006/relationships/hyperlink" Target="https://advance.lexis.com/api/document?collection=statutes-legislation&amp;id=urn:contentItem:4YF7-GP01-NRF4-44H2-00000-00&amp;context=" TargetMode="External" /><Relationship Id="rId127" Type="http://schemas.openxmlformats.org/officeDocument/2006/relationships/hyperlink" Target="http://www.regulations.gov" TargetMode="External" /><Relationship Id="rId128" Type="http://schemas.openxmlformats.org/officeDocument/2006/relationships/hyperlink" Target="mailto:Appliance_Standards_Public_Meetings@ee.doe.gov" TargetMode="External" /><Relationship Id="rId129" Type="http://schemas.openxmlformats.org/officeDocument/2006/relationships/hyperlink" Target="mailto:ApplianceStandardsQuestions@ee.doe.gov" TargetMode="External" /><Relationship Id="rId13" Type="http://schemas.openxmlformats.org/officeDocument/2006/relationships/hyperlink" Target="https://advance.lexis.com/api/document?collection=administrative-codes&amp;id=urn:contentItem:5GSW-67P0-006W-84XG-00000-00&amp;context=" TargetMode="External" /><Relationship Id="rId130" Type="http://schemas.openxmlformats.org/officeDocument/2006/relationships/hyperlink" Target="mailto:Johanna.Jochum@hq.doe.gov" TargetMode="External" /><Relationship Id="rId131" Type="http://schemas.openxmlformats.org/officeDocument/2006/relationships/numbering" Target="numbering.xml" /><Relationship Id="rId132" Type="http://schemas.openxmlformats.org/officeDocument/2006/relationships/styles" Target="styles.xml" /><Relationship Id="rId14" Type="http://schemas.openxmlformats.org/officeDocument/2006/relationships/hyperlink" Target="https://advance.lexis.com/api/document?collection=administrative-codes&amp;id=urn:contentItem:5GF8-PRW0-006W-851X-00000-00&amp;context=" TargetMode="External" /><Relationship Id="rId15" Type="http://schemas.openxmlformats.org/officeDocument/2006/relationships/hyperlink" Target="http://energy.gov/eere/buildings/downloads/issuance-2016-11-30-energy-conservation-program-test-procedures-central-air" TargetMode="External" /><Relationship Id="rId16" Type="http://schemas.openxmlformats.org/officeDocument/2006/relationships/hyperlink" Target="https://advance.lexis.com/api/document?collection=administrative-codes&amp;id=urn:contentItem:5363-KG50-006W-84BV-00000-00&amp;context=" TargetMode="External" /><Relationship Id="rId17" Type="http://schemas.openxmlformats.org/officeDocument/2006/relationships/hyperlink" Target="https://advance.lexis.com/api/document?collection=administrative-codes&amp;id=urn:contentItem:5SCP-VJ20-008G-Y458-00000-00&amp;context=" TargetMode="External" /><Relationship Id="rId18" Type="http://schemas.openxmlformats.org/officeDocument/2006/relationships/hyperlink" Target="https://advance.lexis.com/api/document?collection=administrative-codes&amp;id=urn:contentItem:5JYN-4H50-006W-84JT-00000-00&amp;context=" TargetMode="External" /><Relationship Id="rId19" Type="http://schemas.openxmlformats.org/officeDocument/2006/relationships/hyperlink" Target="http://energy.gov/sites/prod/files/2014/07/f17/EnforcementPolicyStatement-cacoffmode.pdf" TargetMode="External" /><Relationship Id="rId2" Type="http://schemas.openxmlformats.org/officeDocument/2006/relationships/webSettings" Target="webSettings.xml" /><Relationship Id="rId20" Type="http://schemas.openxmlformats.org/officeDocument/2006/relationships/hyperlink" Target="https://www.whitehouse.gov/sites/default/files/omb/inforeg/scc-tsd-final-july-2015.pdf" TargetMode="External" /><Relationship Id="rId21" Type="http://schemas.openxmlformats.org/officeDocument/2006/relationships/hyperlink" Target="http://www.epa.gov/cleanpowerplan/clean-power-plan-final-rule-regulatory-impact-analysis" TargetMode="External" /><Relationship Id="rId22" Type="http://schemas.openxmlformats.org/officeDocument/2006/relationships/hyperlink" Target="https://advance.lexis.com/api/document?collection=statutes-legislation&amp;id=urn:contentItem:4YF7-GK61-NRF4-42MR-00000-00&amp;context=" TargetMode="External" /><Relationship Id="rId23" Type="http://schemas.openxmlformats.org/officeDocument/2006/relationships/hyperlink" Target="https://advance.lexis.com/api/document?collection=statutes-legislation&amp;id=urn:contentItem:5CDM-HXT0-01XN-S15W-00000-00&amp;context=" TargetMode="External" /><Relationship Id="rId24" Type="http://schemas.openxmlformats.org/officeDocument/2006/relationships/hyperlink" Target="https://advance.lexis.com/api/document?collection=administrative-codes&amp;id=urn:contentItem:4D3X-5V90-006W-802G-00000-00&amp;context=" TargetMode="External" /><Relationship Id="rId25" Type="http://schemas.openxmlformats.org/officeDocument/2006/relationships/hyperlink" Target="https://advance.lexis.com/api/document?collection=statutes-legislation&amp;id=urn:contentItem:4YF7-GVX1-NRF4-40GF-00000-00&amp;context=" TargetMode="External" /><Relationship Id="rId26" Type="http://schemas.openxmlformats.org/officeDocument/2006/relationships/hyperlink" Target="https://advance.lexis.com/api/document?collection=statutes-legislation&amp;id=urn:contentItem:4YF7-GSK1-NRF4-43W1-00000-00&amp;context=" TargetMode="External" /><Relationship Id="rId27" Type="http://schemas.openxmlformats.org/officeDocument/2006/relationships/hyperlink" Target="https://advance.lexis.com/api/document?collection=administrative-codes&amp;id=urn:contentItem:544Y-TM50-006W-8420-00000-00&amp;context=" TargetMode="External" /><Relationship Id="rId28" Type="http://schemas.openxmlformats.org/officeDocument/2006/relationships/hyperlink" Target="http://www.achrnews.com/ext/resources/2013/06-2013/06-03-13/APGA-Petition-DC-Cir_11-1485.pdf" TargetMode="External" /><Relationship Id="rId29" Type="http://schemas.openxmlformats.org/officeDocument/2006/relationships/hyperlink" Target="http://www.acca.org/wp-content/uploads/2014/03/joint-motion-to-vacate-and-remand-2014-to-file.pdf"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D0K-YC60-006W-81HD-00000-00&amp;context=" TargetMode="External" /><Relationship Id="rId31" Type="http://schemas.openxmlformats.org/officeDocument/2006/relationships/hyperlink" Target="http://www.regulations.gov/#!documentDetail" TargetMode="External" /><Relationship Id="rId32" Type="http://schemas.openxmlformats.org/officeDocument/2006/relationships/hyperlink" Target="https://www.regulations.gov/document?D=EERE-2014-BT-STD-0048-0076" TargetMode="External" /><Relationship Id="rId33" Type="http://schemas.openxmlformats.org/officeDocument/2006/relationships/hyperlink" Target="https://www.regulations.gov/document?D=EERE-2011-BT-STD-0011-0016" TargetMode="External" /><Relationship Id="rId34" Type="http://schemas.openxmlformats.org/officeDocument/2006/relationships/hyperlink" Target="https://advance.lexis.com/api/document?collection=administrative-codes&amp;id=urn:contentItem:52NT-XHC0-006W-818S-00000-00&amp;context=" TargetMode="External" /><Relationship Id="rId35" Type="http://schemas.openxmlformats.org/officeDocument/2006/relationships/hyperlink" Target="https://advance.lexis.com/api/document?collection=statutes-legislation&amp;id=urn:contentItem:4YF7-GKB1-NRF4-44FT-00000-00&amp;context=" TargetMode="External" /><Relationship Id="rId36" Type="http://schemas.openxmlformats.org/officeDocument/2006/relationships/hyperlink" Target="https://advance.lexis.com/api/document?collection=administrative-codes&amp;id=urn:contentItem:5CMC-PFP0-006W-819J-00000-00&amp;context=" TargetMode="External" /><Relationship Id="rId37" Type="http://schemas.openxmlformats.org/officeDocument/2006/relationships/hyperlink" Target="http://www.epa.gov/ozone/snap/download/SAN_5745-SNAP_Low_GWP_Refrigerants_FRM_Signature_Version-signed-2-27-2015.pdf" TargetMode="External" /><Relationship Id="rId38" Type="http://schemas.openxmlformats.org/officeDocument/2006/relationships/hyperlink" Target="https://advance.lexis.com/api/document?collection=administrative-codes&amp;id=urn:contentItem:5FR1-9DG0-006W-84FM-00000-00&amp;context=" TargetMode="External" /><Relationship Id="rId39" Type="http://schemas.openxmlformats.org/officeDocument/2006/relationships/hyperlink" Target="https://advance.lexis.com/api/document?collection=administrative-codes&amp;id=urn:contentItem:5CVB-NCN0-006W-84K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GK-C310-006W-80J9-00000-00&amp;context=" TargetMode="External" /><Relationship Id="rId41" Type="http://schemas.openxmlformats.org/officeDocument/2006/relationships/hyperlink" Target="https://www.regulations.gov/docket?D=EPA-HQ-OAR-2014-0198" TargetMode="External" /><Relationship Id="rId42" Type="http://schemas.openxmlformats.org/officeDocument/2006/relationships/hyperlink" Target="https://advance.lexis.com/api/document?collection=administrative-codes&amp;id=urn:contentItem:5R2D-W4C0-008G-Y029-00000-00&amp;context=" TargetMode="External" /><Relationship Id="rId43" Type="http://schemas.openxmlformats.org/officeDocument/2006/relationships/hyperlink" Target="https://advance.lexis.com/api/document?collection=administrative-codes&amp;id=urn:contentItem:5KJ3-3B20-006W-82RM-00000-00&amp;context=" TargetMode="External" /><Relationship Id="rId44" Type="http://schemas.openxmlformats.org/officeDocument/2006/relationships/hyperlink" Target="https://advance.lexis.com/api/document?collection=administrative-codes&amp;id=urn:contentItem:506Y-XJH0-006W-80KS-00000-00&amp;context=" TargetMode="External" /><Relationship Id="rId45" Type="http://schemas.openxmlformats.org/officeDocument/2006/relationships/hyperlink" Target="https://advance.lexis.com/api/document?collection=administrative-codes&amp;id=urn:contentItem:52HJ-B5J0-006W-83S9-00000-00&amp;context=" TargetMode="External" /><Relationship Id="rId46" Type="http://schemas.openxmlformats.org/officeDocument/2006/relationships/hyperlink" Target="https://advance.lexis.com/api/document?collection=administrative-codes&amp;id=urn:contentItem:543G-5JV0-006W-837D-00000-00&amp;context=" TargetMode="External" /><Relationship Id="rId47" Type="http://schemas.openxmlformats.org/officeDocument/2006/relationships/hyperlink" Target="https://advance.lexis.com/api/document?collection=administrative-codes&amp;id=urn:contentItem:5HBF-BY10-006W-82CD-00000-00&amp;context=" TargetMode="External" /><Relationship Id="rId48" Type="http://schemas.openxmlformats.org/officeDocument/2006/relationships/hyperlink" Target="https://www.ahridirectory.org/ahridirectory/pages/home.aspx" TargetMode="External" /><Relationship Id="rId49" Type="http://schemas.openxmlformats.org/officeDocument/2006/relationships/hyperlink" Target="https://advance.lexis.com/api/document?collection=administrative-codes&amp;id=urn:contentItem:53K6-7D00-006W-80DK-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6C1-4HR0-006W-804B-00000-00&amp;context=" TargetMode="External" /><Relationship Id="rId51" Type="http://schemas.openxmlformats.org/officeDocument/2006/relationships/hyperlink" Target="https://advance.lexis.com/api/document?collection=cases&amp;id=urn:contentItem:3S4X-G7B0-0039-P2W6-00000-00&amp;context=" TargetMode="External" /><Relationship Id="rId52" Type="http://schemas.openxmlformats.org/officeDocument/2006/relationships/hyperlink" Target="http://www1.eere.energy.gov/buildings/appliance_standards/rulemaking.aspx?ruleid=104" TargetMode="External" /><Relationship Id="rId53" Type="http://schemas.openxmlformats.org/officeDocument/2006/relationships/hyperlink" Target="http://www1.eere.energy.gov/buildings/appliance_standards/product.aspx/productid/72" TargetMode="External" /><Relationship Id="rId54" Type="http://schemas.openxmlformats.org/officeDocument/2006/relationships/hyperlink" Target="https://advance.lexis.com/api/document?collection=administrative-codes&amp;id=urn:contentItem:4PY3-2WC0-006W-852N-00000-00&amp;context=" TargetMode="External" /><Relationship Id="rId55" Type="http://schemas.openxmlformats.org/officeDocument/2006/relationships/hyperlink" Target="https://www.regulations.gov/document?D=EERE-2014-BT-STD-0048-0029" TargetMode="External" /><Relationship Id="rId56" Type="http://schemas.openxmlformats.org/officeDocument/2006/relationships/hyperlink" Target="http://www.hardinet.org/Profit-Report" TargetMode="External" /><Relationship Id="rId57" Type="http://schemas.openxmlformats.org/officeDocument/2006/relationships/hyperlink" Target="http://www.acca.org/store/" TargetMode="External" /><Relationship Id="rId58" Type="http://schemas.openxmlformats.org/officeDocument/2006/relationships/hyperlink" Target="http://www.census.gov/econ/" TargetMode="External" /><Relationship Id="rId59" Type="http://schemas.openxmlformats.org/officeDocument/2006/relationships/hyperlink" Target="http://thestc.com/STrates.stm" TargetMode="External" /><Relationship Id="rId6" Type="http://schemas.openxmlformats.org/officeDocument/2006/relationships/footer" Target="footer2.xml" /><Relationship Id="rId60" Type="http://schemas.openxmlformats.org/officeDocument/2006/relationships/hyperlink" Target="http://www.eia.gov/consumption/residential/data/2009/" TargetMode="External" /><Relationship Id="rId61" Type="http://schemas.openxmlformats.org/officeDocument/2006/relationships/hyperlink" Target="http://www7.ncdc.noaa.gov/CDO/CDODivisionalSelect.jsp" TargetMode="External" /><Relationship Id="rId62" Type="http://schemas.openxmlformats.org/officeDocument/2006/relationships/hyperlink" Target="http://www.eia.gov/forecasts/aeo/" TargetMode="External" /><Relationship Id="rId63" Type="http://schemas.openxmlformats.org/officeDocument/2006/relationships/hyperlink" Target="https://advance.lexis.com/api/document?collection=administrative-codes&amp;id=urn:contentItem:5CK4-1KH0-006W-8111-00000-00&amp;context=" TargetMode="External" /><Relationship Id="rId64" Type="http://schemas.openxmlformats.org/officeDocument/2006/relationships/hyperlink" Target="http://web.ornl.gov/" TargetMode="External" /><Relationship Id="rId65" Type="http://schemas.openxmlformats.org/officeDocument/2006/relationships/hyperlink" Target="https://www.regulations.gov/#!documentDetail" TargetMode="External" /><Relationship Id="rId66" Type="http://schemas.openxmlformats.org/officeDocument/2006/relationships/hyperlink" Target="https://advance.lexis.com/api/document?collection=administrative-codes&amp;id=urn:contentItem:5FGV-8960-006W-80Y2-00000-00&amp;context=" TargetMode="External" /><Relationship Id="rId67" Type="http://schemas.openxmlformats.org/officeDocument/2006/relationships/hyperlink" Target="http://eetd.lbl.gov/publications/accounting-for-technological-change-0" TargetMode="External" /><Relationship Id="rId68" Type="http://schemas.openxmlformats.org/officeDocument/2006/relationships/hyperlink" Target="http://www.bls.gov/ppi/" TargetMode="External" /><Relationship Id="rId69" Type="http://schemas.openxmlformats.org/officeDocument/2006/relationships/hyperlink" Target="http://www.eei.org/resourcesandmedia/products/Pages/Products.aspx" TargetMode="External" /><Relationship Id="rId7" Type="http://schemas.openxmlformats.org/officeDocument/2006/relationships/hyperlink" Target="https://advance.lexis.com/api/document?collection=administrative-codes&amp;id=urn:contentItem:5MJV-VX90-006W-825H-00000-00&amp;context=" TargetMode="External" /><Relationship Id="rId70" Type="http://schemas.openxmlformats.org/officeDocument/2006/relationships/hyperlink" Target="http://www.eia.gov/electricity/data/eia861/" TargetMode="External" /><Relationship Id="rId71" Type="http://schemas.openxmlformats.org/officeDocument/2006/relationships/hyperlink" Target="https://www.grainger.com/category/motors/ecatalog/N-bii?analytics=nav" TargetMode="External" /><Relationship Id="rId72" Type="http://schemas.openxmlformats.org/officeDocument/2006/relationships/hyperlink" Target="http://www.census.gov/programs-surveys/ahs.html" TargetMode="External" /><Relationship Id="rId73" Type="http://schemas.openxmlformats.org/officeDocument/2006/relationships/hyperlink" Target="https://www.census.gov/construction/chars/" TargetMode="External" /><Relationship Id="rId74" Type="http://schemas.openxmlformats.org/officeDocument/2006/relationships/hyperlink" Target="http://www.whitehouse.gov/omb/memoranda/m03-21.html" TargetMode="External" /><Relationship Id="rId75" Type="http://schemas.openxmlformats.org/officeDocument/2006/relationships/hyperlink" Target="http://www.sec.gov" TargetMode="External" /><Relationship Id="rId76" Type="http://schemas.openxmlformats.org/officeDocument/2006/relationships/hyperlink" Target="http://www.hoovers.com/" TargetMode="External" /><Relationship Id="rId77" Type="http://schemas.openxmlformats.org/officeDocument/2006/relationships/hyperlink" Target="http://www.census.gov/manufacturing/asm/index.html" TargetMode="External" /><Relationship Id="rId78" Type="http://schemas.openxmlformats.org/officeDocument/2006/relationships/hyperlink" Target="https://advance.lexis.com/api/document?collection=administrative-codes&amp;id=urn:contentItem:5HVS-GY20-006W-83Y4-00000-00&amp;context=" TargetMode="External" /><Relationship Id="rId79" Type="http://schemas.openxmlformats.org/officeDocument/2006/relationships/hyperlink" Target="https://advance.lexis.com/api/document?collection=administrative-codes&amp;id=urn:contentItem:5HVS-GY20-006W-83Y3-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5FN9-V6W0-006W-83G2-00000-00&amp;context=" TargetMode="External" /><Relationship Id="rId81" Type="http://schemas.openxmlformats.org/officeDocument/2006/relationships/hyperlink" Target="https://advance.lexis.com/api/document?collection=administrative-codes&amp;id=urn:contentItem:5K0P-S160-006W-8524-00000-00&amp;context=" TargetMode="External" /><Relationship Id="rId82" Type="http://schemas.openxmlformats.org/officeDocument/2006/relationships/hyperlink" Target="http://www2.epa.gov/climateleadership/center-corporate-climate-leadership-ghg-emission-factors-hub" TargetMode="External" /><Relationship Id="rId83" Type="http://schemas.openxmlformats.org/officeDocument/2006/relationships/hyperlink" Target="https://advance.lexis.com/api/document?collection=statutes-legislation&amp;id=urn:contentItem:4YF7-GTF1-NRF4-41X8-00000-00&amp;context=" TargetMode="External" /><Relationship Id="rId84" Type="http://schemas.openxmlformats.org/officeDocument/2006/relationships/hyperlink" Target="https://advance.lexis.com/api/document?collection=administrative-codes&amp;id=urn:contentItem:4G52-NHY0-006W-84D2-00000-00&amp;context=" TargetMode="External" /><Relationship Id="rId85" Type="http://schemas.openxmlformats.org/officeDocument/2006/relationships/hyperlink" Target="https://advance.lexis.com/api/document?collection=administrative-codes&amp;id=urn:contentItem:53H3-3P50-006W-84F8-00000-00&amp;context=" TargetMode="External" /><Relationship Id="rId86" Type="http://schemas.openxmlformats.org/officeDocument/2006/relationships/hyperlink" Target="https://advance.lexis.com/api/document?collection=cases&amp;id=urn:contentItem:4SYR-B9W0-TX4N-G02V-00000-00&amp;context=" TargetMode="External" /><Relationship Id="rId87" Type="http://schemas.openxmlformats.org/officeDocument/2006/relationships/hyperlink" Target="https://advance.lexis.com/api/document?collection=cases&amp;id=urn:contentItem:4V71-YP60-TXFX-H3BH-00000-00&amp;context=" TargetMode="External" /><Relationship Id="rId88" Type="http://schemas.openxmlformats.org/officeDocument/2006/relationships/hyperlink" Target="https://advance.lexis.com/api/document?collection=cases&amp;id=urn:contentItem:56CW-VP91-F04K-Y15Y-00000-00&amp;context=" TargetMode="External" /><Relationship Id="rId89" Type="http://schemas.openxmlformats.org/officeDocument/2006/relationships/hyperlink" Target="https://advance.lexis.com/api/document?collection=cases&amp;id=urn:contentItem:5C37-VGX1-F04K-F0PF-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cases&amp;id=urn:contentItem:5GJ8-PSK1-F04K-Y0G2-00000-00&amp;context=" TargetMode="External" /><Relationship Id="rId91" Type="http://schemas.openxmlformats.org/officeDocument/2006/relationships/hyperlink" Target="https://advance.lexis.com/api/document?collection=administrative-codes&amp;id=urn:contentItem:5501-3JN0-006W-80CY-00000-00&amp;context=" TargetMode="External" /><Relationship Id="rId92" Type="http://schemas.openxmlformats.org/officeDocument/2006/relationships/hyperlink" Target="https://advance.lexis.com/api/document?collection=cases&amp;id=urn:contentItem:5GB3-GH41-F04K-F07J-00000-00&amp;context=" TargetMode="External" /><Relationship Id="rId93" Type="http://schemas.openxmlformats.org/officeDocument/2006/relationships/hyperlink" Target="https://advance.lexis.com/api/document?collection=administrative-codes&amp;id=urn:contentItem:5C3F-H5S0-006W-843G-00000-00&amp;context=" TargetMode="External" /><Relationship Id="rId94" Type="http://schemas.openxmlformats.org/officeDocument/2006/relationships/hyperlink" Target="https://advance.lexis.com/api/document?collection=administrative-codes&amp;id=urn:contentItem:3SHH-HT50-006W-918M-00000-00&amp;context=" TargetMode="External" /><Relationship Id="rId95" Type="http://schemas.openxmlformats.org/officeDocument/2006/relationships/hyperlink" Target="http://www.whitehouse.gov/sites/default/files/omb/inforeg/for-agencies/Social-Cost-of-Carbon-for-RIA.pdf" TargetMode="External" /><Relationship Id="rId96" Type="http://schemas.openxmlformats.org/officeDocument/2006/relationships/hyperlink" Target="https://www.whitehouse.gov/blog/2015/07/02/estimating-benefits-carbon-dioxide-emissions-reductions" TargetMode="External" /><Relationship Id="rId97" Type="http://schemas.openxmlformats.org/officeDocument/2006/relationships/hyperlink" Target="http://www.pnl.gov/main/publications/external/technical_reports/PNNL-18412.pdf" TargetMode="External" /><Relationship Id="rId98" Type="http://schemas.openxmlformats.org/officeDocument/2006/relationships/hyperlink" Target="http://www.energystar.gov" TargetMode="External" /><Relationship Id="rId99" Type="http://schemas.openxmlformats.org/officeDocument/2006/relationships/hyperlink" Target="http://www.whitehouse.gov/omb/circulars_a004_a-4/"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58010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71560294</vt:lpwstr>
  </property>
  <property fmtid="{D5CDD505-2E9C-101B-9397-08002B2CF9AE}" pid="3" name="LADocCount">
    <vt:lpwstr>1</vt:lpwstr>
  </property>
  <property fmtid="{D5CDD505-2E9C-101B-9397-08002B2CF9AE}" pid="4" name="UserPermID">
    <vt:lpwstr>urn:user:PA185916758</vt:lpwstr>
  </property>
</Properties>
</file>