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12"/>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82 FR 180</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82, No. 001, Part II, Tuesday, January 3, 2017</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82 FR 180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2017</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January</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Tuesday, January 3, 2017</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HEALTH AND HUMAN SERVICES (HHS) -- Centers for Medicare &amp; Medicaid Services (CMS)</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Medicare Program; Advancing Care Coordination Through Episode Payment Models (EPMs); Cardiac Rehabilitation Incentive Payment Model; and Changes to the Comprehensive Care for Joint Replacement Model (CJR)</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HEALTH AND HUMAN SERVICES (HHS) &gt; Centers for Medicare &amp; Medicaid Services (CMS)</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[CMS-5519-F]</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0938-AS90</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42 CFR Parts 510 and 512</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final rule implements three new Medicare Parts A and B episode payment models, a Cardiac Rehabilitation (CR) Incentive Payment model and modifications to the existing Comprehensive Care for Joint Replacement model under section 1115A of the Social Security Act. Acute care hospitals in certain selected geographic areas will participate in retrospective episode payment models targeting care for Medicare fee-for-service beneficiaries receiving services during acute myocardial infarction, coronary artery bypass graft, and surgical hip/femur fracture treatment episodes. All related care within 90 days of hospital discharge will be included in the episode of care. We believe these models will further our goals of improving the efficiency and quality of care for Medicare beneficiaries receiving care for these common clinical conditions and procedures.</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Electronic Access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document is also available from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online database through Federal Digital System (FDsys), a service of the U.S. Government Printing Office. This database can be accessed via the internet at </w:t>
      </w:r>
      <w:hyperlink r:id="rId8" w:history="1">
        <w:r>
          <w:rPr>
            <w:rFonts w:ascii="arial" w:eastAsia="arial" w:hAnsi="arial" w:cs="arial"/>
            <w:b w:val="0"/>
            <w:i/>
            <w:strike w:val="0"/>
            <w:noProof w:val="0"/>
            <w:color w:val="0077CC"/>
            <w:position w:val="0"/>
            <w:sz w:val="20"/>
            <w:u w:val="single"/>
            <w:vertAlign w:val="baseline"/>
          </w:rPr>
          <w:t>http://www.gpo.gov/fdsys/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Alphabetical List of Acronyms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many terms to which we refer by acronym, abbreviation, or short form in this final rule, we are listing the acronyms, abbreviations and short forms used and their corresponding terms in alphabetical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ACE Acute-care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ACO Accountable Care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ALOS Average length of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AMA American Medical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 Acute Myocardial Infarction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APM Alternative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APRN Advanced Practice Registered Nurse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ASC QRP Ambulatory Surgical Center Quality Reporting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ASC Ambulatory Surgical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ASPE Assistant Secretary for Planning and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BAA Business Associate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BPCI Bundled Payments for Care Improvement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CABG Coronary Artery Bypass Graft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CAD Coronary artery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CAH Critical access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CBSA Core-Based Statistical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 Complication or comorbidity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CCDA Consolidated clinical document architecture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CCDE Core clinical data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CCN CMS Certification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CEC Comprehensive ESRD Care Initiative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CEHRT Certified Electronic Health Record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CEP Clinical Episode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CFR Code of Federal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CHIP Children's Health Insurance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CJR Comprehensive Care for Joint Replacement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CMHC Community Mental Health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CMI Case Mix Index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CMP Civil monetary penalty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CQMC Core Quality Measure Collaborative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Centers for Medicare &amp; Medicaid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 Condition of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CORF Comprehensive Outpatient Rehabilitation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CPC Comprehensive Primary Care Initiative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CPT Current Procedural Terminology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 Cardiac rehabilitation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CRNA Certified Registered Nurse Anesthetists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CSA Combined Statistical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CVICU Cardiovascular intensive care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CY Calendar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 Drug-eluting stents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DME Durable medical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DMEPOS Durable medical equipment, prosthetics, orthotics, and supplies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Downside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DSH Disproportionate Share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DUA Data Use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 Emergency Department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ECMO Extracorporeal membrane circulation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ECQM Electronic Clinical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EFT Electronic funds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EGM Episode Grouper for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EHR Electronic health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 Evaluation and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EPM Episode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ESCO ESRD Seamless Care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ESRD End-Stage Renal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FFS Fee-for-service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FFR Fractional Flow Reserve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GAAP Generally-Accepted Accounting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GEM General Equivalence Mapping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GPCI Geographic Practice Cost Index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HAC Hospital-Acquired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HACRP Hospital-Acquired Condition Reduction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HCAHPS Hospital Consumer Assessment of Healthcare Providers and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HCC Hierarchical Condition Category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HCPCS Healthcare Common Procedure Coding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HHA Home health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HHPPS Home Health Prospective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HHRG Home Health Resource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HHS U.S. Department of Health and Human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 QRP Home Health Quality Reporting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HICN Health Insurance Claim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HIPAA Health Insurance Portability and Accountability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HIQR Hospital Inpatient Quality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HIV Human Immunodeficiency Virus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IT Health Information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HLM Hierarchical Logistic Regression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HLMR HCAHPS Linear Mean Roll 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HOOS Hip Dysfunction and Osteoarthritis Outcome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HOPD Hospital outpatient department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HRRP Hospital Readmissions Reductions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HRR Hospital Referral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HVBP Hospital Value-Based Purchasing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ICD-9-CM International Classification of Diseases, 9th Revision, Clinical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ICHOM International Consortium for Health Outcomes Measurement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IRFQR Inpatient Rehabilitation Facilities Quality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ICD Implantable Cardioverter Defibrillator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ICD-10-CM International Classification of Diseases, 10th Revision, Clinical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 Intensive Cardiac Rehabilitation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Inpatient to inpatient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IME Indirect medical education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IP Inpatient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IPF Inpatient psychiatric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IPF QRP Inpatient Psychiatric Facility Quality Reporting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IPPS Inpatient Prospective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IRF Inpatient rehabilitation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IRF QRP Inpatient Rehabilitation Facility Quality Reporting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IVR Active Interactive Voice Recognition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KOOS Knee Injury and Osteoarthritis Outcome Score </w:t>
      </w:r>
      <w:r>
        <w:rPr>
          <w:rFonts w:ascii="arial" w:eastAsia="arial" w:hAnsi="arial" w:cs="arial"/>
          <w:b/>
          <w:i w:val="0"/>
          <w:strike w:val="0"/>
          <w:noProof w:val="0"/>
          <w:color w:val="000000"/>
          <w:position w:val="0"/>
          <w:sz w:val="20"/>
          <w:u w:val="none"/>
          <w:vertAlign w:val="baseline"/>
        </w:rPr>
        <w:t> [*181]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 Healthcare Payment Learning and Action Network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LBBB Left bundled branch block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LEJR Lower-extremity joint replacement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LEP limited English proficiency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LIP Low-income percentage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LOS Length-of-stay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LTCH QRP Long-Term Care Hospital Quality Reporting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LTCH Long-term care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LUPA Low-utilization payment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 Medicare Advantage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 Medicare Administrative Contractor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MACRA Medicare Access and CHIP Reauthorization Act of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MAP Measure Application Partnership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MAPCP Multi-Payer Advanced Primary Care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 Measure Authoring Tool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 Major complications or comorbidities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MCCM Medicare Care Choices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MDC Major diagnostic category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MDH Medicare-Dependent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MDM Master Database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MedPAC Medicare Payment Advisory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MIPS Merit-based Incentive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 Malpractice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MSA Metropolitan Statistical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MS-DRG Medical Severity Diagnosis-Related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MSPB Medicare Spending Per Beneficiary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NHDS National Hospital Discharge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NCDR National Cardiovascular Data Registry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NDR No Downside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NPI National Provider Identifier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NPPGP Non-Physician Practitioner Group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NPRA Net Payment Reconciliation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NQF National Quality Forum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NSTEMI Non ST-elevation myocardial infarction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OCM Oncology Care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OIG Department of Health and Human Services' Office of the Inspector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 Outpatient-to-inpatient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OPPS Outpatient Prospective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 Outpatient Physical Therapist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OQR Outpatient Quality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PACE Program of All-Inclusive Care for the Elderly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PBPM Per-beneficiary per-month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PCI Percutaneous Coronary Intervention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PCMH Primary Care Medical Homes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 Practice Expense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PEP Partial Episode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PFS Physician Fee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PGP Physician group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 Partial hip arthroplasty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PQRS Physician Quality Reporting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PPS Prospective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 Patient-Reported Outcome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PROMIS Patient-Reported Outcomes Measurement Information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 Patient-Reported Outcome Performance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PTAC Focused Payment Model Technical Advisory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PTCA Percutaneous transluminal coronary angioplasty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PY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QCDR Qualified clinical data registries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QE Qualified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QIO Quality Improvement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QP Qualifying APM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QPP Quality Payment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QRDA Quality Reporting Document Architecture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QRUR Quality and Resource Use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RAC Recovery Audit Contractor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RRC Rural Referral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RSCR Risk-Standardized Complication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RSRR Risk-Standardized Readmission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RSMR Risk-Standardized Mortality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RVU Relative Value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 Sole Community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SDS Socio-demographic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SFT Secure File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SHFFT Surgical hip/femur fracture treatment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SHIP State Health Insurance Assistance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SILS2 Single Item Health Literacy Screening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SLA Service level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SNF Skilled nursing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SNF-QRP QRP Skilled Nursing Facility Quality Reporting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SSDMF Social Security Death Master file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STEMI ST-elevation myocardial infarction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STS Society of Thoracic Surgeons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ST-T ST-segment-T wave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TEP Technical Expert Panel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TGP Therapy Group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 Total hip arthroplasty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TIN Taxpayer identification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TJA Total joint arthroplasty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TKA Total knee arthroplasty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TP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UHDDS Uniform Hospital Discharge Data Set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VAD Ventricular Assist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VBP Value Based Purchasing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VR-12 Veterans Rand 12 Item Health Survey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Summary of the Major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Model Overview--EPM Episodes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Model Scope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Similar, Previous, and Concurrent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Overlap With Ongoing CMS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Quality Measures and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Beneficiary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Financial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Data 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Program Waivers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Summary of Economic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Episode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Selection of Episodes, Advanced Alternative Payment Model Considerations, and Future Directions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Selection of Episodes for Episode Payment Models in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AMI and CABG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Advanced Alternative Payment Model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EPM Participant Tracks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Clinician Financial Arrangements Lists Under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Documentation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Future Directions for Episode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Refinements to the BPCI Initiative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Potential Future Condition-Specific Episode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Potential Future Event-Based Episode Payment Models for Procedures and Medical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Health Information Technology Readiness for Potential Future Episode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Definition of the Episode Initiator and Selected Geographic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Definition of Episode Initiator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Financial Responsibility for Episode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Geographic Unit of Selection and Exclusion of Selected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Overview and Options for Geographic Area Selection for AMI and CABG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Exclusion of Certain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Selection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Factors Considered but Not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Sample Size Calculations and the Number of Selected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Method of Selecting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Episode Definition for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Overview of Three New Episode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Clinical Dimensions of AMI, CABG, and SHFFT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Definition of the Clinical Conditions Included in AMI, CABG, and SHFFT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AMI (Medical Management and PCI)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CABG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SHFFT (Excludes Lower Extremity Joint Replacement)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Definition of the Related Services Included in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Beneficiary Care Inclusion Criteria and Beginning of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General Beneficiary Care Inclusion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Beginning AMI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Beginning CABG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Beginning SHFFT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Special Policies for Hospital Transfers of Beneficiaries With AMI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Middle of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End of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AMI and CABG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Methodology for Setting EPM Episode Prices and Paying EPM Participants in the AMI, CABG, and SHFFT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Key Terms for EPM Episode Pricing and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Performance Years, Retrospective Episode Payments, and Two-Sided Risk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Retrospective Payment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Two-Sided Risk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Adjustments to Actual EPM Episode Payments and to Historical Episode Payments Used To Set Episode Prices </w:t>
      </w:r>
      <w:r>
        <w:rPr>
          <w:rFonts w:ascii="arial" w:eastAsia="arial" w:hAnsi="arial" w:cs="arial"/>
          <w:b/>
          <w:i w:val="0"/>
          <w:strike w:val="0"/>
          <w:noProof w:val="0"/>
          <w:color w:val="000000"/>
          <w:position w:val="0"/>
          <w:sz w:val="20"/>
          <w:u w:val="none"/>
          <w:vertAlign w:val="baseline"/>
        </w:rPr>
        <w:t> [*182]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Special Payment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Services That Straddle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High-Payment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Treatment of Reconciliation Payments and Medicare Repayments When Calculating Historical EPM-Episode Payments To Update EPM-Episode Benchmark and Quality-Adjusted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EPM-Episode Price-Setting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AMI Model DRGs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CABG Model DRGs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SHFFT Model DRGs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EPM-Episode Benchmark and Quality-Adjusted Target Price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Risk-Stratifying EPM-Episode Benchmark Prices Based on MS-DRG and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Adjustments To Account for EPM-Episode Price Variation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Adjustments for Certain AMI Model Episodes With Chained Anchor Hospitalizations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Adjustments for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Adjustments for Certain AMI Model Episodes With CABG Readmissions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Potential Future Approaches To Setting Target Prices for AMI and Hip Fracture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Summary of Pricing Methodologies for AMI, CABG, and SHFFT Model Episode Scenarios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3 Years of Historical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Trending Historical Data to the Most Recent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Update Historical EPM-Episode Payments for Ongoing Payment System Updates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Blend Hospital-Specific and Regional Historical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Define Regions as U.S. Census Divisions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Normalize for Provider-Specific Wage Adjustment Variations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Combining Episodes To Set Stable Benchmark and Quality-Adjusted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Effective Discount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Approach To Combine Pricing Features for all SHFFT Model Episodes and AMI Model Episodes Without CABG Readmissions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Approach To Combine Pricing Features for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Anchor Hospitalization Portion of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Approach To Combine Pricing Features for Post-Anchor Hospitalization Portion of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Combine CABG Anchor Hospitalization Benchmark Price and CABG Post-Anchor Hospitalization Benchmark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Approach To Combine Pricing Features for AMI Model Episodes With CABG Readmissions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Process for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Net Payment Reconciliation Amount (NPRA)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Payment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Reconciliation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Adjustments for Overlaps With Other Innovation Center Models and CMS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Provider Overlap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BPCI Participant Hospitals in Geographic Areas Selected for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BPCI Physician Group Practice (PGP) Episode Initiators in Hospitals Participating in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Beneficiary Overlap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Beneficiary Overlap With BPCI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Beneficiary Overlap With the CJR Model and Other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Beneficiary Overlap With Shared Savings Models and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Payment Reconciliation of Overlap With Non-ACO CMS Models and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Limits or Adjustments to EPM Participants' Financial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Limit on Actual EPM-Episode Payment Contribution to Repayment Amounts and Reconciliation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Limit on Actual EPM-Episode Payment Contribution to Repayment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Limitation on Reconciliation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Additional Protections for Certain EPM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Policies for Certain EPM Participants to Further Limit Repayment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Considerations for Hospitals Serving a High Percentage of Potentially Vulnerable Populations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Application of Stop-Gain and Stop-Loss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EPM Participant Responsibility for Increased Post-Episode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Appeals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Notice of Calculation Error (First Level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Dispute Resolution Process (Second Level of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Exception to the Notice of Calculation Error Process and Notice of 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Limitations on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EPM Quality Measures, Public Display, and Use of Quality Measures in the EPM Payment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Selection of Quality Measures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 of Quality Measure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AMI Model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CABG Model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SHFFT Model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Use of Quality Measures in the EPM Payment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 of EPM Composite Quality Score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Determining Quality Measure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Determining Quality Measure Improvement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Determining Successful Submission of Voluntary Data for AMI and SHFFT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Hybrid AMI Mortality (NQF #2473) Voluntary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Patient-Reported Outcomes and Limited Risk Variable Voluntary Data Following Elective Primary THA/TKA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Calculation of the EPM-Specific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AMI Model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CABG Model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SHFFT Model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EPM Pay-for-Performance Methodologies To Link Quality and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Overview of Pay-for-Performance Proposals Applicable to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AMI and CABG Model Pay-for-Performance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AMI Model Pay-for-Performance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CABG Model Pay-for-Performance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Alignment Between the AMI and CABG Model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SHFFT Model Pay-for-Performance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Details on Quality Measures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AMI Model-Specific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Hospital 30-Day, All-Cause, Risk-Standardized Mortality Rate Following Acute Myocardial Infarction (AMI) Hospitalization (NQF #0230) (MORT-30-AMI)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Risk-Adjustment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Calculating the Risk-Standardized Mortality Ratio (RSMR) and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Excess Days in Acute Care After Hospitalization for Acute Myocardial Infarction (AMI Excess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Risk-Adjustment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Calculating the Rate and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Hybrid Hospital 30-Day, All-Cause, Risk-Standardized Mortality Rate Following Acute Myocardial Infarction (AMI) Hospitalization (NQF #2473) (Hybrid AMI Mortality)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Risk-Adjustment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Calculating the Risk-Standardized Mortality Ratio (RSMR) and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Requirements for Successful Submission of AMI Voluntary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CABG Model-Specific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Hospital 30-Day, All-Cause, Risk-Standardized Mortality Rate (RSMR) Following Coronary Artery Bypass Graft (CABG) Surgery (NQF #2558) (MORT-30-CABG)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Data Source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Risk-Adjustment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Calculating the Risk-Standardized Mortality Ratio (RSMR) and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SHFFT Model-Specific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Hospital Level Risk Standardized Complication Rate (RSCR) Following Elective Primary Total Hip Arthroplasty (THA) and/or Total Knee Arthroplasty (TKA) (NQF #1550) (Hip/Knee Complications)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Data Sources </w:t>
      </w:r>
      <w:r>
        <w:rPr>
          <w:rFonts w:ascii="arial" w:eastAsia="arial" w:hAnsi="arial" w:cs="arial"/>
          <w:b/>
          <w:i w:val="0"/>
          <w:strike w:val="0"/>
          <w:noProof w:val="0"/>
          <w:color w:val="000000"/>
          <w:position w:val="0"/>
          <w:sz w:val="20"/>
          <w:u w:val="none"/>
          <w:vertAlign w:val="baseline"/>
        </w:rPr>
        <w:t> [*183]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Risk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Calculating the Risk Standardized Complication Rate and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Hospital-Level Performance Measure(s) of Patient-Reported Outcomes Following Elective Primary Total Hip and/or Total Knee Arthroplasty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Outcome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Risk Adjustment (If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Calculating the Risk Standardized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Performance Period for Successful Submission of THA/TKA Patient-Reported Outcome-Based Voluntary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Requirements for Successful Submission of THA/TKA Patient-Reported-Outcome-Based Voluntary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Measure Used for All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Hospital Consumer Assessment of Healthcare Providers and Systems (HCAHPS) Survey (NQF #0166)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Case-Mix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HCAHPS Scoring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Calculating the Rate and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Potential Future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Form, Manner, and Timing of Quality Measure Data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Display of Quality Measures and Availability of Information for the Public From the AMI, CABG, and SHFFT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Compliance Enforcement and Termination of an Episode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Overview and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Compliance Enforcement for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Termination of an Episode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Monitoring and Beneficiary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Introduction and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Beneficiary Choice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Beneficiary Notification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Monitoring for Access To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Monitoring for Quality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Monitoring for Delayed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Access to Records and Record Retention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Financial Arrangements Under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Overview of the EPM Financial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EPM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Sharing Arrangements Under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Gainsharing Payment, Alignment Payment, and Internal Cost Savings Conditions and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Documentation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Distribution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Downstream Distribution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Summary of Proposals for Sharing, Distribution, and Downstream Distribution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Enforcement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Beneficiary Engagement Incentives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Technology Provided to an EPM Beneficiary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Clinical Goals of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Documentation of Beneficiary Incentives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Compliance With Fraud and Abuse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Waivers of Medicare Program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Summary of Waivers Adopted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Analysis of Current Model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Analysis of Waiver Usage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Analysis of Discharge Destination--Post-Acute Care Usage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Analysis of Hospital Mean Length of Stay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Post-Discharge Home Visits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AMI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CABG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Billing and Payment for Telehealth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SNF 3-Day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Waiver of SNF 3-Day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Additional Beneficiary Protections Under the SNF 3-Day Stay Rule Waiver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Waivers of Medicare Program Rules To Allow Reconciliation Payment or Repayment Actions Resulting From the Net Payment Reconciliation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New Waiver for Providers and Suppliers of Cardiac Rehabilitation and Intensive Cardiac Rehabilitation Services Furnished to EPM Beneficiaries During an AMI or CABG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Data 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Beneficiary Claims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Aggregate Regional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Timing and Period of Baseline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Frequency and Period of Claims Data Updates for Sharing Beneficiary-Identifiable Claims Data During the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Legal Permission To Share Beneficiary-Identifiable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Data Considerations With Respect to EPM and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 Coordination With Other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Evaluation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Design and Evaluation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Data Collection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Key Evaluation Research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Evaluation Period and Anticipated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Comprehensive Care for Joint Replacement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Participant Hospitals in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Inclusion of Reconciliation and Repayment Amounts When Updating Data for Quality-Adjusted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Quality-Adjusted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Hospital Responsibility for Increased Post-Episode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ACO Overlap and Subsequent Reconciliation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Stop-Loss and Stop-Gain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Modifications to Reconciliation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Use of Quality Measures and the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Hospitals Included in Quality Performance Distribution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Quality Improvement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Relationship of Composite Quality Score to Quality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Maximum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Acknowledgement of Voluntary Data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Calculation of the HCAHPS Linear Mean Roll-Up (HLMR)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Accounting for Overlap With CMS ACO Models and the Medicare Shared Savings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Appeals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Beneficiary Notification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Compliance Enforcement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Failure To Comply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Financial Arrangements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Definitions Related to Financial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Addition to the Definition of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Deleting the Term Collaborator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Addition of CJR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Sharing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Gainsharing Payment, Alignment Payment, and Internal Cost Savings Conditions and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Documentation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Distribution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Downstream Distribution Arrangements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Summary of Proposals for Sharing, Distribution, and Downstream Distribution Arrangements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Beneficiary Incentives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 Access to Records and Record Retention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 Waivers of Medicare Program Rules To Allow Reconciliation Payment or Repayment Actions Resulting From the Net Payment Reconciliation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 SNF 3-Day Waiver Beneficiary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 Advanced Alternative Payment Model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Overview for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CJR Participant Hospital Track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Clinician Financial Arrangements Lists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Documentation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Cardiac Rehabilitation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Overview of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Rationale for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General Design of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CR Incentive Payment Model Participants </w:t>
      </w:r>
      <w:r>
        <w:rPr>
          <w:rFonts w:ascii="arial" w:eastAsia="arial" w:hAnsi="arial" w:cs="arial"/>
          <w:b/>
          <w:i w:val="0"/>
          <w:strike w:val="0"/>
          <w:noProof w:val="0"/>
          <w:color w:val="000000"/>
          <w:position w:val="0"/>
          <w:sz w:val="20"/>
          <w:u w:val="none"/>
          <w:vertAlign w:val="baseline"/>
        </w:rPr>
        <w:t> [*184]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CR/ICR Services That Count Towards CR Incentive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Determination of CR Incentive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Determination of CR Amounts That Sum To Determine a CR Incentive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Relation of CR Incentive Payments to EPM Pricing and Payment Policies and Sharing Arrangements for EPM-CR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CR Incentive Payment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Timing for Making CR Incentive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Provisions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Access to Records and Retention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Appeals Process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Notice of Calculation Error (First Level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Dispute Resolution Process (Second Level of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Exception to the Notice of Calculation Error Process and Notice of 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Limitations on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Data Sharing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Data Sharing With 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Compliance Enforcement for FFS-CR Participants and Termination of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Enforcement Authority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Beneficiary Engagement Incentives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Waiver of Physician Definition for FFS-CR Participants Furnishing CR and ICR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 of Program Rule Waivers Under an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General Physician Requirements for Furnishing CR/ICR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Waiver of Physician Definition For EPM-CR Participants Furnishing CR and ICR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Waiver of Physician Definition For FFS-CR Participants Furnishing CR and ICR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Considerations Regarding Financial Arrangements Under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Collection of Information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Regulatory Impact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Statement of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Need for EPM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Need for CJR Modifications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Need for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Aggregate Impact of EPMs, CJR, and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Overall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Anticipated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Overall Magnitude of the Model and Its Effects on the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Aggregate Effects on the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Effects on the Medicare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Assumptions and Uncertainties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Uncertainties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Assumptions and Uncertainties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Assumptions and Uncertainties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Further Consideration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Effects on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Effects on Small Rural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Effects on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Effects on Collection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Unfunded Mandates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Alternatives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Accounting Statement and 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Conclusion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Text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Purpose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purpose of this final rule--Advancing Care Coordination through Episode Payment Models is to implement the creation and testing of three new episode payment models (EPMs) and a Cardiac Rehabilitation (CR) incentive payment model under the authority of the Center for Medicare and Medicaid Innovation ("the Innovation Center"), as well as to implement several modifications to the Comprehensive Care for Joint Replacement model. Section 1115A of the Social Security Act ("the Act") authorizes the Innovation Center to test innovative payment and service-delivery models to reduce Medicare, Medicaid, and Children's Health Insurance Program (CHIP) expenditures while preserving or enhancing the quality of care furnished to such programs' beneficiaries. Under the fee-for-service (FFS) program, Medicare makes separate payments to providers and suppliers for the items and services furnished to a beneficiary over the course of treatment (an episode of care). With the amount of payments dependent on the volume of services delivered, providers may not have incentives to invest in quality-improvement and care-coordination activities. As a result, care may be fragmented, unnecessary, or duplicative. The goal for the EPMs is to improve the quality of care provided to beneficiaries in an applicable episode while reducing episode spending through financial accountability. n1 The EPMs include models for episodes of care surrounding an acute myocardial infarction (AMI), coronary artery bypass graft (CABG), and surgical hip/femur fracture treatment excluding lower extremity joint replacement (SHFFT). Under this final rule, the Centers for Medicare &amp; Medicaid Services (CMS) will test whether an EPM for AMI, CABG, and SHFFT episodes of care will reduce Medicare expenditures while preserving or enhancing the quality of care for Medicare beneficiaries. We anticipate that the finalized models will benefit Medicare beneficiaries by improving the coordination and transition of care, improving the coordination of items and services paid for through FFS Medicare, encouraging more provider investment in infrastructure and redesigned care processes for higher-quality and more efficient service delivery, and incentivizing higher-value care across the inpatient and post-acute care spectrum. We proposed on August 2, 2016 to test the proposed EPMs for 5 performance years, beginning July 1, 2017, and ending December 31, 2021 </w:t>
      </w:r>
      <w:hyperlink r:id="rId9" w:history="1">
        <w:r>
          <w:rPr>
            <w:rFonts w:ascii="arial" w:eastAsia="arial" w:hAnsi="arial" w:cs="arial"/>
            <w:b w:val="0"/>
            <w:i/>
            <w:strike w:val="0"/>
            <w:noProof w:val="0"/>
            <w:color w:val="0077CC"/>
            <w:position w:val="0"/>
            <w:sz w:val="20"/>
            <w:u w:val="single"/>
            <w:vertAlign w:val="baseline"/>
          </w:rPr>
          <w:t>(81 FR 50799)</w:t>
        </w:r>
      </w:hyperlink>
      <w:r>
        <w:rPr>
          <w:rFonts w:ascii="arial" w:eastAsia="arial" w:hAnsi="arial" w:cs="arial"/>
          <w:b w:val="0"/>
          <w:i w:val="0"/>
          <w:strike w:val="0"/>
          <w:noProof w:val="0"/>
          <w:color w:val="000000"/>
          <w:position w:val="0"/>
          <w:sz w:val="20"/>
          <w:u w:val="none"/>
          <w:vertAlign w:val="baseline"/>
        </w:rPr>
        <w:t xml:space="preserve"> and we are finalizing those dates as proposed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 In this final rule, we use the terms "AMI episode," "CABG episode," and "SHFFT episode" to refer to episodes of care as described in section III.C.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this final rule, we discuss three distinct EPMs focused on episodes of care for AMI, CABG, and SHFFT episodes. We chose these episodes for the models because, as discussed in depth in section III.A. of this final rule and as stated in the proposed rule, we believe hospitals would have a significant opportunity to redesign care and to improve the quality of care furnished during the applicable episode. The EPMs will enable hospitals to consider the most appropriate strategies for care redesign, including: (1) Increasing post-hospitalization follow-up and medical management for patients; (2) coordinating across the inpatient and post-acute care spectrum; (3) conducting appropriate discharge planning; (4) improving adherence to treatment or drug regimens; (5) reducing readmissions and complications during the post-discharge period; (6) managing chronic diseases and conditions that may be related to the EPMs' episodes; (7) choosing the most appropriate post-acute care setting; and (8) coordinating between providers and suppliers such as hospitals, physicians, and post-acute care providers. The EPMs would offer hospitals the opportunity to examine and better understand their own care processes and patterns with regard to patients in AMI, CABG, and SHFFT episodes, as well as the processes of post-acute care providers and physicians.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previously have used our statutory authority under section 1115A of the Act to test other episode payment models such as the Bundled Payments for Care Improvement (BPCI) initiative and Comprehensive Care for Joint Replacement (CJR) model. Bundled payments for multiple services in an episode of care hold participating organizations financially accountable for that episode of care. Such models also allow participants to receive payments based in part on the reduction in Medicare expenditures that arise </w:t>
      </w:r>
      <w:r>
        <w:rPr>
          <w:rFonts w:ascii="arial" w:eastAsia="arial" w:hAnsi="arial" w:cs="arial"/>
          <w:b/>
          <w:i w:val="0"/>
          <w:strike w:val="0"/>
          <w:noProof w:val="0"/>
          <w:color w:val="000000"/>
          <w:position w:val="0"/>
          <w:sz w:val="20"/>
          <w:u w:val="none"/>
          <w:vertAlign w:val="baseline"/>
        </w:rPr>
        <w:t> [*185] </w:t>
      </w:r>
      <w:r>
        <w:rPr>
          <w:rFonts w:ascii="arial" w:eastAsia="arial" w:hAnsi="arial" w:cs="arial"/>
          <w:b w:val="0"/>
          <w:i w:val="0"/>
          <w:strike w:val="0"/>
          <w:noProof w:val="0"/>
          <w:color w:val="000000"/>
          <w:position w:val="0"/>
          <w:sz w:val="20"/>
          <w:u w:val="none"/>
          <w:vertAlign w:val="baseline"/>
        </w:rPr>
        <w:t xml:space="preserve"> from such participants' care redesign efforts. This payment can be used for investments in care redesign strategies and infrastructure, as well as to incentivize collaboration with other providers and suppliers furnishing services to beneficiaries included in the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 EPMs will further the Innovation Center's mission and the Administration's goal of increasingly paying for value and outcomes, rather than for volume alone,&lt;2&gt; by promoting the alignment of financial and other incentives for all health care providers caring for beneficiaries during SHFFT, CABG, or AMI episodes. The acute care hospital where an eligible beneficiary has a hospitalization for one of the procedures or clinical conditions included in these EPMs will be held accountable for spending during the episode of care. EPM participants could earn reconciliation payments by appropriately reducing expenditures and meeting certain quality metrics. EPM participants will also gain access to data and educational resources to better understand care patterns during the inpatient hospitalization and post-acute periods, as well as associated spending. Payment approaches that reward providers for assuming financial and performance accountability for a particular episode of care create incentives for the implementation and coordination of care redesign between participants and other providers and suppliers such as physicians and post-acute care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AMI, CABG, and SHFFT models will require the participation of hospitals in multiple geographic areas that might not otherwise participate in testing episode payment for the episodes of care. CMS is testing other episode payment models with the BPCI initiative and the CJR model. The BPCI initiative is voluntary; providers applied to participate and chose from 48 clinical episodes. BPCI participants entered the at-risk phase between 2013 and 2015 and have the option to continue participating in the initiative through FY 2018. In the CJR model, acute care hospitals in selected geographic areas are required to participate in the CJR model for all eligible lower-extremity joint replacement (LEJR) episodes that initiate at a CJR participant hospital. The CJR model began its first of 5 performance years on April 1, 2016. Realizing the full potential of new EPMs will require the engagement of an even broader set of providers than have participated to date in our episode payment models such as the BPCI initiative and the CJR model. As such, we are interested in testing and evaluating the impact of episode payment for the three EPMs in a variety of circumstances, including those hospitals that may not otherwise participate in such a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note that testing of the CJR model that began in April 2016 will allow CMS to gain experience with requiring hospitals to participate in an episode payment model, the clinical circumstances of the episodes we proposed (AMI, CABG, and SHFFT) differ in important ways from the LEJR episodes included in the CJR model. LEJR procedures are common among the Medicare population, and the majority of such procedures are elective. In contrast, under the three EPMs, CMS will test episode payment for certain cardiac conditions and procedures, as well as SHFFT. We expect the patient population included in these episodes will be substantially different from the patient population in CJR episodes, due to the clinical nature of the cardiac and SHFFT episodes. Beneficiaries in these episodes commonly have chronic conditions that contribute to the initiation of the episodes, and need both planned and unplanned care throughout the EPM episode following discharge from the hospitalization that begins the episode. Both AMI and CABG model episodes primarily include beneficiaries with cardiovascular disease, a chronic condition which likely contributed to the acute events or procedures that initiate the episodes. About half the average AMI model historical episode spending was for the hospitalization, with the majority of spending following discharge from the hospitalization due to hospital readmissions, while there was relatively less spending on SNF services, Part B professional services, and hospital outpatient services. In CABG model historical episodes, about three-quarters of episode spending was for the hospitalization, with the remaining episode spending relatively evenly divided between Part B professional services and hospital readmissions, and a lesser percentage on SNF services. Similar to AMI episodes, post-acute care provider use was relatively uncommon in CABG model historical episodes, while hospital readmissions during CABG model historical episodes were relatively common. SHFFT model historical episodes also were accompanied by substantial spending for hospital readmissions, and post-acute care provider use in these episodes also was high. n2 The number of affected beneficiaries and potential impact of the models on quality and Medicare spending present an important opportunity to further the Administration's goal of shifting health care payments to support the quality of care over the quantity of services by promoting better coordination among health care providers and suppliers and greater efficiency in the care of beneficiaries in these models, while reducing Medicare expenditures. n3 Pay-for-performance episode payment models such as the three EPMs in this rule financially incentivize improved quality of care and reduced cost by aligning the financial incentives of all providers and suppliers caring for model beneficiaries with these goals. This alignment leads to a heightened focus on care coordination and management throughout the episode that prioritizes the provision of those items and services which improve beneficiary outcomes and experience at the lowest cost. A more detailed discussion of the evidence supporting the episode selection for these models can be found in section III.A.1.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 Episodes for AMI, CABG, and SHFFT beneficiaries initiated by all U.S. IPPS hospitals not in Maryland and constructed using standardized Medicare FFS Parts A and B claims, as proposed in this rule that end in CY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Sylvia Mathews Burwell, HHS Secretary, Progress Towards Achieving Better Care, Smarter Spending, Healthier People, </w:t>
      </w:r>
      <w:hyperlink r:id="rId10" w:history="1">
        <w:r>
          <w:rPr>
            <w:rFonts w:ascii="arial" w:eastAsia="arial" w:hAnsi="arial" w:cs="arial"/>
            <w:b w:val="0"/>
            <w:i/>
            <w:strike w:val="0"/>
            <w:noProof w:val="0"/>
            <w:color w:val="0077CC"/>
            <w:position w:val="0"/>
            <w:sz w:val="20"/>
            <w:u w:val="single"/>
            <w:vertAlign w:val="baseline"/>
          </w:rPr>
          <w:t>http://www.hhs.gov/blog/2015/01/26/progress-towards-better-care-msarter-spending-healthier-people.html</w:t>
        </w:r>
      </w:hyperlink>
      <w:r>
        <w:rPr>
          <w:rFonts w:ascii="arial" w:eastAsia="arial" w:hAnsi="arial" w:cs="arial"/>
          <w:b w:val="0"/>
          <w:i w:val="0"/>
          <w:strike w:val="0"/>
          <w:noProof w:val="0"/>
          <w:color w:val="000000"/>
          <w:position w:val="0"/>
          <w:sz w:val="20"/>
          <w:u w:val="none"/>
          <w:vertAlign w:val="baseline"/>
        </w:rPr>
        <w:t xml:space="preserve"> (January 26,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models will also allow CMS to gain additional experience with episode-payment based approaches for hospitals with variance in (1) historic care and utilization patterns; (2) patient populations and care patterns; (3) roles within their local markets; (4) volumes of services; (5) levels of access to financial, community, or other resources; and (6) levels of population and health-care-provider density, including local variations in the availability and use of different categories of post-acute care providers. We believe that participation in the EPMs by a large number of hospitals with diverse characteristics will result in a robust data set for evaluating this payment approach and will stimulate the rapid development of new evidence-based knowledge. Testing the EPMs in this manner will also allow us to learn more about patterns of inefficient utilization of health care services and how to incentivize quality improvement for beneficiaries receiving services in AMI, CABG, and SHFFT episodes. This knowledge could potentially inform future Medicare payment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the CR incentive payment model to test the effects on </w:t>
      </w:r>
      <w:r>
        <w:rPr>
          <w:rFonts w:ascii="arial" w:eastAsia="arial" w:hAnsi="arial" w:cs="arial"/>
          <w:b/>
          <w:i w:val="0"/>
          <w:strike w:val="0"/>
          <w:noProof w:val="0"/>
          <w:color w:val="000000"/>
          <w:position w:val="0"/>
          <w:sz w:val="20"/>
          <w:u w:val="none"/>
          <w:vertAlign w:val="baseline"/>
        </w:rPr>
        <w:t> [*186] </w:t>
      </w:r>
      <w:r>
        <w:rPr>
          <w:rFonts w:ascii="arial" w:eastAsia="arial" w:hAnsi="arial" w:cs="arial"/>
          <w:b w:val="0"/>
          <w:i w:val="0"/>
          <w:strike w:val="0"/>
          <w:noProof w:val="0"/>
          <w:color w:val="000000"/>
          <w:position w:val="0"/>
          <w:sz w:val="20"/>
          <w:u w:val="none"/>
          <w:vertAlign w:val="baseline"/>
        </w:rPr>
        <w:t xml:space="preserve"> quality of care and Medicare expenditures of providing financial incentives to hospitals for beneficiaries hospitalized for treatment of AMI or CABG to encourage care coordination and greater utilization of medically necessary CR and intensive cardiac rehabilitation (ICR) services for 90 days post-hospital discharge where the beneficiary's overall care is paid under either an EPM or the Medicare FFS program. Despite the evidence from multiple studies that CR services improve health outcomes, the literature also indicates that these services are underutilized, estimating that only about 35 percent of AMI patients older than 50 receive this indicated treatment. n4 n5 n6 Recent analysis confirms a similar pattern of underutilization for Medicare beneficiaries who are eligible for and could benefit from CR.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 Anderson L. et al. Exercise-based cardiac rehabilitation for coronary heart disease. Cochrane Database Syst Rev. 2016 Jan 5;1:CD001800.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 Receipt of outpatient cardiac rehabilitation among heart attack survivors--United States, 2005. MMWR Morbidity and mortality weekly report. 2008 Feb 1:57(4):89-94.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evidence demonstrating that CR/ICR services improve long-term patient outcomes, the room for improvement in CR/ICR service utilization for beneficiaries eligible for this benefit, and the need for ongoing, chronic treatment for underlying coronary artery disease (CAD) among beneficiaries that have had an AMI or a CABG, we believe that there is a need for improved long-term care management and care coordination for beneficiaries that have had an AMI or a CABG and that incentivizing the use of CR/ICR services is an important component of meeting this need. We want to reduce barriers to high-value care by testing a financial incentive for hospitals that encourages the management of beneficiaries that have had an AMI or a CABG in ways that may contribute to long-term improvements in quality and reductions in Medicare spending.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sought public comment on the proposals contained in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published on August 2, 2016, and also on any alternatives considered. Public comment and our responses to those comments follow under the applicable sections. The applicable sections contain our proposed policy changes, commenters' reactions, and our 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approximately 175 timely pieces of correspondence containing multiple comments on the EPM proposed rule. We note that some of these public comments were outside of the scope of the proposed rule. These out-of-scope public comments are mentioned in this section but are not addressed with the policy responses in this final rule. The following is a summary of the comments received on the proposed model as a whole, including the authority for the model and general comments on CMS' implementation of the EPM model at this time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support for the proposed EPMs and for requiring participation from specific hospitals in the selected geographic regions. Other commenters requested whether CMS has the authority under section 1115A of the Social Security Act (the Act) to implement the EPMs as proposed, while others stated specifically that they believe CMS cannot compel provider participation and further stated that they did not believe Congress intended to delegate its authority to make permanent changes to the Medicare program to the Secretary through the Innovation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raised concerns that interpreting section 1115A to mean that requiring participation in models is permissible under statute holds significant implications for the patients and providers included in the proposed EPMs, as required models could negatively impact the Medicare Shared Savings Program (Shared Savings Program) and/or Accountable Care Organizations (ACOs).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appreciate the support expressed by some commenters, we disagree with the contention that the Innovation Center lacks the authority to test models under section 1115A of the Act in which participation is required. Section 1115A of the Act authorizes the Secretary to test innovative payment and service delivery models to reduce program expenditures while preserving or enhancing the quality of care furnished to Medicare, Medicaid, and Children's Health Insurance Program (CHIP) beneficiaries, and section 1115A of the Act does not specify that participation in models must be voluntary. As discussed in section IV. of this final rule, one of the reasons that we have determined it is necessary to test the EPM models by requiring the participation of certain hospitals is to obtain more generalizable evaluation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the Secretary has authority to establish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carry out the administration of Medicare. Specifically, the Secretary has authority under both sections 1102 and 1871 of the Act to implement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necessary to administer Medicare, including testing these Medicare payment and service delivery models. We note that the EPMs will test different methods for delivering and paying for services covered under the Medicare program, which the Secretary has clear legal authority to regulate.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clear, we did not propose, and are not finalizing, permanent changes to Medicare, but rather are testing payment and service delivery models under section 1115A(b) of the Act. While the EPMs require the participation of certain participant hospitals, the EPMs are not permanent changes to the Medicare program. We acknowledge the importance of examining the impact of the EPMs as this test will implement models at the geographic regional level. The EPMs are thus intended to enable CMS to test and evaluate the effects of episode payment approaches on a broader range of Medicare providers and suppliers than would choose to participate in an alternative payment model. More specifically, the evaluation is to conduct a multifaceted and multi-pronged examination of issues of quality, access, and consequences. Randomized evaluation designs of this kind helps to reduce the systematic differences among hospitals that are and are not participating in the EPMs, which helps to ensure that, on average, differences in outcomes between participating and non-participating hospitals reflect the impact of the model. Testing these models in this manner also allows us to learn more about patterns of inefficient utilization of health care services and how to incentivize the improvement of quality for AMI, CABG, and SHFFT procedure/diagnosis episodes. This learning can potentially inform future Medicare payment policy.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not believe the EPMs will harm the continuation of a permanent Medicare program such as the Shared Savings Program, We continue to believe that while we test the EPMs, ACOs will still work towards the goals of the Shared Savings Program. These goals have been previously described </w:t>
      </w:r>
      <w:hyperlink r:id="rId11" w:history="1">
        <w:r>
          <w:rPr>
            <w:rFonts w:ascii="arial" w:eastAsia="arial" w:hAnsi="arial" w:cs="arial"/>
            <w:b w:val="0"/>
            <w:i/>
            <w:strike w:val="0"/>
            <w:noProof w:val="0"/>
            <w:color w:val="0077CC"/>
            <w:position w:val="0"/>
            <w:sz w:val="20"/>
            <w:u w:val="single"/>
            <w:vertAlign w:val="baseline"/>
          </w:rPr>
          <w:t>(76 FR 67801)</w:t>
        </w:r>
      </w:hyperlink>
      <w:r>
        <w:rPr>
          <w:rFonts w:ascii="arial" w:eastAsia="arial" w:hAnsi="arial" w:cs="arial"/>
          <w:b w:val="0"/>
          <w:i w:val="0"/>
          <w:strike w:val="0"/>
          <w:noProof w:val="0"/>
          <w:color w:val="000000"/>
          <w:position w:val="0"/>
          <w:sz w:val="20"/>
          <w:u w:val="none"/>
          <w:vertAlign w:val="baseline"/>
        </w:rPr>
        <w:t xml:space="preserve"> and include ensuring the coordination of care for beneficiaries, regardless of the time or place of that care, being innovative in service delivery by drawing upon the best, most advanced models of care, and using modern technologies, including telehealth and electronic health records, and other tools to continually reinvent care in the modern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refer to our discussion about ACO overlap with the proposed EPMs that was included in the proposed rule </w:t>
      </w:r>
      <w:hyperlink r:id="rId9" w:history="1">
        <w:r>
          <w:rPr>
            <w:rFonts w:ascii="arial" w:eastAsia="arial" w:hAnsi="arial" w:cs="arial"/>
            <w:b w:val="0"/>
            <w:i/>
            <w:strike w:val="0"/>
            <w:noProof w:val="0"/>
            <w:color w:val="0077CC"/>
            <w:position w:val="0"/>
            <w:sz w:val="20"/>
            <w:u w:val="single"/>
            <w:vertAlign w:val="baseline"/>
          </w:rPr>
          <w:t>(81 FR 50870)</w:t>
        </w:r>
      </w:hyperlink>
      <w:r>
        <w:rPr>
          <w:rFonts w:ascii="arial" w:eastAsia="arial" w:hAnsi="arial" w:cs="arial"/>
          <w:b w:val="0"/>
          <w:i w:val="0"/>
          <w:strike w:val="0"/>
          <w:noProof w:val="0"/>
          <w:color w:val="000000"/>
          <w:position w:val="0"/>
          <w:sz w:val="20"/>
          <w:u w:val="none"/>
          <w:vertAlign w:val="baseline"/>
        </w:rPr>
        <w:t xml:space="preserve"> and acknowledge the concerns expressed by some ACOs that the current CJR and BPCI ACO overlap </w:t>
      </w:r>
      <w:r>
        <w:rPr>
          <w:rFonts w:ascii="arial" w:eastAsia="arial" w:hAnsi="arial" w:cs="arial"/>
          <w:b/>
          <w:i w:val="0"/>
          <w:strike w:val="0"/>
          <w:noProof w:val="0"/>
          <w:color w:val="000000"/>
          <w:position w:val="0"/>
          <w:sz w:val="20"/>
          <w:u w:val="none"/>
          <w:vertAlign w:val="baseline"/>
        </w:rPr>
        <w:t> [*187] </w:t>
      </w:r>
      <w:r>
        <w:rPr>
          <w:rFonts w:ascii="arial" w:eastAsia="arial" w:hAnsi="arial" w:cs="arial"/>
          <w:b w:val="0"/>
          <w:i w:val="0"/>
          <w:strike w:val="0"/>
          <w:noProof w:val="0"/>
          <w:color w:val="000000"/>
          <w:position w:val="0"/>
          <w:sz w:val="20"/>
          <w:u w:val="none"/>
          <w:vertAlign w:val="baseline"/>
        </w:rPr>
        <w:t xml:space="preserve"> policies deprive them of a key source of savings. Because ACOs in certain types of two-sided risk arrangements have stronger incentives than those in one-sided risk arrangements to reduce total cost of care, especially given the possibility of paying CMS shared losses, we believe that ACOs in such two-sided risk arrangements may be best positioned to assume the risk associated with EPM episodes, while ACOs in one-sided risk arrangements may be less well-positioned to do so. Furthermore, it is more operationally feasible to identify and exclude beneficiaries who are prospectively aligned to ACOs.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believed that the EPMs did not satisfy the requirement that the model address "a defined population for which there are deficits in care leading to poor clinical outcomes or potentially avoidable costs" as is required by section 1115A(b)(2)(A) of the Act.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Models tested under section 1115A of the Act must address a defined population for which there are either deficits in care leading to poor clinical outcomes or potentially avoidable expenditures. As discussed in section III.C. of the proposed rule </w:t>
      </w:r>
      <w:hyperlink r:id="rId9" w:history="1">
        <w:r>
          <w:rPr>
            <w:rFonts w:ascii="arial" w:eastAsia="arial" w:hAnsi="arial" w:cs="arial"/>
            <w:b w:val="0"/>
            <w:i/>
            <w:strike w:val="0"/>
            <w:noProof w:val="0"/>
            <w:color w:val="0077CC"/>
            <w:position w:val="0"/>
            <w:sz w:val="20"/>
            <w:u w:val="single"/>
            <w:vertAlign w:val="baseline"/>
          </w:rPr>
          <w:t>(81 FR 50829-50843)</w:t>
        </w:r>
      </w:hyperlink>
      <w:r>
        <w:rPr>
          <w:rFonts w:ascii="arial" w:eastAsia="arial" w:hAnsi="arial" w:cs="arial"/>
          <w:b w:val="0"/>
          <w:i w:val="0"/>
          <w:strike w:val="0"/>
          <w:noProof w:val="0"/>
          <w:color w:val="000000"/>
          <w:position w:val="0"/>
          <w:sz w:val="20"/>
          <w:u w:val="none"/>
          <w:vertAlign w:val="baseline"/>
        </w:rPr>
        <w:t xml:space="preserve"> and section III.C. of this final rule, these models satisfy the requirements of section 1115A(b) of the Act, as the EPMs address defined populations (FFS Medicare beneficiaries experiencing acute myocardial infarctions, coronary artery bypass grafting procedures and/or surgical hip/femur fracture treatment) for which there are potentially avoidable expenditure because there are no strong incentives for coordinated care, which can lead to suboptimal care. As discussed in section IV. of this final rule, one of the reasons that we have determined it is necessary to require the participation of hospitals in multiple geographic areas that might not otherwise participate in testing episode payment for the episodes of care is to provide more generalizable evaluation results of the impacts of these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asserted that the SHFFT model is equivalent to an expansion of the CJR model under section 1115A(c) of the Act. The same commenters stated that the SHFFT EPM model test should not be finalized in this rule as the CJR model has not yet satisfied the requirements of section 1115A(c) of the Act. One commenter stated that before implementing the SHFFT EPM, CMS must first complete the evaluation of the CJR model required under section 1115A(b)(4) of the Act; make the determinations required under section 1115A(c)(1) and (3) of the Act; and receive the certification from the Chief Actuary required under section 1115A(c)(2) of the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Regarding the commenters' assertion that the proposed SHFFT model expands the CJR model prior to the CJR evaluation, we note that this is not the case. We agree that section 1115A of the Act establishes the necessary criteria for the Secretary to expand payment and service delivery models. However, the SHFFT model we are finalizing in this rule is not an expansion of the CJR model under section 1115A(c) of the Act. Rather, the SHFFT EPM model is a new model test under section 1115A(b) of the Act. The CJR model is still at the initial model test stage, and we will not make any determinations about continuing the CJR model test through expansion under section 1115A(c) of the Act until there is sufficient information from evaluation(s) to assess its potential for expansion. While the SHFFT EPM model test complements the CJR model test, it is a separate and distinct model test. Specifically, the SHFFT model differs from the CJR model in that the CJR model is largely for planned admissions for hip and knee replacements and the episode of care begins with an admission to a participant hospital of a beneficiary who is ultimately discharged under MS-DRG 469 (Major joint replacement or reattachment of lower extremity with major complications or comorbidities) or 470 (Major joint replacement or reattachment of lower extremity without major complications or comorbidities). In contrast, the SHFFT model tests a hospital payment for hip fixation and the episode of care eventually results from a discharge paid under MS-DRG 480 (Hip and femur procedures except major joint with major complication or comorbidity--CC), MS-DRG 481 (Hip and femur procedures except major joint with complication or comorbidity--MCC), or MS-DRG 482 (Hip and femur procedures except major joint without CC or MCC). Therefore, the interventions under each model test would not overlap. Further, the SHFFT model test would give hospitals already participating in the CJR model different experience in managing care for hip and femur fracture cases that typically present emergently, rather than the planned, elective surgery that is most common for lower extremity joint replacement. Despite this geographic overlap, beneficiaries who initiate an episode in either the SHFFT or CJR model remain in that initial model and are precluded from initiating a simultaneous episode in the CJR or SHFFT models respectively. As a result, the evaluations of the CJR model and the SHFFT model will assess the effect of discrete episodes.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support for the intended goals of the EPMs, and stated they want to contribute to moving our health care system to a value-based system. However, many commenters disagreed with the process used by CMS to achieve this goal. Specifically, commenters stated that CMS moved too fast and too soon in implementing these models. Furthermore, commenters believe that the breadth and speed of the CMS models expanded exponentially. Commenters stated that in situations when multiple initiatives are being implemented simultaneously, for example Meaningful Use, new conditions of participation for emergency preparedness, multiple clinical and payment changes to the existing fee-for-service payment systems, performance requirements of payment reforms such as the MACRA, and state regulatory changes to health care, commenters stated that hospitals may have little time or resources available for thoughtful care redesigns to be applied to the proposed model. A few commenters noted that the insurance marketplace in general remains volatile, adding further complication to the health care landscape, while others believe generally that CMS is putting the existing initiatives' success at risk as a result of the proposed pace of implementation of new programs and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raised concerns that they were unable to submit informed comments on the proposed rule because they did not have sufficient data on the CJR model, making it difficult to assess even early experience with the process of implementation of models that require participation. Other commenters submitted statements of experience related to implementation of the CJR model, specifically that implementation was administratively challenging due to the need to first develop a process of care redesign and then implement operational changes related to efficiency as well as specific provisions of the model, including but not limited to collaboration agreements, provisions for beneficiary notifications, and data analysis. As a result of this experience, commenters requested that CMS delay the implementation time line of the EPMs. The alternative time lines proposed by commenters varied. A few commenters stated that it would be unreasonable to implement a new episode payment model before </w:t>
      </w:r>
      <w:r>
        <w:rPr>
          <w:rFonts w:ascii="arial" w:eastAsia="arial" w:hAnsi="arial" w:cs="arial"/>
          <w:b/>
          <w:i w:val="0"/>
          <w:strike w:val="0"/>
          <w:noProof w:val="0"/>
          <w:color w:val="000000"/>
          <w:position w:val="0"/>
          <w:sz w:val="20"/>
          <w:u w:val="none"/>
          <w:vertAlign w:val="baseline"/>
        </w:rPr>
        <w:t> [*188] </w:t>
      </w:r>
      <w:r>
        <w:rPr>
          <w:rFonts w:ascii="arial" w:eastAsia="arial" w:hAnsi="arial" w:cs="arial"/>
          <w:b w:val="0"/>
          <w:i w:val="0"/>
          <w:strike w:val="0"/>
          <w:noProof w:val="0"/>
          <w:color w:val="000000"/>
          <w:position w:val="0"/>
          <w:sz w:val="20"/>
          <w:u w:val="none"/>
          <w:vertAlign w:val="baseline"/>
        </w:rPr>
        <w:t xml:space="preserve"> evaluation of the outcomes and processes of existing bundled payment models. Other commenters suggested that CMS generally delay implementation until the agency can address concerns related to risk adjustment, minimum volume thresholds, comprehensiveness of payment, and episode definitions. Commenters believed that launching the proposed models simultaneously will require an incredible administrative effort, which may hinder the ability to effectively direct clinical resources towards best practices for success. To this end, commenters also suggested alternative proposals, including but not limited to reconsideration of implementing cardiac EPMs; delay, pilot, or narrow the scope of the proposed SHFFT model; delay the start date of the proposed EPMs until no earlier than January 1, 2018; provide hospitals with at least 12 months of preparation time from the date the final rule is finalized. Other commenters believed hospitals should not be subject to downside risk for at least 12 months from the implementation date of the final rule, and other commenters suggested that CMS delay the onset of downside risk beyond the first quarter of performance year 2. Commenters suggested CMS delay implementation to allow both CMS and EPM participants to prepare to be successful during testing of the model. Specifically, commenters stated that CMS should use the delay to establish a dialogue with hospitals to improve the existing bundled payment experience, perform outcomes studies on existing models and programs, analyze the existing CJR model to determine the model's impact to beneficiaries' outcomes and longer term well-being, and create infrastructure to more easily attribute patients to the EPMs. Commenters also stated that such a delay would allow time for EPM participants to better understand the clinical and financial risk of their patient populations, to establish collaborator relationships and to create the internal organization structure to manage payment bundles. A few commenters specifically suggested changes in payment once the risk-bearing phase begins, to allow a prospective payment to the EPM participants upon determination of an eligible diagnosis, as this change could permit all collaborating providers to share in both the upside and downside financial risk, and not be constrained by what Medicare pays for services during the episode. Overall, most commenters requested that CMS generally apply a more strategic process to achieve the intended goals by building on the experience to date to set the health care system on a pathway to success rather than rolling out new models before anything concrete is gleaned from existing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we received in support of our proposed performance period and start date. We also appreciate comments expressing concerns around the timing of this model. Although we believe that it is important to initiate these EPMs now since they are different than CJR and BPCI and will provide essential information about the potential for episode payment to improve care and lower spending, we are sensitive to commenters' concerns that our proposed date to implement downside risk may not provide sufficient time for participants to implement the kinds of changes needed to successfully participate in the model, particularly given the availability of baseline data. Accordingly, this final rule will increase available preparation time by not implementing downside risk for all participants in the EPMs until October 1, 2018. Downside risk for EPM episodes will be applied to episodes ending on or after January 1, 2019. As discussed in detail in section III.D. of this final rule, participants who are interested in taking on downside risk earlier can choose to begin downside risk for episodes ending on or after January 1, 2018. Additionally, specific amendments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the CJR model access to records and records retention policy, compliance enforcement policy, and waiver of the SNF 3 day rule will take effect July 1, 2017. We refer readers to sections V.H., V.I., and V.L. of the final rule for discussions of our final decisions. We believe that these changes will both facilitate participants' abilities to be successful under these models and allow for a more gradual transition to full financial responsibility under the models. CMS will also continue to work internally to determine the extent to which the suggestions submitted by commenters, including performing education and outreach activities or outcomes studies on existing models, will impact the implementation of the EPMs. The EPMs will only include a limited number of episode types, and as such we believe it is reasonable for hospitals to begin to analyze data and identify care patterns and opportunities for care redesign for these episodes prior to assuming financial responsibility for spending for episode beginning after October 1, 2018. We also note that due to the gradual implementation of financial responsibility that was proposed and that will still be incorporated in the models even given the start of the phased-in downside risk that we are finalizing in this rule, we expect that hospitals will spend the first performance year of the model analyzing data, identifying care pathways, forming clinical and financial relationships with other providers and suppliers, and assessing opportunities for savings under the model, utilizing in part the claims data we provide to them. As a result of these changes, we do not believe that further changes are needed to the start date of implementation. We also do not agree with commenters that implementation of the model is premature or that it should not be implemented until results for CJR or other episode-based payment models are available. While we anticipate that these models will offer valuable information that should assist CMS in developing future episode payment models, the EPMs will offer additional insights that are not available under the CJR model; in particular, insights with respect to episode payment models on a distinct set of episodes for participants that would not otherwise participate under a model such as BPCI.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Likewise, we do not agree that the models should be implemented after certain other actions have occurred or because of the multiple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mandates faced by hospitals and other providers. Since the Medicare program's inception, providers have and will continue to contend with constantly evolving statutory and administrative requirements that often require them to make concurrent changes in their practices and procedures. We do not believe the EPMs are dissimilar to those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as discussed earlier in this section, some commenters pointed to the potential for unintended consequences that could result from our proposed start date, including impediments to beneficiary access and reduced quality of care. As discussed in section III.E. of this final rule, we are including quality measures for purposes of evaluating hospitals' performance both individually and in aggregate across the models. Also, as discussed in section III.F. of this final rule, we are making final policies and actions to monitor both care access and quality. We believe these features will help ensure that beneficiary access to high quality care is not compromised under the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raised specific concerns that the proposed EPMs' emphasis on cost-savings could incentivize hospitals to use the least </w:t>
      </w:r>
      <w:r>
        <w:rPr>
          <w:rFonts w:ascii="arial" w:eastAsia="arial" w:hAnsi="arial" w:cs="arial"/>
          <w:b/>
          <w:i w:val="0"/>
          <w:strike w:val="0"/>
          <w:noProof w:val="0"/>
          <w:color w:val="000000"/>
          <w:position w:val="0"/>
          <w:sz w:val="20"/>
          <w:u w:val="none"/>
          <w:vertAlign w:val="baseline"/>
        </w:rPr>
        <w:t> [*189] </w:t>
      </w:r>
      <w:r>
        <w:rPr>
          <w:rFonts w:ascii="arial" w:eastAsia="arial" w:hAnsi="arial" w:cs="arial"/>
          <w:b w:val="0"/>
          <w:i w:val="0"/>
          <w:strike w:val="0"/>
          <w:noProof w:val="0"/>
          <w:color w:val="000000"/>
          <w:position w:val="0"/>
          <w:sz w:val="20"/>
          <w:u w:val="none"/>
          <w:vertAlign w:val="baseline"/>
        </w:rPr>
        <w:t xml:space="preserve"> costly post-acute alternative rather than the option that is most appropriate for the beneficiary. Furthermore, commenters stated that under an episode payment structure, EPM participants that admit healthier patients would have better financial results. Some commenters believe this design will consequently impact Medicare beneficiaries and the Medicare Trust Fund by increasing the frequency of Medicare payments from participants initiating a higher volume of episodes in a healthier population of beneficiaries. Other commenters believed that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have serious negative impacts on Medicare beneficiaries by encouraging unnecessary surgeries and on health care stakeholders by discouraging innovation. One commenter encouraged us to create a patient advisory panel so that beneficiary viewpoints could be incorporated into model planning for the EPMs and any other Innovation Center bundled payment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concerns regarding the quality of care for Medicare beneficiaries. Improving the quality of care is a central goal of the Innovation Center's work to test new payment and service delivery models. We disagree with commenters that the models will negatively impact the quality of care for beneficiaries in these models and we refer readers to the monitoring and beneficiary protections discussion in section III.G. of this final rule which we believe will address the commenters' concerns about care stinting. We emphasize that care stinting or denying the provision of medically necessary care is not permitted under the EPMs. Medicare beneficiaries in the EPMs will retain the right to obtain health services from any individual or organization qualified to participate in the Medicare program, and EPM participants are required to supply beneficiaries with written information regarding the design and implications of these models as well as the beneficiaries' rights under Medicare, including their right to use their providers of choice. We disagree with commenters that the EPMs will stifle innovation for care furnished during an EPM episode. We proposed, and are finalizing in this final rule, a payment methodology that will account for changes in care patterns and utilization trends for EPM episodes as described in section III.D. of this final rule and will have a monitoring contractor actively reviewing claims and monitoring behavior of participant providers to ensure beneficiary choice and care are not compromised by the EPMs. The Federal Government has long recognized the important role of the public in developing effective policies. Advisory committees are a way of ensuring public and expert involvement and advice in federal decision-making. In compliance with the Federal Advisory Committee Act (FACA) the number of advisory committees is carefully managed and committee memberships reflect a balance of viewpoints, education, and experience. Although the establishment of a Patient Advisory Committee for all Innovation Center models is beyond the scope of this rule, we believe that stakeholder engagement is essential to the success of these models and our learning and monitoring contractors as well as our evaluation contractor will be soliciting beneficiary feedback on their experiences with the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While some commenters appreciated the approach of CMS to implement episode-based payment models for a select group of clinical scenarios, others suggested that participation be voluntary, in order to allow hospitals and providers implementing other payment reforms like the MACRA a more gradual adoption process of EPMs. An additional voluntary component to the proposed EPMs, commenters stated, would also permit additional participants who are interested in the models but not located in the MSAs in which the models will be tested to volunteer for participation. Still, other commenters stated that single-episode initiatives fail to encourage systemic change within organizations, and may hinder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if implemented. Commenters stated that as a result of mandated participation, many surgeons who and facilities which lack familiarity, experience, or proper infrastructure to support care redesign efforts will hamper provider participation, bias model performance evaluation, and negatively affect patient care. One commenter suggested that the nature of the models will provide information about how many organizations, and which organizations, fail. Other commenters commended CMS for the episode payment models. The commenters believed that this overall strategy will motivate hospitals to work more closely with other members of the patient's care team, which could reduce avoidable complications after surgery and decrease the risk of additional hospitalizations.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commenters for their feedback, but disagree with the suggestion to finalize the proposed EPMs as a voluntary initiative. The EPMs will give CMS the ability to test how an episode payment model might function among participants that would otherwise not participate in such a model. As such, we expect the results from these models will produce data that are more broadly representative than what might be achieved under a voluntary model. Also, these models test a regional target pricing approach to consider a participant hospital's performance relative to its regional peers. As part of this test, we will learn whether our alternative pricing approach in these models will better incentivize participants who are already delivering high quality and efficient care while still incentivizing historically less efficient providers to improve. We would not be able to test such a regional pricing approach under a purely voluntary model, nor could the appropriate evaluation approach be implemented if participants could volunteer, because it is likely that only the already high quality and efficient providers would sign up.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supported our use of notice and comment rulemaking for the EPMs and encouraged us to continue to use the notice and comment rulemaking process to facilitate a robust public dialogue on important issues related to the EPMs and the CR incentive payment model. These commenters generally agreed with the proposed EPM episodes. A few commenters were concerned that we would avoid notice and comment rulemaking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support for the use of notice and comment rule-making for the EPM models. The EPMs are intended to enable CMS to better understand the effects of payment models on a broader range of Medicare providers than what is currently being tested under the BPCI initiative. To this end, testing the EPMs in the proposed manner will also allow us to learn more about patterns of inefficient utilization of health care services and how to incentivize improvement in quality for common AMI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respectfully disagree that we are avoiding notice and comment rulemaking. We note that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promulgated in accordance with the requirements of </w:t>
      </w:r>
      <w:r>
        <w:rPr>
          <w:rFonts w:ascii="arial" w:eastAsia="arial" w:hAnsi="arial" w:cs="arial"/>
          <w:b w:val="0"/>
          <w:i/>
          <w:strike w:val="0"/>
          <w:noProof w:val="0"/>
          <w:color w:val="000000"/>
          <w:position w:val="0"/>
          <w:sz w:val="20"/>
          <w:u w:val="none"/>
          <w:vertAlign w:val="baseline"/>
        </w:rPr>
        <w:t>5 U.S.C. 553</w:t>
      </w:r>
      <w:r>
        <w:rPr>
          <w:rFonts w:ascii="arial" w:eastAsia="arial" w:hAnsi="arial" w:cs="arial"/>
          <w:b w:val="0"/>
          <w:i w:val="0"/>
          <w:strike w:val="0"/>
          <w:noProof w:val="0"/>
          <w:color w:val="000000"/>
          <w:position w:val="0"/>
          <w:sz w:val="20"/>
          <w:u w:val="none"/>
          <w:vertAlign w:val="baseline"/>
        </w:rPr>
        <w:t xml:space="preserve">, went into great detail about the provisions of the proposed EPMs, enabling the public to fully understand and comment on how the proposed models were designed and could apply to those affected providers and beneficiaries. In this final rule, which is also being promulgated in accordance with the requirements of </w:t>
      </w:r>
      <w:r>
        <w:rPr>
          <w:rFonts w:ascii="arial" w:eastAsia="arial" w:hAnsi="arial" w:cs="arial"/>
          <w:b w:val="0"/>
          <w:i/>
          <w:strike w:val="0"/>
          <w:noProof w:val="0"/>
          <w:color w:val="000000"/>
          <w:position w:val="0"/>
          <w:sz w:val="20"/>
          <w:u w:val="none"/>
          <w:vertAlign w:val="baseline"/>
        </w:rPr>
        <w:t>5 U.S.C. 553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[*190] </w:t>
      </w:r>
      <w:r>
        <w:rPr>
          <w:rFonts w:ascii="arial" w:eastAsia="arial" w:hAnsi="arial" w:cs="arial"/>
          <w:b w:val="0"/>
          <w:i w:val="0"/>
          <w:strike w:val="0"/>
          <w:noProof w:val="0"/>
          <w:color w:val="000000"/>
          <w:position w:val="0"/>
          <w:sz w:val="20"/>
          <w:u w:val="none"/>
          <w:vertAlign w:val="baseline"/>
        </w:rPr>
        <w:t xml:space="preserve"> we respond to the public comments received on our proposals, and after considering them, we are finalizing our proposals with some modifications.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questioned the extent to which EPM participants would have the knowledge, skills, and experience to successfully drive improvements in care delivery and health outcomes. Many commenters asserted they do not have enough experience to even know where the efficiencies in care delivery are available to take advantage of them, which limits the ability of the EPMs' potential success. Another commenter recommended CMS inform the participants that will be in these episode payment models as early as possible. To this end, many commenters recommended that CMS implement a broad-based education campaign regarding the new EPMs that uses all of CMS' communication channels to reach hospitals, post-acute care providers, physicians, and community-based providers of long term services and supports.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were many unique suggestions by commenters to appropriately communicate the proposed EPMs to affected stakeholders. A few commenters were generally uncertain where CMS could articulate its vision for innovative payment models. A few other commenters believed CMS should explain in detail the applicable EPMs, provide contact information and a publicly accessible list of all the providers that are part of the model in each region. Other commenters requested more opportunity to analyze the lessons learned from Health Care Payment Learning and Action Network (HCP-LAN), Clinical Episode Payment (CEP) work group, and BPCI so they can be broadly applied to care redesigns as part of the proposed EPMs. To support learning efforts, some commenters recommended CMS to include in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 requirement that participating hospitals must develop, have approved by CMS, and implement a comprehensive, effective clinical care model and leadership structure for coordinating care and managing implementation of the EPMs. A few suggested that CMS assign a Medicare Project Officer to assist CJR and EPM participants. One commenter suggested that CMS provide advanced education and clinical-financial tools attainable through a blend of registries, databases and CMS claims data. Other commenters supported the intention of CMS to establish a learning and diffusion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commenters regarding the need to continually improve stakeholder outreach for models to succeed and we intend to do as much as we can to work to design and deploy a helpful learning and diffusion program. CMS is committed to continuing to facilitate performance improvement by identifying areas of excellence for the purposes of extrapolating best practices. CMS encourages collaboration amongst organizations and can provide guidance on the development and implementation of specific learning systems. We currently deploy the expertise and experience of The Innovation Center's Learning and Diffusion Group to facilitate learning within models by disseminating the lessons learned across models so that participants can benefit from the experiences of other models, and are always looking for better ways to educate and assist participants in knowledge sharing. For example, BPCI includes a shared learning network that brings experienced stakeholders together for knowledge sharing, collaboration, and peer-to-peer learning. We continue to believe that these efforts contribute to reducing the administrative burden on the health care delivery system and will be responsive to commenters' concerns.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stated that they believe CMS should engage in models which enhance sharing of best practices rather than financial incentives.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submission and agree with the sentiment that providers of care in the EPMs should ensure quality of care is maintained or improved. The design of the episode-based payments directly corresponds with CMS' stated goal of decreasing costs while maintaining or improving quality. Within this framework, we anticipate best practices naturally evolving as participants explore care redesign to achieve efficiencies in the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applauded many of the design features in the new proposed models--suggesting that the proposed rule outlined the framework for models that could become very successful at reducing Medicare spending and improving patient care. One commenter suggested that CMS develop accreditation standards for participation and only select accredited EPM participants. Another commenter suggested considering Quality Improvement Organizations (QIOs) as participants, or that QIOs be more centrally involved in such models to continue to recognize the importance of care transitions.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of the proposed design features in the new proposed models. The QIO Care Transitions Project n7 previously tested the extent to which QIOs lead improvements in care transitions. Research found reduced rates of 30-day re-hospitalization and all-cause hospitalization per 1,000, however the reduced rate of all-cause 30-day re-hospitalization as a percentage of hospital discharges was not statistically significant. We will continue to work internally to evaluate the extent to which QIOs complement the operations of the EPMs. We disagree with the suggestion to develop accreditation standards, as such actions are distinct from testing of EPMs, and the proposal to define EPM episode initiators as only those accredited EPM participants. The definition of the episode initiator is discussed further in section III.B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 Brock J, et al., Association between quality improvement for care transitions in communities and rehospitalizations among Medicare beneficiaries. JAMA. 2013 Jan 23;309(4):381-91.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section V. of this final rule, we proposed numerous modifications to the CJR model, which began on April 1, 2016. Section V. of this final rule contains our proposed policy changes, commenters' reactions, and our responses. We discuss here comments we received on the CJR model as a whole, including several comments pertaining to model policies for which we did not propose any changes, as well as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In general, commenters expressed support for the CJR model. One commenter suggested that CMS extend the model on a voluntary basis after the conclusion of the model's 5 performance years, to allow for successful participants to continue under CJR. The commenter also suggested that in such a scenario, CMS allow for convening organizations to participate (as is the case currently under the BPCI initiative) and modify the model design to include features such as financial risk for the post-acute care period only. The commenter noted that such flexibility would encourage participation in alternative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expressed support for the CJR model but noted the significant time and effort required for hospitals to implement the model. Commenters also requested several policy changes out of scope for this rulemaking, including: Additional relaxation of regulatory barriers to integration between hospitals and other stakeholders, removal of fractures in </w:t>
      </w:r>
      <w:r>
        <w:rPr>
          <w:rFonts w:ascii="arial" w:eastAsia="arial" w:hAnsi="arial" w:cs="arial"/>
          <w:b/>
          <w:i w:val="0"/>
          <w:strike w:val="0"/>
          <w:noProof w:val="0"/>
          <w:color w:val="000000"/>
          <w:position w:val="0"/>
          <w:sz w:val="20"/>
          <w:u w:val="none"/>
          <w:vertAlign w:val="baseline"/>
        </w:rPr>
        <w:t> [*191] </w:t>
      </w:r>
      <w:r>
        <w:rPr>
          <w:rFonts w:ascii="arial" w:eastAsia="arial" w:hAnsi="arial" w:cs="arial"/>
          <w:b w:val="0"/>
          <w:i w:val="0"/>
          <w:strike w:val="0"/>
          <w:noProof w:val="0"/>
          <w:color w:val="000000"/>
          <w:position w:val="0"/>
          <w:sz w:val="20"/>
          <w:u w:val="none"/>
          <w:vertAlign w:val="baseline"/>
        </w:rPr>
        <w:t xml:space="preserve"> their entirety from this episode payment model, additional waivers of Medicare program rules, additional quality measures, policies that would encourage use of specific medical devices associated with lower revision rates, and modifications to the pricing methodology that would include comprehensive risk adjustment. Finally, one commenter requested that data be provided on a more frequent basis.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commenters for their support of the CJR model. With regard to the CJR model policies for which we did not propose any changes, we will continue to consider the issues commenters brought forward and if warranted, would address any changes through future rulemaking as necessary. In addition, we note that while currently we provide CJR hospitals with episode data on a quarterly basis, we may begin to consider providing such data on a monthly basis when practicable.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supported CMS' pursuit of opportunities to spread value-based payment to more providers through additional episode payment models beyond lower extremity joint replacement.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and appreciate the commenters' remarks.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addressed issues on the following subject-matter areas: Alternative administration of medications, non-medically directed anesthesia delivery, remote patient monitoring, data collection for global surgical services, and the long term care hospital certification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These comments pertain to issues for which we did not include any proposals in the proposed rule. Therefore, we believe these comments are outside the scope of the proposed rule, and we are not addressing them in this final rule. After carefully considering all of the comments we received on the proposed model, including those discussed previously and within the following pages, for the reasons described elsewhere in this rule, we have concluded that we can successfully test the Episode Payment Models with several modifications and timing changes. The final model design we are implementing includes additional lead time for participants prior to the onset of downside risk to ensure that the models have time to incorporate risk adjustment into pricing, a commitment to conduct public listening sessions on risk adjustment during the 2017 calendar year and rulemaking during the 2018 calendar year on risk adjustment methods, an exemption for the Medicare Shared Savings Program Track 3 ACOs from participation in the EPMs and adjustments to the AMI transfer policy and the CABG quality measures. All of these changes are discussed in detail in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Summary of the Major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Model Overview--EPM Episodes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EPMs, as described further in section III.B.2. of this final rule, are an AMI, CABG, or SHFFT model episode that will begin with an inpatient admission to an anchor hospital assigned to one of the following MS-DRGs upon beneficiary discharge. Acute care hospital services furnished to beneficiaries in AMI, CABG, and SHFFT episodes currently are paid under the Inpatient Prospective Payment System (IPPS) through several Medicare Severity-Diagnosis Related Groups (MS-DRGs): For AMI episodes, AMI MS-DRGs (280-282) and those Percutaneous Coronary Intervention (PCI) MS-DRGs (246-251) representing IPPS admissions for AMI that are treated with PCIs; CABG MS-DRGs (231-236); and SHFFT MS-DRGs (480-482). Episodes will end 90 days after the date of discharge from the anchor hospital, as defined under § 512.2. Defining EPMs' episodes of care in such a manner offers operational simplicity for both providers and CMS. The EPMs' episodes will include the inpatient stays and all related care covered under Medicare Parts A and B within the 90 days after discharge, including hospital care, post-acute care, and physician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Model Scope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CJR model, we proposed that acute care hospitals would be the episode initiators and bear financial risk under the proposed AMI, CABG and SHFFT models. In comparison to other health care facilities, hospitals are more likely to have resources that would allow them to appropriately coordinate and manage care throughout an episode, and hospital staff members already are involved in hospital-discharge planning and post-acute care recommendations for recovery, key dimensions of high-quality and efficient care. We proposed to require all hospitals to participate that are paid under the IPPS, have a CMS Certification Number (CCN), and have an address located in selected geographic areas to participate in the EPMs, with limited exceptions. An eligible beneficiary who receives care at such a hospital will automatically be included in the applicable EPM. We proposed to select geographic areas through a random sampling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CR incentive payment model, we proposed to provide a CR incentive payment specifically to selected hospitals with financial responsibility for AMI or CABG model episodes (hereinafter EPM-CR participants) because they are already engaged in managing the AMI or CABG model beneficiary's overall care for a period of time following hospital discharge. Similarly, we believe there are opportunities to test the same financial incentives for hospitals where the beneficiary's overall care is paid under the Medicare FFS program. Thus, we also proposed to provide a CR incentive payment specifically to selected hospitals that are not AMI or CABG model participants (hereinafter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geographic-area selection process is detailed further in section III.B.4.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test the AMI, CABG, and SHFFT EPMs for 5 performance years. The first performance year would begin July 1, 2017. During these performance years we will continue paying hospitals and other providers and suppliers according to the appropriate Medicare FFS payment systems. However, after the completion of a performance year, the Medicare claims payments for services furnished to an eligible beneficiary during an episode, based on claims data, will be combined to calculate an actual episode payment. The actual episode payment will then be reconciled against an established EPM quality adjusted target price. The amount of this calculation, if positive, will be paid to the EPM participant as a "reconciliation payment" provided they had achieved a quality category of "acceptable" or higher. If the amount of this calculation is negative, we will require a "Medicare repayment" from the participant hospital beginning with episodes ending in performance year 3 of the EPMs. We had proposed to phase in the requirement that participants whose actual episode payments exceed the quality adjusted target price pay the difference back to Medicare beginning in the second quarter of performance year 2, and under this proposal, CMS would not require a Medicare repayment from hospitals for actual episode payments that exceed their target price in performance year 1 and the first quarter of performance year 2. Our final rule implements the requirement for Medicare repayments during performance year 3 and includes </w:t>
      </w:r>
      <w:r>
        <w:rPr>
          <w:rFonts w:ascii="arial" w:eastAsia="arial" w:hAnsi="arial" w:cs="arial"/>
          <w:b/>
          <w:i w:val="0"/>
          <w:strike w:val="0"/>
          <w:noProof w:val="0"/>
          <w:color w:val="000000"/>
          <w:position w:val="0"/>
          <w:sz w:val="20"/>
          <w:u w:val="none"/>
          <w:vertAlign w:val="baseline"/>
        </w:rPr>
        <w:t> [*192] </w:t>
      </w:r>
      <w:r>
        <w:rPr>
          <w:rFonts w:ascii="arial" w:eastAsia="arial" w:hAnsi="arial" w:cs="arial"/>
          <w:b w:val="0"/>
          <w:i w:val="0"/>
          <w:strike w:val="0"/>
          <w:noProof w:val="0"/>
          <w:color w:val="000000"/>
          <w:position w:val="0"/>
          <w:sz w:val="20"/>
          <w:u w:val="none"/>
          <w:vertAlign w:val="baseline"/>
        </w:rPr>
        <w:t xml:space="preserve"> an applicable discount factor that would be used for calculating repayment amounts for performance years 3 and 4. Also, participants may elect to assume downside risk for performance year 2, which would also include an applicable discount factor for calculating repayment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to the CJR model, due to the clinical characteristics and common patterns of care in AMI episodes, we proposed payment adjustments in the cases of certain transfers and readmissions of beneficiaries to inpatient hospitals for these episodes. These payment adjustments are discussed in detail in sections III.D.4.b.(1). through III.D.4.b.(2).(a). of the proposed and this final rule. We did not finalize one of these proposals--a payment adjustment for AMI episodes involving an inpatient-to-inpatient transfer or what we referred to as a chained anchor hospitalization. We also proposed payment adjustments for CABG model episodes, which we are finalizing in this rule. We proposed and are making final with modification limits on how much a hospital can gain or lose based on its actual episode payments relative to quality adjusted target prices, including policies to further limit the risk of high payment cases for special categories of participants as described in sections III.D.7.a. through III.D.7.d. of this final rule. In response to comments, we are finalizing a policy to extend separate financial loss protections to participants with a low volume of episodes under a model, which we refer to as EPM volume protection hospitals.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EPMs, we proposed to test a CR incentive payment model </w:t>
      </w:r>
      <w:hyperlink r:id="rId9" w:history="1">
        <w:r>
          <w:rPr>
            <w:rFonts w:ascii="arial" w:eastAsia="arial" w:hAnsi="arial" w:cs="arial"/>
            <w:b w:val="0"/>
            <w:i/>
            <w:strike w:val="0"/>
            <w:noProof w:val="0"/>
            <w:color w:val="0077CC"/>
            <w:position w:val="0"/>
            <w:sz w:val="20"/>
            <w:u w:val="single"/>
            <w:vertAlign w:val="baseline"/>
          </w:rPr>
          <w:t>(81 FR 50800)</w:t>
        </w:r>
      </w:hyperlink>
      <w:r>
        <w:rPr>
          <w:rFonts w:ascii="arial" w:eastAsia="arial" w:hAnsi="arial" w:cs="arial"/>
          <w:b w:val="0"/>
          <w:i w:val="0"/>
          <w:strike w:val="0"/>
          <w:noProof w:val="0"/>
          <w:color w:val="000000"/>
          <w:position w:val="0"/>
          <w:sz w:val="20"/>
          <w:u w:val="none"/>
          <w:vertAlign w:val="baseline"/>
        </w:rPr>
        <w:t xml:space="preserve"> to encourage the utilization of CR/ICR services for beneficiaries hospitalized for treatment of AMI or CABG. To determine the CR incentive payment, we proposed to count the number of CR/ICR services for the relevant time periods under the Outpatient Prospective Payment System (OPPS) and PFS on the basis of the presence of paid claims of the HCPCS codes that report CR/ICR services and the units of service billed. The initial level of the per service CR incentive amount would be $ 25 per CR/ICR service for each of the first 11 CR/ICR services paid for by Medicare during an AMI or CABG model episode or AMI or CABG care period. After 11 CR/ICR services are paid for by Medicare for a beneficiary, the level of the per service CR incentive amount will increase to $ 175 per CR/ICR service for each additional CR/ICR service paid for by Medicare during the AMI or CABG model episode or AMI care period or CABG care period. A more detailed discussion of the CR incentive payment is located in section VI.E.1 of this final rule. The CR performance years would be the same as the performance years for the EPMs in section III.D.2.a. of this final rule. Further details about the payment structure and design of the CR incentive payment model can be found in section VI.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Similar, Previous, and Concurrent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EPMs are informed by other models and demonstrations currently and previously conducted by CMS, and will explore additional ways to use episode payment to enhance coordination of care and improve the quality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recently announced practices that will participate in the Oncology Care Model (OCM), an episode payment model for physician practices administering chemotherapy. Under OCM, practices will enter into payment arrangements that include both financial and performance accountability for episodes of care surrounding chemotherapy administration to cancer patients. We will coordinate with other payers to align with OCM in order to facilitate enhanced services and care at participating practices. n8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More information on the OCM can be found on the Innovation Center's Web site at </w:t>
      </w:r>
      <w:hyperlink r:id="rId12" w:history="1">
        <w:r>
          <w:rPr>
            <w:rFonts w:ascii="arial" w:eastAsia="arial" w:hAnsi="arial" w:cs="arial"/>
            <w:b w:val="0"/>
            <w:i/>
            <w:strike w:val="0"/>
            <w:noProof w:val="0"/>
            <w:color w:val="0077CC"/>
            <w:position w:val="0"/>
            <w:sz w:val="20"/>
            <w:u w:val="single"/>
            <w:vertAlign w:val="baseline"/>
          </w:rPr>
          <w:t>http://innovation.cms.gov/initiatives/Oncology-Care/</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Innovation Center previously tested innovative episode payment approaches in the Medicare Acute Care Episode (ACE) demonstration, n9 and, as described in this final rule, currently is testing additional approaches under the BPCI initiative and the CJR model. The ACE demonstration tested an alternative payment approach for cardiac and orthopedic inpatient surgical services and procedures. All Medicare Part A and Part B services pertaining to the inpatient stay were included in the ACE demonstration episodes of care. Evaluations of the ACE demonstration found that while there was not strong quantitative evidence indicating improvements in quality, there was qualitative evidence that hospitals worked to improve processes and outcomes as a result of their participation in the demonstration.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Information on the ACE Demonstration can be found on the Innovation Center's Web site at </w:t>
      </w:r>
      <w:hyperlink r:id="rId13" w:history="1">
        <w:r>
          <w:rPr>
            <w:rFonts w:ascii="arial" w:eastAsia="arial" w:hAnsi="arial" w:cs="arial"/>
            <w:b w:val="0"/>
            <w:i/>
            <w:strike w:val="0"/>
            <w:noProof w:val="0"/>
            <w:color w:val="0077CC"/>
            <w:position w:val="0"/>
            <w:sz w:val="20"/>
            <w:u w:val="single"/>
            <w:vertAlign w:val="baseline"/>
          </w:rPr>
          <w:t>http://innovation.cms.gov/initiatives/ACE/</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we are testing the BPCI initiative, which is composed of related payment models that link payments for multiple services that a Medicare beneficiary receives during an episode of care into a bundled payment. Under the initiative, entities enter into payment arrangements with CMS that include financial and performance accountability for episodes of care. Episodes of care under the BPCI initiative begin with either: (1) An inpatient hospital stay or (2) post-acute care services following a qualifying inpatient hospital stay. The BPCI initiative is evaluating the effects of episode-based payment approaches on patient experience of care, outcomes, and cost of care for Medicare FFS beneficiaries. Participating organizations chose from 48 clinical episodes, including hip and femur procedures except major joint, acute myocardial infarction, percutaneous coronary intervention, and coronary artery bypass graft surgery. BPCI Model 2 is an episode payment model in which a qualifying acute care hospitalization initiates a 30-, 60-, or 90-day episode of care. The episode includes the inpatient stay in an acute care hospital and all related services covered under Medicare Parts A and B during the episode, including post-acute care services. n10 Our experience testing BPCI Model 2 informed the design of the three proposed EPMs. Although some interim evaluation results from the BPCI models are available, final evaluation results for the models within the BPCI initiative are not yet available. However, we believe that CMS' experiences with BPCI support the design of the proposed EPMs. Stakeholders both directly and indirectly involved in testing BPCI models have conveyed that they perceive the initiative to be an effective mechanism for advancing better, more accountable care and aligning providers along the care continuum. This message has been reinforced through CMS site visits to participating entities, the Bundled Payments summit in Washington, in-person meetings with Awardees at CMS, and Awardee-led Affinity Group discussions. The BPCI initiative incorporates 48 clinical episodes, including cardiac and orthopedic episodes similar to the AMI, CABG, and SHFFT models. These clinical episodes are being tested by over 1,200 Medicare providers, including acute care hospitals, physician group practices, skilled nursing facilities, and home health agencies. Cardiac and orthopedic clinical episodes are among the most popular episodes in BPCI, indicating that BPCI awardees participating in BPCI believe they can reduce cost and </w:t>
      </w:r>
      <w:r>
        <w:rPr>
          <w:rFonts w:ascii="arial" w:eastAsia="arial" w:hAnsi="arial" w:cs="arial"/>
          <w:b/>
          <w:i w:val="0"/>
          <w:strike w:val="0"/>
          <w:noProof w:val="0"/>
          <w:color w:val="000000"/>
          <w:position w:val="0"/>
          <w:sz w:val="20"/>
          <w:u w:val="none"/>
          <w:vertAlign w:val="baseline"/>
        </w:rPr>
        <w:t> [*193] </w:t>
      </w:r>
      <w:r>
        <w:rPr>
          <w:rFonts w:ascii="arial" w:eastAsia="arial" w:hAnsi="arial" w:cs="arial"/>
          <w:b w:val="0"/>
          <w:i w:val="0"/>
          <w:strike w:val="0"/>
          <w:noProof w:val="0"/>
          <w:color w:val="000000"/>
          <w:position w:val="0"/>
          <w:sz w:val="20"/>
          <w:u w:val="none"/>
          <w:vertAlign w:val="baseline"/>
        </w:rPr>
        <w:t xml:space="preserve"> improve quality for beneficiaries in these episodes of care.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More information on BPCI Model 2 can be found on the Innovation Center's Web site at </w:t>
      </w:r>
      <w:hyperlink r:id="rId14" w:history="1">
        <w:r>
          <w:rPr>
            <w:rFonts w:ascii="arial" w:eastAsia="arial" w:hAnsi="arial" w:cs="arial"/>
            <w:b w:val="0"/>
            <w:i/>
            <w:strike w:val="0"/>
            <w:noProof w:val="0"/>
            <w:color w:val="0077CC"/>
            <w:position w:val="0"/>
            <w:sz w:val="20"/>
            <w:u w:val="single"/>
            <w:vertAlign w:val="baseline"/>
          </w:rPr>
          <w:t>http://innovation.cms.gov/initiatives/BPCI-Model-2/</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design and implementation of the CJR model, which is an episode payment model for LEJR episodes, also informed the design of the AMI, CABG, and SHFFT EPMs. After releasing a proposed rule in July 2015 and receiving nearly 400 comments from the public, in November 2015 we released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 CJR model. Approximately 800 acute care hospitals (approximately 23 percent of all IPPS hospitals) now participate in the CJR model. The first CJR performance year began on April 1, 2016. The CJR model will continue for 5 performance years, ending on December 31, 2020. The AMI, CABG, and SHFFT models build upon our experience designing and implementing the CJR model, including feedback from providers and other public stakeholders during the CJR model's rulemaking and implementation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on why specific elements of the models and initiatives were incorporated into the EPMs' designs is discussed later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Overlap With Ongoing CMS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exclude from participation in the AMI, CABG, and SHFFT models certain acute care hospitals participating in BPCI Models 2 and 4 for the hip and femur procedures except major joint or for all three of the BPCI cardiac episodes (AMI, PCI, and CABG). We proposed to exclude from EPMs beneficiaries prospectively aligned to Innovation Center ACO models which had downside financial risk such as the Next Generation ACO and the Comprehensive ESRD Care models. We also sought comment regarding whether this exclusion should be extended to include beneficiaries assigned to Track 3 Shared Savings Program ACOs as these ACOs also have prospective assignment and downside financial risk. As discussed in the proposed rule, other CMS programs, such as the Shared Savings Program (Tracks 1 and 2) and other accountable care organization (ACO) or total cost of care initiatives will remain eligible for EPM episode initiation. We proposed to account for overlap, that is, where EPM beneficiaries also are included in other models and programs to ensure the financial policies of the models are maintained and results and spending reductions are attributed to one model or program. Specifically, as with CJR, we have proposed to give precedence to existing BPCI models when a beneficiary is admitted to an acute care hospital for what would otherwise be a covered EPM episode but that acute care hospital or the treating physician is participating in BPCI and the admission would meet the criteria to be covered under BPCI. In addition, as with CJR, an EPM episode will be cancelled if a beneficiary whose hospitalization initiates an EPM episode receives treatment during the post discharge period that would also result in the episode being covered under BPCI. Based on the comments received, we are finalizing these proposals with the modification that we will exclude from EPMs not only those beneficiaries prospectively assigned to the Next Generation ACO and the Comprehensive ESRD Care models which also share in downside risk with CMS, but also those beneficiaries prospectively assigned to Track 3 Shared Savings Program ACOs. More detail on our policies for accounting for provider- and beneficiary-level overlap is discussed in section III.D.6. of this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amendments made by the Medicare Access and CHIP Reauthorization Act of 2015 (MACRA) (</w:t>
      </w:r>
      <w:r>
        <w:rPr>
          <w:rFonts w:ascii="arial" w:eastAsia="arial" w:hAnsi="arial" w:cs="arial"/>
          <w:b w:val="0"/>
          <w:i/>
          <w:strike w:val="0"/>
          <w:noProof w:val="0"/>
          <w:color w:val="000000"/>
          <w:position w:val="0"/>
          <w:sz w:val="20"/>
          <w:u w:val="none"/>
          <w:vertAlign w:val="baseline"/>
        </w:rPr>
        <w:t>Pub. L. 114-10</w:t>
      </w:r>
      <w:r>
        <w:rPr>
          <w:rFonts w:ascii="arial" w:eastAsia="arial" w:hAnsi="arial" w:cs="arial"/>
          <w:b w:val="0"/>
          <w:i w:val="0"/>
          <w:strike w:val="0"/>
          <w:noProof w:val="0"/>
          <w:color w:val="000000"/>
          <w:position w:val="0"/>
          <w:sz w:val="20"/>
          <w:u w:val="none"/>
          <w:vertAlign w:val="baseline"/>
        </w:rPr>
        <w:t xml:space="preserve">, April 16, 2015) created two paths for eligible clinicians to link quality to payments: The Merit-Based Incentive Payment System (MIPS) and Advanced Alternative Payment Models (APMs). These two paths create a flexible payment system called the Quality Payment Program as finalized by CMS in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77008</w:t>
        </w:r>
      </w:hyperlink>
      <w:r>
        <w:rPr>
          <w:rFonts w:ascii="arial" w:eastAsia="arial" w:hAnsi="arial" w:cs="arial"/>
          <w:b w:val="0"/>
          <w:i w:val="0"/>
          <w:strike w:val="0"/>
          <w:noProof w:val="0"/>
          <w:color w:val="000000"/>
          <w:position w:val="0"/>
          <w:sz w:val="20"/>
          <w:u w:val="none"/>
          <w:vertAlign w:val="baseline"/>
        </w:rPr>
        <w:t xml:space="preserve"> through 77831). The MIPS streamlines and improves on three current programs--the Physician Quality Reporting System (PQRS), the Physician Value-based Payment Modifier (VM), and the Medicare Electronic Health Record (EHR) Incentive Program--and continues the focus on quality and value in one cohesive program. Through sufficient participation in Advanced APMs, eligible clinicians can become Qualifying APM Participants (QPs) for a payment year beginning with CY 2019 and potentially receive an APM Incentive Payment (or, in later years, a more favorable payment update under the PFS) for the year.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that the EPMs may be able to meet the criteria to be Advanced APMs based on the requirements in the Quality Payment Program final rule with comment period, we proposed to require EPM participants to use Certified Electronic Health Record Technology (CEHRT) (as defined in section 1848(o)(4) of the Act) in Track 1 of each EPM. We proposed that EPM participants in these tracks must use certified health information technology (IT) functions, in accordance with the definition of CEHRT under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w:t>
      </w:r>
      <w:hyperlink r:id="rId16" w:history="1">
        <w:r>
          <w:rPr>
            <w:rFonts w:ascii="arial" w:eastAsia="arial" w:hAnsi="arial" w:cs="arial"/>
            <w:b w:val="0"/>
            <w:i/>
            <w:strike w:val="0"/>
            <w:noProof w:val="0"/>
            <w:color w:val="0077CC"/>
            <w:position w:val="0"/>
            <w:sz w:val="20"/>
            <w:u w:val="single"/>
            <w:vertAlign w:val="baseline"/>
          </w:rPr>
          <w:t>42 CFR 414.1305</w:t>
        </w:r>
      </w:hyperlink>
      <w:r>
        <w:rPr>
          <w:rFonts w:ascii="arial" w:eastAsia="arial" w:hAnsi="arial" w:cs="arial"/>
          <w:b w:val="0"/>
          <w:i w:val="0"/>
          <w:strike w:val="0"/>
          <w:noProof w:val="0"/>
          <w:color w:val="000000"/>
          <w:position w:val="0"/>
          <w:sz w:val="20"/>
          <w:u w:val="none"/>
          <w:vertAlign w:val="baseline"/>
        </w:rPr>
        <w:t>, to document and communicate clinical care with patients and other health care professionals as described in the Quality Payment Program final rule with comment period. We also made similar proposals with respect to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implement two different tracks within the EPMs whereby EPM participants that meet requirements for use of CEHRT and financial risk would be in Track 1 (an Advanced APM track) and EPM participants that do not meet these requirements would be in Track 2 (a non-Advanced APM track). The different tracks would not change how EPM participants operate within the EPM itself, beyond the requirements associated with selecting to meet CEHRT use requirements. The only distinction between the two tracks is that only Track 1 EPMs could be considered an Advanced APM for purposes of the Quality Payment Program based on the criteria in the Quality Payment Program final rule with comment period. We made similar proposals with respect to CJR. We considered modifying requirements proposed in this rule as necessary to reconcile them with policies adopted in the Quality Payment Program final rule. A more detailed discussion of how EPMs and CJR could qualify as Advanced APMs, and how eligible clinicians participating in the EPMs and CJR will be identified and affected, can be found in sections III.A.2 and V.O.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suggested that the most relevant definition of CEHRT to the EPM is found at § 495.4.</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definition at </w:t>
      </w:r>
      <w:hyperlink r:id="rId17" w:history="1">
        <w:r>
          <w:rPr>
            <w:rFonts w:ascii="arial" w:eastAsia="arial" w:hAnsi="arial" w:cs="arial"/>
            <w:b w:val="0"/>
            <w:i/>
            <w:strike w:val="0"/>
            <w:noProof w:val="0"/>
            <w:color w:val="0077CC"/>
            <w:position w:val="0"/>
            <w:sz w:val="20"/>
            <w:u w:val="single"/>
            <w:vertAlign w:val="baseline"/>
          </w:rPr>
          <w:t>42 FR 495.</w:t>
        </w:r>
      </w:hyperlink>
      <w:r>
        <w:rPr>
          <w:rFonts w:ascii="arial" w:eastAsia="arial" w:hAnsi="arial" w:cs="arial"/>
          <w:b w:val="0"/>
          <w:i w:val="0"/>
          <w:strike w:val="0"/>
          <w:noProof w:val="0"/>
          <w:color w:val="000000"/>
          <w:position w:val="0"/>
          <w:sz w:val="20"/>
          <w:u w:val="none"/>
          <w:vertAlign w:val="baseline"/>
        </w:rPr>
        <w:t xml:space="preserve">4 relates to Medicaid eligible professionals, eligible hospitals, and CAHs, as defined for the EHR Incentive Programs. The definition at </w:t>
      </w:r>
      <w:hyperlink r:id="rId18" w:history="1">
        <w:r>
          <w:rPr>
            <w:rFonts w:ascii="arial" w:eastAsia="arial" w:hAnsi="arial" w:cs="arial"/>
            <w:b w:val="0"/>
            <w:i/>
            <w:strike w:val="0"/>
            <w:noProof w:val="0"/>
            <w:color w:val="0077CC"/>
            <w:position w:val="0"/>
            <w:sz w:val="20"/>
            <w:u w:val="single"/>
            <w:vertAlign w:val="baseline"/>
          </w:rPr>
          <w:t>45 FR 414.</w:t>
        </w:r>
      </w:hyperlink>
      <w:r>
        <w:rPr>
          <w:rFonts w:ascii="arial" w:eastAsia="arial" w:hAnsi="arial" w:cs="arial"/>
          <w:b w:val="0"/>
          <w:i w:val="0"/>
          <w:strike w:val="0"/>
          <w:noProof w:val="0"/>
          <w:color w:val="000000"/>
          <w:position w:val="0"/>
          <w:sz w:val="20"/>
          <w:u w:val="none"/>
          <w:vertAlign w:val="baseline"/>
        </w:rPr>
        <w:t xml:space="preserve">1305 relates to Medicare eligible clinicians and groups participating as defined for the CMS Quality Payment Program. These two definitions are substantively the same; however, we refer readers to the definition at </w:t>
      </w:r>
      <w:hyperlink r:id="rId17" w:history="1">
        <w:r>
          <w:rPr>
            <w:rFonts w:ascii="arial" w:eastAsia="arial" w:hAnsi="arial" w:cs="arial"/>
            <w:b w:val="0"/>
            <w:i/>
            <w:strike w:val="0"/>
            <w:noProof w:val="0"/>
            <w:color w:val="0077CC"/>
            <w:position w:val="0"/>
            <w:sz w:val="20"/>
            <w:u w:val="single"/>
            <w:vertAlign w:val="baseline"/>
          </w:rPr>
          <w:t>42 FR 495.</w:t>
        </w:r>
      </w:hyperlink>
      <w:r>
        <w:rPr>
          <w:rFonts w:ascii="arial" w:eastAsia="arial" w:hAnsi="arial" w:cs="arial"/>
          <w:b w:val="0"/>
          <w:i w:val="0"/>
          <w:strike w:val="0"/>
          <w:noProof w:val="0"/>
          <w:color w:val="000000"/>
          <w:position w:val="0"/>
          <w:sz w:val="20"/>
          <w:u w:val="none"/>
          <w:vertAlign w:val="baseline"/>
        </w:rPr>
        <w:t>4 as this most closely relates to the eligibility status of EPM participants. We have updated and finalized this technical correction.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Quality Measures and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quality measures selected for the CJR model, we proposed to use established measures used in other CMS quality-reporting programs for the proposed EPMs' episodes. We proposed to use these measures to test </w:t>
      </w:r>
      <w:r>
        <w:rPr>
          <w:rFonts w:ascii="arial" w:eastAsia="arial" w:hAnsi="arial" w:cs="arial"/>
          <w:b/>
          <w:i w:val="0"/>
          <w:strike w:val="0"/>
          <w:noProof w:val="0"/>
          <w:color w:val="000000"/>
          <w:position w:val="0"/>
          <w:sz w:val="20"/>
          <w:u w:val="none"/>
          <w:vertAlign w:val="baseline"/>
        </w:rPr>
        <w:t> [*194] </w:t>
      </w:r>
      <w:r>
        <w:rPr>
          <w:rFonts w:ascii="arial" w:eastAsia="arial" w:hAnsi="arial" w:cs="arial"/>
          <w:b w:val="0"/>
          <w:i w:val="0"/>
          <w:strike w:val="0"/>
          <w:noProof w:val="0"/>
          <w:color w:val="000000"/>
          <w:position w:val="0"/>
          <w:sz w:val="20"/>
          <w:u w:val="none"/>
          <w:vertAlign w:val="baseline"/>
        </w:rPr>
        <w:t xml:space="preserve"> EPMs' success in achieving its goals under section 1115A of the Act and to monitor for beneficiary safety. For the SHFFT model, we proposed applying the same quality measures selected for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quality measures for SHFFT episodes are as follows:</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THA/TKA Complications: Hospital-Level Risk-Standardized Complication Rate (RSCR) Following Elective Primary Total Hip Arthroplasty (THA) and/or Total Knee Arthroplasty (TKA) (National Quality Forum [NQF] #1550).</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Consumer Assessment of Healthcare Providers and Systems (HCAPHS) Survey (NQF #0166).</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Successful Voluntary Reporting of Patient-Reported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measures for the AMI model are as follows:</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MORT-30-AMI: Hospital 30-Day, All-Cause, Risk-Standardized Mortality Rate (RSMR) Following Acute Myocardial Infarction (AMI) Hospitalization (NQF #0230).</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AMI Excess Days: Excess Days in Acute Care after Hospitalization for Acute Myocardial Infarction (acute care days include emergency department, observation, and inpatient readmission days).</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HCAPHS Survey (NQF #0166), linear mean roll-up (HLMR) scores like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measures for the CABG model are as follows:</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MORT-30-CABG: Hospital 30-Day, All-Cause, Risk-Standardized Mortality Rate (RSMR) Following Coronary Artery Bypass Graft Surgery (NQF #2558).</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HCAPHS Survey (NQF #0166), HLMR scores like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and requested public feedback on options for including successful implementation testing of the Hybrid AMI measure as a quality measure for the AMI episode. The Hybrid AMI measure will assess a hospital's 30-day risk-standardized acute myocardial infarction mortality rate and will incorporate a combination of claims data and EHR data submitted by hospitals. Public comment and our responses to those comments follow under the applicable sections in section III.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as proposed the following quality measures for SHFFT episodes:</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THA/TKA Complications: Hospital-Level Risk-Standardized Complication Rate (RSCR) Following Elective Primary Total Hip Arthroplasty (THA) and/or Total Knee Arthroplasty (TKA) (National Quality Forum [NQF] #1550).</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Consumer Assessment of Healthcare Providers and Systems (HCAPHS) Survey (NQF #0166).</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Successful Voluntary Reporting of Patient-Reported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as proposed the following measures for the AMI model:</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MORT-30-AMI: Hospital 30-Day, All-Cause, Risk-Standardized Mortality Rate (RSMR) Following Acute Myocardial Infarction (AMI) Hospitalization (NQF #0230).</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AMI Excess Days: Excess Days in Acute Care after Hospitalization for Acute Myocardial Infarction (acute care days include emergency department, observation, and inpatient readmission days).</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HCAPHS Survey (NQF #0166), linear mean roll-up (HLMR) scores like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as proposed the following measures for the CABG model:</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MORT-30-CABG: Hospital 30-Day, All-Cause, Risk-Standardized Mortality Rate (RSMR) Following Coronary Artery Bypass Graft Surgery (NQF #2558).</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HCAPHS Survey (NQF #0166), HLMR scores like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after consideration of comments received, we are finalizing an additional measure for the CABG model. Successful voluntary reporting of the Society of Thoracic Surgeons (STS) CABG composite score (NQF #0696) is a comprehensive NQF-endorsed composite measure and will be weighted at 10 percent of the composite quality score for those hospitals that report this voluntary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similar to the CJR model, we proposed to adopt a pay-for-performance methodology for EPMs that relies upon a composite quality score to assign respective EPM participants to four quality categories. These quality categories will determine an EPM participant's eligibility for a reconciliation payment should such EPM participant achieve spending below the quality-adjusted target price, as well as the effective discount percentage at reconciliation. Points for quality performance and improvement (as applicable) will be awarded for each episode measure and then summed to develop a composite quality score that will determine the EPM participant's quality category for the episode. Quality performance will make up the majority of available points in the composite quality score, with improvement points available as "bonus" points for the measure. This approach resembles the CJR model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Beneficiary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the CJR model, Medicare beneficiaries in the EPM models will retain the right to obtain health services from any individual or organization qualified to participate in the Medicare program. Eligible beneficiaries who receive services from EPM participants would not have the option to opt out of inclusion in the applicable model. We proposed to require EPM participants to supply beneficiaries with written information regarding the design and implications of these models as well as the beneficiaries' rights under Medicare, including their right to use their providers of choice. We will make a robust effort to reach out to beneficiaries and their advocates to help them understand the models. We also proposed to use our existing authority, if necessary, to audit participant hospitals if claims analysis indicates an inappropriate change in furnished services. Beneficiary protections are discussed in greater depth in section III.G.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Financial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a regulatory structure for financial relationships under the EPM to advance the goals of improving the quality and efficiency of model episodes, which also included program integrity safeguards to protect against abuse under the financial relationships permitted for the EPM. Our EPM proposals reflected changes from the current CJR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generally fell into the following four categories: (1) Removing duplication of requirements in similar provisions; (2) streamlining and reorganizing the provisions for clarity and consistency; (3) providing additional flexibility in response to feedback from CJR participant hospitals and other stakeholders; and (4) expanding the scope of financial arrangements under the EPM. In addition to the collaborators permitted under the CJR model, we proposed to add hospitals and critical access hospitals (CAHs) to the list of providers and suppliers eligible for gainsharing as EPM collaborators due to the expected participation of multiple hospitals in the episode care for some beneficiaries in AMI and CABG episodes. We specifically proposed that ACOs be eligible for gainsharing as EPM collaborators due to the interest of ACOs in gainsharing during the CJR model rulemaking and the ongoing challenges of addressing overlap between episode payment models and ACOs. We made additional proposals that would allow ACOs to enter into financial arrangements under the EPM with ACO participants and ACO providers/suppliers and to allow physicians group practices (PGPs) that are ACO participants in an ACO that is an EPM collaborator to enter into financial </w:t>
      </w:r>
      <w:r>
        <w:rPr>
          <w:rFonts w:ascii="arial" w:eastAsia="arial" w:hAnsi="arial" w:cs="arial"/>
          <w:b/>
          <w:i w:val="0"/>
          <w:strike w:val="0"/>
          <w:noProof w:val="0"/>
          <w:color w:val="000000"/>
          <w:position w:val="0"/>
          <w:sz w:val="20"/>
          <w:u w:val="none"/>
          <w:vertAlign w:val="baseline"/>
        </w:rPr>
        <w:t> [*195] </w:t>
      </w:r>
      <w:r>
        <w:rPr>
          <w:rFonts w:ascii="arial" w:eastAsia="arial" w:hAnsi="arial" w:cs="arial"/>
          <w:b w:val="0"/>
          <w:i w:val="0"/>
          <w:strike w:val="0"/>
          <w:noProof w:val="0"/>
          <w:color w:val="000000"/>
          <w:position w:val="0"/>
          <w:sz w:val="20"/>
          <w:u w:val="none"/>
          <w:vertAlign w:val="baseline"/>
        </w:rPr>
        <w:t xml:space="preserve"> arrangements under the EPM with PGP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III.I. of this final rule, after consideration of the public comments received we are finalizing the proposed structure for financial arrangements under the EPM, including that EPM participants may enter into sharing arrangements with EPM collaborators, EPM collaborators may enter into distribution arrangements with collaboration agents, and collaboration agents may enter into downstream distribution arrangements with downstream collaboration agents, subject to the requirements specific to each type of arrangement. Our final policies also include modifications to specify individually based on their enrollment in Medicare the specific providers and suppliers of outpatient therapy services that may be EPM collaborators. We also make modifications to clarify that groups of nonphysician practitioners and groups of therapists (physical therapy, occupational therapy, and speech-language pathology) enrolled in Medicare may be EPM collaborators and may enter into distribution arrangements or downstream distribution arrangements under the EPM that are similar to those we are finalizing for PGPs and their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Data 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experience with various Medicare programs and models, including the BPCI initiative, the CJR model, the Shared Savings Program, and the Pioneer ACO model, we believe that providing certain beneficiary claims data to model participants will be essential to their success. We proposed to share data with participants upon request throughout the performance period of the models to the extent permitted by the Health Insurance Portability and Accountability Act of 1996 (HIPAA) Privacy Rule and other applicable law. We proposed to share upon request both raw claims-level data and claims summary data with participants. This approach would allow participants without prior experience analyzing claims to use summary data for analysis of care and spending patterns, while allowing those participants who prefer raw claims-level data the opportunity to analyze claims. We proposed to provide participants with up to 3 years of retrospective claims data upon request that will be used to develop their quality-adjusted target price. In accordance with the HIPAA Privacy Rule, we will limit the content of this data to the minimum data necessary for the participant to conduct quality assessment and improvement activities and effectively coordinate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Program Waivers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1115A of the Act authorizes the Secretary to waive Medicare program requirements as necessary to implement provisions for testing models. Under the CJR model, CMS waived certain program rules regarding the direct supervision requirement for certain post-discharge home visits, telehealth services, and the skilled nursing facility (SNF) 3-day rule. CMS finalized these waivers to offer providers and suppliers more flexibility so that they may increase coordination of care and management of beneficiaries in model episodes. Adopting the CJR waivers for the proposed EPMs required further examination to determine if such adoption would increase financial vulnerability to the Medicare program or would create inappropriate incentives to reduce the quality of beneficiary care. As discussed in section III.J. of this final rule, we will do the following:</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Adopt waivers of the telehealth originating site and geographic site requirement and to allow in-home telehealth visits for all three proposed EPMs, as well as the general waiver to allow post-discharge nursing visits in the home;</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model-specific limits to the number of post-discharge nursing visits and make model-specific decisions about offering the SNF 3-day stay waiver; and</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Adopt a waiver for furnishing cardiac and intensive cardiac rehabilitation services to allow a Nurse Practitioner, Clinical Nurse Specialist, or Physician Assistant, in addition to a physician, to perform specific physician functions.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Summary of Economic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shown in our impact analysis, we expect the EPMs to result in savings to Medicare of $ 159 million over the 5 performance years of the models. We note that a composite quality score will be calculated for each hospital in order to determine eligibility for a reconciliation payment and whether the hospital qualifies for quality incentive payments that will reduce the effective discount percentage experience by the hospital at reconciliation for a given performance year. More specifically, in performance year 1 of the models, we estimate a Medicare cost of approximately $ 10 million, as hospitals will not be subject to downside risk in the first performance year of the models. In performance year 2 of the models, we estimate a Medicare cost of approximately $ 25 million, as some hospitals will voluntarily assume downside risk in the second performance year of the models and some hospitals will receive payments made by CMS. As we introduce downside risk beginning in performance year 3 of the models, we estimate Medicare savings of approximately $ 34 million. In performance years 4 and 5 of the models, we will move from target episode pricing that is based on a hospital's experience to target pricing based on regional experience, and we estimate Medicare savings of $ 49 million and $ 112 million,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we estimate the net savings to Medicare to be $ 159 million over the 5 performance years of the models. We anticipate there will be a broader focus on care coordination and quality improvement for EPMs among hospitals and other providers and suppliers within the Medicare program that will lead to both increased efficiency in the provision of care and improved quality of the care provided to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CR incentive model estimates that the impact on the Medicare program may range from up to $ 29 million of additional spending to $ 32 million of savings between 2017 and 2024, depending on the change in utilization of CR/ICR services based on the proposed incentive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change in the estimated net financial impact to the Medicare program from the CJR model modifications in this final rule is $ 22 million in spending, and the updated assumptions regarding the number of hospitals that will report quality data result in an increase of $ 4 million in spending. The total estimated net financial impact to the Medicare program from both the modifications in the final rule and revised assumptions are $ 26 million in spending. We note that under section 1115A(b)(3)(B) of the Act, the Secretary is required to terminate or modify a model unless certain findings can be made with respect to savings and quality after the model has begun. If during the course of testing a model it is determined that termination or modification is necessary, such actions will be undertaken through rulemaking.</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finalizes the implementation of three new EPMs and a CR incentive payment model under the authority of section 1115A of the Act. Under the AMI, CABG, and SHFFT EPMs, acute care hospitals in certain selected geographic areas will be financially accountable for quality </w:t>
      </w:r>
      <w:r>
        <w:rPr>
          <w:rFonts w:ascii="arial" w:eastAsia="arial" w:hAnsi="arial" w:cs="arial"/>
          <w:b/>
          <w:i w:val="0"/>
          <w:strike w:val="0"/>
          <w:noProof w:val="0"/>
          <w:color w:val="000000"/>
          <w:position w:val="0"/>
          <w:sz w:val="20"/>
          <w:u w:val="none"/>
          <w:vertAlign w:val="baseline"/>
        </w:rPr>
        <w:t> [*196] </w:t>
      </w:r>
      <w:r>
        <w:rPr>
          <w:rFonts w:ascii="arial" w:eastAsia="arial" w:hAnsi="arial" w:cs="arial"/>
          <w:b w:val="0"/>
          <w:i w:val="0"/>
          <w:strike w:val="0"/>
          <w:noProof w:val="0"/>
          <w:color w:val="000000"/>
          <w:position w:val="0"/>
          <w:sz w:val="20"/>
          <w:u w:val="none"/>
          <w:vertAlign w:val="baseline"/>
        </w:rPr>
        <w:t xml:space="preserve"> performance and spending for applicable episodes of care. We proposed to retrospectively apply through a reconciliation process the episode payment methodology; hospitals and other providers and suppliers would continue to submit claims and receive payment via the usual Medicare FFS payment systems throughout the proposed EPMs' performance years. Critical Access Hospitals (CAHs) acting as EPM collaborators would continue to receive payment via the usual cost-based reimbursement system. Hospitals participating in the proposed EPMs would receive target prices, which reflect expected spending for care during an episode as well as a discount to reflect savings to Medicare, on a prospective basis, prior to the beginning of a performance year. All related care covered under Medicare Parts A and B and furnished within 90 days after the date of hospital discharge from the anchor hospitalization which initiated the applicable EPM episode would be included in the episode of care. We proposed the CR incentive payment model to test the effects on quality of care and Medicare expenditures of providing explicit financial incentives to a subset of EPM participants and selected hospitals that are not AMI or CABG model participants for beneficiaries hospitalized for treatment of AMI or CABG to encourage care coordination and greater utilization of medically necessary CR/ICR services for 90 days post-hospital discharge where the beneficiary's overall care is paid under either an EPM or the Medicare FFS program. We believe the models will further our goals of improving the efficiency and quality of care for Medicare beneficiaries for these medical conditions and procedures.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Episode Payment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Selection of Episodes, Advanced Alternative Payment Model Considerations, and Future Directions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Selection of Episodes for Episode Payment Models in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engaged since 2013 in testing various approaches to episode payment for Medicare FFS beneficiaries for 48 clinical episodes in the BPCI initiative. As of October 1, 2016, the BPCI initiative has 1,403 participants in the risk-bearing phase, comprised of 297 Awardees and 1,107 Episode Initiators. The breakdown of BPCI participants by provider type is as follows: Acute care hospitals (354); skilled nursing facilities (642); physician group practices (257); home health agencies (81); and inpatient rehabilitation facilities (9). n11 In BPCI Models 2 and 3, there is participation across all 48 clinical episodes, and in Model 4 there is participation in 19 clinical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 </w:t>
      </w:r>
      <w:hyperlink r:id="rId19" w:history="1">
        <w:r>
          <w:rPr>
            <w:rFonts w:ascii="arial" w:eastAsia="arial" w:hAnsi="arial" w:cs="arial"/>
            <w:b w:val="0"/>
            <w:i/>
            <w:strike w:val="0"/>
            <w:noProof w:val="0"/>
            <w:color w:val="0077CC"/>
            <w:position w:val="0"/>
            <w:sz w:val="20"/>
            <w:u w:val="single"/>
            <w:vertAlign w:val="baseline"/>
          </w:rPr>
          <w:t>https://innovation.cms.gov/initiatives/bundled-payments/</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10 clinical episodes with the most participation are: Major joint replacement of the lower extremity; simple pneumonia and respiratory infections; congestive heart failure; chronic obstructive pulmonary disease; bronchitis; asthma; hip and femur procedures except major joint; sepsis; urinary tract infection; acute myocardial infarction (medical management only); medical non-infectious orthopedic; and other respiratory. n12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 </w:t>
      </w:r>
      <w:hyperlink r:id="rId20" w:history="1">
        <w:r>
          <w:rPr>
            <w:rFonts w:ascii="arial" w:eastAsia="arial" w:hAnsi="arial" w:cs="arial"/>
            <w:b w:val="0"/>
            <w:i/>
            <w:strike w:val="0"/>
            <w:noProof w:val="0"/>
            <w:color w:val="0077CC"/>
            <w:position w:val="0"/>
            <w:sz w:val="20"/>
            <w:u w:val="single"/>
            <w:vertAlign w:val="baseline"/>
          </w:rPr>
          <w:t>https://innovation.cms.gov/Files/x/bpcianalyticfile.xlsx</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November 2015, CMS released the Final Rule for the Comprehensive Care for Joint Replacement (CJR) model </w:t>
      </w:r>
      <w:hyperlink r:id="rId21" w:history="1">
        <w:r>
          <w:rPr>
            <w:rFonts w:ascii="arial" w:eastAsia="arial" w:hAnsi="arial" w:cs="arial"/>
            <w:b w:val="0"/>
            <w:i/>
            <w:strike w:val="0"/>
            <w:noProof w:val="0"/>
            <w:color w:val="0077CC"/>
            <w:position w:val="0"/>
            <w:sz w:val="20"/>
            <w:u w:val="single"/>
            <w:vertAlign w:val="baseline"/>
          </w:rPr>
          <w:t>(80 FR 73274</w:t>
        </w:r>
      </w:hyperlink>
      <w:r>
        <w:rPr>
          <w:rFonts w:ascii="arial" w:eastAsia="arial" w:hAnsi="arial" w:cs="arial"/>
          <w:b w:val="0"/>
          <w:i w:val="0"/>
          <w:strike w:val="0"/>
          <w:noProof w:val="0"/>
          <w:color w:val="000000"/>
          <w:position w:val="0"/>
          <w:sz w:val="20"/>
          <w:u w:val="none"/>
          <w:vertAlign w:val="baseline"/>
        </w:rPr>
        <w:t xml:space="preserve"> through 73554), the first test of episode-based payment model for Medicare FFS beneficiaries in which providers are required to participate. The CJR model, which began on April 1, 2016, focuses on the episode-of-care for lower-extremity joint replacement (LEJR) procedures. As discussed in the CJR Final Rule </w:t>
      </w:r>
      <w:hyperlink r:id="rId21" w:history="1">
        <w:r>
          <w:rPr>
            <w:rFonts w:ascii="arial" w:eastAsia="arial" w:hAnsi="arial" w:cs="arial"/>
            <w:b w:val="0"/>
            <w:i/>
            <w:strike w:val="0"/>
            <w:noProof w:val="0"/>
            <w:color w:val="0077CC"/>
            <w:position w:val="0"/>
            <w:sz w:val="20"/>
            <w:u w:val="single"/>
            <w:vertAlign w:val="baseline"/>
          </w:rPr>
          <w:t>(80 FR 73277),</w:t>
        </w:r>
      </w:hyperlink>
      <w:r>
        <w:rPr>
          <w:rFonts w:ascii="arial" w:eastAsia="arial" w:hAnsi="arial" w:cs="arial"/>
          <w:b w:val="0"/>
          <w:i w:val="0"/>
          <w:strike w:val="0"/>
          <w:noProof w:val="0"/>
          <w:color w:val="000000"/>
          <w:position w:val="0"/>
          <w:sz w:val="20"/>
          <w:u w:val="none"/>
          <w:vertAlign w:val="baseline"/>
        </w:rPr>
        <w:t xml:space="preserve"> LEJR episodes were chosen for the CJR model because they represent one of the most common high-expenditure, high-utilization procedures furnished to Medicare beneficiaries and have significant variation in episode spending. We believe this high volume, coupled with substantial variation in utilization and spending across individual providers and geographic regions, created a significant opportunity to test whether an episode payment model focused on a defined set of procedures could improve the quality and coordination of care, as well as result in savings to Medicare. Notably, both the BPCI initiative and the CJR model are focused on care that is related to an inpatient hospitalization, with CJR model and BPCI Model 2 episodes beginning with an inpatient hospitalization (anchor hospitalization) and extending up to 90 days post-hospital discharge.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9" w:history="1">
        <w:r>
          <w:rPr>
            <w:rFonts w:ascii="arial" w:eastAsia="arial" w:hAnsi="arial" w:cs="arial"/>
            <w:b w:val="0"/>
            <w:i/>
            <w:strike w:val="0"/>
            <w:noProof w:val="0"/>
            <w:color w:val="0077CC"/>
            <w:position w:val="0"/>
            <w:sz w:val="20"/>
            <w:u w:val="single"/>
            <w:vertAlign w:val="baseline"/>
          </w:rPr>
          <w:t>(81 FR 50805),</w:t>
        </w:r>
      </w:hyperlink>
      <w:r>
        <w:rPr>
          <w:rFonts w:ascii="arial" w:eastAsia="arial" w:hAnsi="arial" w:cs="arial"/>
          <w:b w:val="0"/>
          <w:i w:val="0"/>
          <w:strike w:val="0"/>
          <w:noProof w:val="0"/>
          <w:color w:val="000000"/>
          <w:position w:val="0"/>
          <w:sz w:val="20"/>
          <w:u w:val="none"/>
          <w:vertAlign w:val="baseline"/>
        </w:rPr>
        <w:t xml:space="preserve"> we proposed three new EPMs that, like the CJR model, would require provider participation in selected geographic areas. Episodes in the new EPMs would begin with admissions for hospitalizations in IPPS hospitals, and would extend 90 days post-hospital discharge. The episodes included in these three proposed EPMs would be AMI, CABG, and SHFFT excluding lower extremity joint replacement. The proposed AMI model included beneficiaries discharged under AMI MS-DRGs (280-282), representing IPPS admissions for AMI that are treated with medical management. The proposed AMI model also included beneficiaries discharged under PCI MS-DRGs (246-251) with AMI International Classification of Disease, Tenth Edition, Clinical Modification (ICD-10-CM) diagnosis codes for initial AMI diagnoses in the principal or secondary diagnosis code positions, representing IPPS admissions for AMI that are treated with PCIs. The proposed CABG model included beneficiaries discharged under CABG MS-DRGs (231-236), representing IPPS admissions for this coronary revascularization procedure irrespective of AMI diagnosis. The proposed SHFFT model included beneficiaries discharged under hip and femur procedures except major joint replacement MS-DRGs (480-482), representing IPPS admissions for hip-fixation procedures in the setting of hip fractures.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selection of LEJR episodes for the CJR model </w:t>
      </w:r>
      <w:hyperlink r:id="rId21" w:history="1">
        <w:r>
          <w:rPr>
            <w:rFonts w:ascii="arial" w:eastAsia="arial" w:hAnsi="arial" w:cs="arial"/>
            <w:b w:val="0"/>
            <w:i/>
            <w:strike w:val="0"/>
            <w:noProof w:val="0"/>
            <w:color w:val="0077CC"/>
            <w:position w:val="0"/>
            <w:sz w:val="20"/>
            <w:u w:val="single"/>
            <w:vertAlign w:val="baseline"/>
          </w:rPr>
          <w:t>(80 FR 73277),</w:t>
        </w:r>
      </w:hyperlink>
      <w:r>
        <w:rPr>
          <w:rFonts w:ascii="arial" w:eastAsia="arial" w:hAnsi="arial" w:cs="arial"/>
          <w:b w:val="0"/>
          <w:i w:val="0"/>
          <w:strike w:val="0"/>
          <w:noProof w:val="0"/>
          <w:color w:val="000000"/>
          <w:position w:val="0"/>
          <w:sz w:val="20"/>
          <w:u w:val="none"/>
          <w:vertAlign w:val="baseline"/>
        </w:rPr>
        <w:t xml:space="preserve"> we selected the AMI, CABG, and SHFFT episodes because they represent high-expenditure, high-volume episodes-of-care experienced by Medicare beneficiaries. Based on analysis of historical episodes beginning in CY 2012-2014, the average annual number of episodes that began with IPPS hospitalizations and extended 90 days post-hospital discharge, and therefore would have been included in the proposed models, is approximately 168,000 for AMI; 48,000 for CABG; and 109,000 for SHFFT. n13 The total annual Medicare spending for these historical episodes was approximately $ 4.1 billion, $ 2.3 billion, and $ 4.7 billion, respectively. n14 Each of the episodes provides different opportunities in an EPM to improve the coordination and quality of care, as well as efficiency of care during the episode, based on varying current patterns of utilization and Medicare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 Episodes for AMI, CABG, and SHFFT beneficiaries initiated by all U.S. IPPS hospitals not in Maryland and constructed using standardized Medicare FFS Parts A and B claims, as proposed in the proposed rule that began in CY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 Episodes for AMI, CABG, and SHFFT beneficiaries initiated by all U.S. IPPS hospitals not in Maryland and constructed using standardized Medicare FFS Parts A and B claims, as proposed in the proposed rule that began in CY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in contrast to LEJR episodes in the CJR model, which are predominantly elective and during which hospital readmissions are rare </w:t>
      </w:r>
      <w:r>
        <w:rPr>
          <w:rFonts w:ascii="arial" w:eastAsia="arial" w:hAnsi="arial" w:cs="arial"/>
          <w:b/>
          <w:i w:val="0"/>
          <w:strike w:val="0"/>
          <w:noProof w:val="0"/>
          <w:color w:val="000000"/>
          <w:position w:val="0"/>
          <w:sz w:val="20"/>
          <w:u w:val="none"/>
          <w:vertAlign w:val="baseline"/>
        </w:rPr>
        <w:t> [*197] </w:t>
      </w:r>
      <w:r>
        <w:rPr>
          <w:rFonts w:ascii="arial" w:eastAsia="arial" w:hAnsi="arial" w:cs="arial"/>
          <w:b w:val="0"/>
          <w:i w:val="0"/>
          <w:strike w:val="0"/>
          <w:noProof w:val="0"/>
          <w:color w:val="000000"/>
          <w:position w:val="0"/>
          <w:sz w:val="20"/>
          <w:u w:val="none"/>
          <w:vertAlign w:val="baseline"/>
        </w:rPr>
        <w:t xml:space="preserve"> and substantial post-acute care provider utilization is common, the proposed AMI, CABG, and SHFFT episodes have very different current patterns of care. Beneficiaries in these episodes commonly have chronic conditions that contribute to the initiation of the episodes and need both planned and unplanned care throughout the EPM episode following discharge from the initial hospitalization that begins the episode. Both AMI and CABG episodes primarily include beneficiaries with cardiovascular disease, a chronic condition which likely contributed to the acute events or procedures that initiate the episodes. About half the average AMI model historical episode spending was for the initial hospitalization, with the majority of spending following discharge from the initial hospitalization due to hospital readmissions, while there was relatively less spending on SNF services, Part B professional services, and hospital outpatient services. In CABG model historical episodes, about three-quarters of episode spending was for the initial hospitalization, with the remaining episode spending relatively evenly divided between Part B professional services and hospital readmissions, and a lesser percentage on SNF services. Similar to AMI episodes, post-acute care provider use was relatively uncommon in CABG model historical episodes, while hospital readmissions during CABG model historical episodes were relatively common. SHFFT model historical episodes also were accompanied by substantial spending for hospital readmissions, and post-acute care provider use in these episodes also was high. n15 The number of affected beneficiaries and potential impact of the models on quality and Medicare spending present an important opportunity to further the Administration's goal of shifting health care payments to support the quality of care over the quantity of services by promoting better coordination among health care providers and suppliers and greater efficiency in the care of beneficiaries in these models, while reducing Medicare expenditures. n16 Pay-for-performance episode payment models, such as the three EPMs proposed in the proposed rulemaking, financially incentivize improved quality of care and reduced cost by aligning the financial incentives of all providers and suppliers caring for model beneficiaries with these goals. This alignment leads to a heightened focus on care coordination and management throughout the episode that prioritizes the provision of those items and services which improve beneficiary outcomes and experience at the lowest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 Episodes for AMI, CABG, and SHFFT beneficiaries initiated by all U.S. IPPS hospitals not in Maryland and constructed using standardized Medicare FFS Parts A and B claims, as proposed in the proposed rule that end in CY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Sylvia Mathews Burwell, HHS Secretary, Progress Towards Achieving Better Care, Smarter Spending, Healthier People, </w:t>
      </w:r>
      <w:hyperlink r:id="rId22" w:history="1">
        <w:r>
          <w:rPr>
            <w:rFonts w:ascii="arial" w:eastAsia="arial" w:hAnsi="arial" w:cs="arial"/>
            <w:b w:val="0"/>
            <w:i/>
            <w:strike w:val="0"/>
            <w:noProof w:val="0"/>
            <w:color w:val="0077CC"/>
            <w:position w:val="0"/>
            <w:sz w:val="20"/>
            <w:u w:val="single"/>
            <w:vertAlign w:val="baseline"/>
          </w:rPr>
          <w:t>http://www.hhs.gov/blog/2015/01/26/progress-towards-better-care-smarter-spending-healthier-people.html</w:t>
        </w:r>
      </w:hyperlink>
      <w:r>
        <w:rPr>
          <w:rFonts w:ascii="arial" w:eastAsia="arial" w:hAnsi="arial" w:cs="arial"/>
          <w:b w:val="0"/>
          <w:i w:val="0"/>
          <w:strike w:val="0"/>
          <w:noProof w:val="0"/>
          <w:color w:val="000000"/>
          <w:position w:val="0"/>
          <w:sz w:val="20"/>
          <w:u w:val="none"/>
          <w:vertAlign w:val="baseline"/>
        </w:rPr>
        <w:t xml:space="preserve"> (January 26,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selected all of the proposed EPM episodes based on their clinical homogeneity, site-of-service, and MS-DRG assignment considerations. We anticipated these proposed new EPMs, like the CJR model, would benefit Medicare beneficiaries by improving the coordination and transition of care among various care settings to facilitate beneficiaries' return to their communities as their recoveries progress, improving the coordination of items and services paid through Medicare FFS, encouraging provider investment in infrastructure and redesigned care processes for higher quality and more efficient service delivery, and incentivizing higher value care across the inpatient and post-acute care spectrum spanning the episode-of-care </w:t>
      </w:r>
      <w:hyperlink r:id="rId21" w:history="1">
        <w:r>
          <w:rPr>
            <w:rFonts w:ascii="arial" w:eastAsia="arial" w:hAnsi="arial" w:cs="arial"/>
            <w:b w:val="0"/>
            <w:i/>
            <w:strike w:val="0"/>
            <w:noProof w:val="0"/>
            <w:color w:val="0077CC"/>
            <w:position w:val="0"/>
            <w:sz w:val="20"/>
            <w:u w:val="single"/>
            <w:vertAlign w:val="baseline"/>
          </w:rPr>
          <w:t>(80 FR 73276).</w:t>
        </w:r>
      </w:hyperlink>
      <w:r>
        <w:rPr>
          <w:rFonts w:ascii="arial" w:eastAsia="arial" w:hAnsi="arial" w:cs="arial"/>
          <w:b w:val="0"/>
          <w:i w:val="0"/>
          <w:strike w:val="0"/>
          <w:noProof w:val="0"/>
          <w:color w:val="000000"/>
          <w:position w:val="0"/>
          <w:sz w:val="20"/>
          <w:u w:val="none"/>
          <w:vertAlign w:val="baseline"/>
        </w:rPr>
        <w:t xml:space="preserve"> However, improving value in the EPMs through these means requires a cohort of beneficiaries with similar clinical features such that coordination and care redesign efforts can be targeted. Therefore, we proposed EPM episodes built on common pathologic and treatment processes; that is, beneficiaries included in both the AMI and CABG models have cardiovascular pathologies that drive their clinical courses during the episodes, and SHFFT model beneficiaries all share similar diagnoses of hip fracture and treatment with hip fixation that drive their clinical courses during their respective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on our overall proposal of three new EPMs in which participation would be required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commended CMS for its continued commitment to testing episode-based payments demonstrated through the proposal to implement three new EPMs. MedPAC identified conditions with high post-acute care use as an appropriate setting to test bundled payments that would offer ample opportunities to improve care and lower spending. MedPAC also suggested that another consideration for bundled payments is whether the condition has a relatively uniform clinical pathway that simplifies the rules defining and pricing the bundle. In addition, MedPAC emphasized that conditions that lend themselves to patient selection should be avoided in bundled payment models, at least in the near term, to limit the undesirable provider responses to financial incentives that may occur. Other commenters expressed appreciation for the opportunity to test innovative care models under the Innovation Center authority. They stated that EPMs could hold significant promise for furthering the Triple Aim goals of providing high quality care at lower cost to produce better outcomes and advance population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some commenters expressed concern about the pace of changes proposed by CMS through its models and the associated expectation and burden that rapid changes in the delivery system and related payment structure place on hospitals and providers. Some commenters noted that CMS has been swift in releasing rules aimed at improving the quality of care delivered, reducing the cost of care, and coordinating patient care across multiple settings. The commenters pointed out the large volume of significant requirements announced by CMS over the last 2 years, including MACRA, the CJR model, and the proposed Part B drug payment model, as well as alternative payment models and programs, including the Shared Savings Program, Next Generation ACOs, BPCI initiative, and OCM, coupled with state level initiatives. The commenters believe the breadth and amount of new activities make it difficult to understand how the various models and program will interact with each other and impact individual delivery systems. While directed toward laudable goals, the commenters encouraged CMS to be vigilant in its review and analysis of these models and programs and to consider the impact and burden on hospitals as it continues to release models and programs impacting the hospital community. The commenters believe it is in everyone's best interest that these models are successful, yet the pace and complexity of implementation likely will be a critical factor in the achievement of these goals. Therefore, they encouraged CMS to slow the pace of EPM implementation to establish "proof of concept" through the CJR model and BPCI Model 2 results before implementing new EPMs where participation is required. Without adequate time to understand the appropriate role these payment innovations play in transforming care delivery and build upon lessons learned and best practices, the commenters </w:t>
      </w:r>
      <w:r>
        <w:rPr>
          <w:rFonts w:ascii="arial" w:eastAsia="arial" w:hAnsi="arial" w:cs="arial"/>
          <w:b/>
          <w:i w:val="0"/>
          <w:strike w:val="0"/>
          <w:noProof w:val="0"/>
          <w:color w:val="000000"/>
          <w:position w:val="0"/>
          <w:sz w:val="20"/>
          <w:u w:val="none"/>
          <w:vertAlign w:val="baseline"/>
        </w:rPr>
        <w:t> [*198] </w:t>
      </w:r>
      <w:r>
        <w:rPr>
          <w:rFonts w:ascii="arial" w:eastAsia="arial" w:hAnsi="arial" w:cs="arial"/>
          <w:b w:val="0"/>
          <w:i w:val="0"/>
          <w:strike w:val="0"/>
          <w:noProof w:val="0"/>
          <w:color w:val="000000"/>
          <w:position w:val="0"/>
          <w:sz w:val="20"/>
          <w:u w:val="none"/>
          <w:vertAlign w:val="baseline"/>
        </w:rPr>
        <w:t xml:space="preserve"> concluded that both CMS and the provider community would miss an important opportunity to create programs that will advance patient care and successfully transform systems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recommended that CMS establish a solid framework upon which to build payment initiatives and transform care. Before finalizing any more bundled payment initiatives, some commenters believe that CMS should articulate its vision and set a clear path for innovative payment models, establishing a consistent, predictable and transparent framework, giving providers the necessary tools to succeed in creating a higher-quality, more efficient health care system. The commenters suggested that the framework should include tools such as incorporating a predictable pricing trend factor so that participants can make decisions about investing in care design in the context of stable future prices; providing necessary risk adjustment methodologies; releasing consistent quality measures and reporting requirements and reliable target pricing; and holding fast to the principle of attributing no more than one patient to one bundled payment initiative at a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expressed concerns about CMS' proposal to test three new bundled payment models. The commenters contended that the proposed EPMs would make treatment more difficult to access for high need patients; discourage truly innovative approaches to managing underlying health problems; encourage unnecessary surgeries; encourage further consolidation in the health care industry; provide fewer choices for consumers; and result in higher prices for private payers. One commenter requested that CMS present a much more comprehensive analytic work to understand the prevalence and needs of the beneficiaries who have serious illness or disabilities prior to and during the episode and who therefore require substantial attention to the elements of comprehensive care and quality measurement that are tailored for these beneficiaries prior to implementing the EPMs. Several commenters recommended CMS not to limit alternative payment models to episode payment approaches because for many types of patients, the biggest opportunity for improving quality and achieving savings is avoiding unnecessary episodes and events, and not simply paying differently for episodes and events when they occur. Some commenters strongly cautioned against EPMs that may subordinate future provider-led models. Other commenters recommended CMS to develop and implement payment reform models that incorporate population-based models, rather than look exclusively at episode payment models which can hamper growth of population-based models by limiting their financial opportunity.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of many commenters for CMS' continued development of new episode payment models and agree with these commenters that episode payment models provide substantial opportunity to improve the quality and efficiency of care for specific clinical conditions. We also agree that bundled payment models are just one strategy to incentivize the health care system moving toward the provision of more accountable, coordinated, high-value care, while provider-led and population-based models, as well as other types of payment reform models, play complementary roles. The Innovation Center is continuing to develop, implement, and evaluate a variety of different types of models that test different approaches to achieving better care, lower costs, and improved health. The three EPMs are part of that portfolio of models. Issues of concern raised by some of the commenters about the proposed EPMs, including the implementation timeline, are discussed in the specific sections of this final rule that address the relevant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SHFFT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SHFFT model was selected to complement the CJR model. We proposed to test the SHFFT model in most of the same hospitals participating in the CJR model as discussed in section III.B.4.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so that all surgical treatment options for Medicare beneficiaries with hip fracture (hip arthroplasty and fixation) would be included in episode payment models. Hip fracture is a serious and sometimes catastrophic event for Medicare beneficiaries. In 2010, 258,000 people aged 65 and older were admitted to the hospital for hip fracture, with an estimated $ 20 billion in lifetime cost for all hip fractures in the United States in a single year. n17 In 2013, fracture of the neck of the femur (the most common location for hip fracture) was the eighth most common principal discharge diagnosis for hospitalized Medicare FFS beneficiaries, constituting 2.7 percent of discharges. n18 Mortality associated with hip fracture is 5-10 percent after 1 month and approximately 33 percent at 1 year. n19 Hip arthroplasty and hip fixation, or "hip pinning," represent the two broad surgical options for treating hip fractures. n20 The CJR episodes begin with admission to acute care hospitals for LEJR procedures assigned to MS-DRG 469 (Major joint replacement or reattachment of lower extremity with major complications or comorbidities) or MS-DRG 470 (Major joint replacement or reattachment of lower extremity without major complications or comorbidities) upon beneficiary discharge and paid under the IPPS, including total and partial hip replacement in the setting of hip fracture </w:t>
      </w:r>
      <w:hyperlink r:id="rId21" w:history="1">
        <w:r>
          <w:rPr>
            <w:rFonts w:ascii="arial" w:eastAsia="arial" w:hAnsi="arial" w:cs="arial"/>
            <w:b w:val="0"/>
            <w:i/>
            <w:strike w:val="0"/>
            <w:noProof w:val="0"/>
            <w:color w:val="0077CC"/>
            <w:position w:val="0"/>
            <w:sz w:val="20"/>
            <w:u w:val="single"/>
            <w:vertAlign w:val="baseline"/>
          </w:rPr>
          <w:t>(80 FR 73280).</w:t>
        </w:r>
      </w:hyperlink>
      <w:r>
        <w:rPr>
          <w:rFonts w:ascii="arial" w:eastAsia="arial" w:hAnsi="arial" w:cs="arial"/>
          <w:b w:val="0"/>
          <w:i w:val="0"/>
          <w:strike w:val="0"/>
          <w:noProof w:val="0"/>
          <w:color w:val="000000"/>
          <w:position w:val="0"/>
          <w:sz w:val="20"/>
          <w:u w:val="none"/>
          <w:vertAlign w:val="baseline"/>
        </w:rPr>
        <w:t xml:space="preserve"> Therefore, the SHFFT model, which would test an additional episode payment for hip fixation, provides an opportunity to complete the transition to episode payment for the surgical treatment and recovery of the significant clinical condition of hip fracture.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 Smith et al. Increase in Disability Prevalence Before Hip Fracture. J Am Geriatr Soc. 2015 Oct;63(10):2029-35.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 Krumholz HM, Nuti SV, Downing NS, Normand ST, Wang Y. Mortality, Hospitalizations, and Expenditures for the Medicare Population Aged 65 Years or Older, 1999-2013. JAMA. 2015; 314(4):355-365.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 Parker et al. Hip Fracture. BMJ. 2006 Jul 1;333(7557):27-30.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American Academy of Orthopaedic Surgeons, OrthoInfo: Hip Fractures, </w:t>
      </w:r>
      <w:hyperlink r:id="rId23" w:history="1">
        <w:r>
          <w:rPr>
            <w:rFonts w:ascii="arial" w:eastAsia="arial" w:hAnsi="arial" w:cs="arial"/>
            <w:b w:val="0"/>
            <w:i/>
            <w:strike w:val="0"/>
            <w:noProof w:val="0"/>
            <w:color w:val="0077CC"/>
            <w:position w:val="0"/>
            <w:sz w:val="20"/>
            <w:u w:val="single"/>
            <w:vertAlign w:val="baseline"/>
          </w:rPr>
          <w:t>http://orthoinfo.aaos.org</w:t>
        </w:r>
      </w:hyperlink>
      <w:r>
        <w:rPr>
          <w:rFonts w:ascii="arial" w:eastAsia="arial" w:hAnsi="arial" w:cs="arial"/>
          <w:b w:val="0"/>
          <w:i w:val="0"/>
          <w:strike w:val="0"/>
          <w:noProof w:val="0"/>
          <w:color w:val="000000"/>
          <w:position w:val="0"/>
          <w:sz w:val="20"/>
          <w:u w:val="none"/>
          <w:vertAlign w:val="baseline"/>
        </w:rPr>
        <w:t xml:space="preserve"> (April 12,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support for the SHFFT model, which CMS proposed to implement in the same MSAs as the CJR model, which was implemented beginning in April 2016, and in particular expressed appreciation for the design consistency proposed for the SHFFT model with the CJR model and the two proposed cardiac EPMs. Analysis by MedPAC found that most SHFFT episodes include at least some post-acute care services use and that the spending on post-acute care services comprises a sizable share of total episode spending, about one-third. MedPAC concluded that SHFFT was a good candidate for bundled payment. MedPAC also reasoned that the SHFFT episode would give hospitals already participating in the CJR model the experience of managing care for hip and femur fracture cases that typically present emergently, rather than as the planned, elective surgery that is most common for lower extremity joint replacement. MedPAC, which recommended proceeding only with the SHFFT model in the context of CMS' proposal for three new EPMs, maintained that this </w:t>
      </w:r>
      <w:r>
        <w:rPr>
          <w:rFonts w:ascii="arial" w:eastAsia="arial" w:hAnsi="arial" w:cs="arial"/>
          <w:b/>
          <w:i w:val="0"/>
          <w:strike w:val="0"/>
          <w:noProof w:val="0"/>
          <w:color w:val="000000"/>
          <w:position w:val="0"/>
          <w:sz w:val="20"/>
          <w:u w:val="none"/>
          <w:vertAlign w:val="baseline"/>
        </w:rPr>
        <w:t> [*199] </w:t>
      </w:r>
      <w:r>
        <w:rPr>
          <w:rFonts w:ascii="arial" w:eastAsia="arial" w:hAnsi="arial" w:cs="arial"/>
          <w:b w:val="0"/>
          <w:i w:val="0"/>
          <w:strike w:val="0"/>
          <w:noProof w:val="0"/>
          <w:color w:val="000000"/>
          <w:position w:val="0"/>
          <w:sz w:val="20"/>
          <w:u w:val="none"/>
          <w:vertAlign w:val="baseline"/>
        </w:rPr>
        <w:t xml:space="preserve"> would simplify the set of models that providers are adapting to and simplify the administrative requirements for CMS because CMS would not need to select new markets for testing the cardiac EPMs. Other commenters found it positive that CMS noted that there are differences between CJR and SHFFT beneficiaries, notably the latter being more likely to have multiple chronic conditions and frailty.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many commenters opposed CMS' proposal for the SHFFT model, encouraging CMS either to abandon the model altogether or to substantially delay implementation pending additional CJR model experience and evaluation results from BPCI Model 2 regarding SHFFT episodes. These commenters recommended that CMS proceed at a more deliberate pace and simplify the proposed rule for the three different EPMs by eliminating the SHFFT model because CMS is already testing an episode payment model that requires participation through the CJR model. Therefore, they believe that CMS should test only a cardiac bundled payment model in a different clinical area as a next step in required bundled payment models. The commenters stated that the SHFFT model would be overly burdensome to providers who just began participating in the CJR model in April 2016 and had insufficient financial safeguards for hospitals and quality safeguards for beneficiaries, including no quality measures specific to SHFFT model beneficiaries, to substantially improve beneficiaries' care experience through successful surgery and recovery. Several commenters stated that the proposed SHFFT model was not a true value-based payment model because the clinical outcome quality measures that were proposed did not capture hip fracture patients. Given CMS' proposal to implement the SHFFT model in the same MSAs as the CJR model, the commenters stated that due to limited implementation time of the CJR model, it would be inappropriate to add the very sick and frail SHFFT cohort to the relatively stable CJR model cohort without substantial investigation as to how to proceed with adequate monitoring against harm. They also recommended not proceeding without risk adjustment to account for variable costs experienced by hospitals treating different populations of SHFFT model beneficiaries. Several commenters claimed that because SHFFT beneficiaries would receive emergency care, care coordination would be less predictable and no planning would be possible prior to hospital admission, so the burden on potential family caregivers would be escalated in comparison to the CJR model if there was only a short hospital and/or SNF stay. The commenters stated that in comparison with beneficiaries undergoing elective LEJR, those with hip fracture require more time and resources from providers to optimize planning and rehabilitation and, therefore, limited efficiencies would be possible for SHFFT model beneficiaries without significant risk to the quality of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perspective of some commenters that the opportunities for care redesign to improve quality and reduce spending are substantial for Medicare beneficiaries undergoing SHFFT procedures. We agree with those commenters about the potential value of the SHFFT model for beneficiaries, providers, and CMS to complement the CJR model by testing bundled payment for beneficiaries requiring emergency lower extremity joint surgery compared to testing episode payment for lower extremity surgeries that are mainly elective. We also acknowledge the concerns of the commenters around various proposed design elements of the SHFFT model, specifically the lack of risk adjustment to protect SHFFT model participants from undue financial risk for complex beneficiaries and the lack of quality measures that are specific to SHFFT beneficiaries in the pay-for-performance methodology to reward SHFFT model participants that improve quality for these beneficiaries and protect SHFFT beneficiaries from harm due to the model. We refer to sections III.D.4.b.(2) and III.E.2.d. of this final rule for further discussion of the comments on these issues and our 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appreciate the concerns of commenters regarding the proposed implementation of the SHFFT model in the same MSAs as CJR participant hospitals, and the additional responsibilities this model would place on participants early in their CJR model implementation experience. However, we continue to believe that there are efficiencies in care redesign that can be achieved by testing the models concurrently at the same hospitals. We note that those commenters opposing CMS' proposal to implement the SHFFT model did not dispute the care redesign opportunities identified by CMS for such a model. We refer to section III.D.2.a. of this final rule for a discussion of the comments on the proposed implementation timeline for the SHFFT model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to implement the SHFFT model, with modifications to specific policies as described throughout this final rule. We refer to section III.D.2.a. of this final rule for the implementation timeline that applies to the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AMI and CABG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AMI and CABG models, which we proposed to be tested at a single set of hospitals as discussed in section III.B.5.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were selected to include all beneficiaries who have an AMI treated medically or with revascularization with PCI, as well as all beneficiaries who undergo CABG (whether performed during the care of an AMI or performed electively for stable ischemic heart disease or other indication). Both cardiac models represent clinical conditions that result in a significant burden of morbidity and expenditures in the Medicare population. CABG typically is the preferred revascularization modality for patients with ST (the part of an electrocardiogram between the QRS complex and the T wave) elevation AMI where the coronary anatomy is not amenable to PCI or there is a mechanical complication (for example, ventricular septal defect, rupture of the free wall of the ventricle, or papillary-muscle rupture with severe mitral regurgitation); for patients with CAD other than ST elevation AMI where there is left main coronary artery disease or multivessel disease with complex lesions; and for patients with clinically significant CAD in at least one vessel and refractory symptoms despite medical therapy and PCI. n21 Despite the greater acute morbidity related to major cardiothoracic surgery, CABG is associated with lower longer-term rates of major adverse cardiac and cerebrovascular events in comparison to PCI for certain groups of patients. n22 Moreover, a recent study found that in a group of patients with ischemic cardiomyopathy, the rates of death from any cause, death from cardiovascular causes, and death from any cause or hospitalization for cardiovascular causes were significantly lower over 10 years among patients who underwent CABG in addition to receiving medical </w:t>
      </w:r>
      <w:r>
        <w:rPr>
          <w:rFonts w:ascii="arial" w:eastAsia="arial" w:hAnsi="arial" w:cs="arial"/>
          <w:b/>
          <w:i w:val="0"/>
          <w:strike w:val="0"/>
          <w:noProof w:val="0"/>
          <w:color w:val="000000"/>
          <w:position w:val="0"/>
          <w:sz w:val="20"/>
          <w:u w:val="none"/>
          <w:vertAlign w:val="baseline"/>
        </w:rPr>
        <w:t> [*200] </w:t>
      </w:r>
      <w:r>
        <w:rPr>
          <w:rFonts w:ascii="arial" w:eastAsia="arial" w:hAnsi="arial" w:cs="arial"/>
          <w:b w:val="0"/>
          <w:i w:val="0"/>
          <w:strike w:val="0"/>
          <w:noProof w:val="0"/>
          <w:color w:val="000000"/>
          <w:position w:val="0"/>
          <w:sz w:val="20"/>
          <w:u w:val="none"/>
          <w:vertAlign w:val="baseline"/>
        </w:rPr>
        <w:t xml:space="preserve"> therapy than among those who received medical therapy alone. n23 While about 30 percent of CABGs are performed during the care of AMIs, we proposed to include these particular AMI beneficiaries generally in the same episode as CABG for other indications, rather than in the AMI episode, since we anticipate hospitals will seek to improve the quality and efficiency of care for that surgical intervention, regardless of indication. n24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 Alexander JH, Smith PK. Coronary-Artery Bypass Grafting. N Engl J Med. 2016 May 19;374(2):1954-1964.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 Sepehripour et al. Developments in surgical revascularization to achieve improved morbidity and mortality. Expert Rev Cardiovasc Ther. 2016 Mar;14(3):367-79. doi: 10.1586/14779072.2016.1123619. Epub 2015 Dec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 Velazquez et al. Coronary Artery Bypass Surgery in Patients with Ischemic Cardiomyopathy. N Engl J Med. 2016 Apr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 Episodes for CABG beneficiaries initiated by all U.S. IPPS hospitals not in Maryland and constructed using standardized Medicare FFS Parts A and B claims, as proposed in the proposed rule that end in CY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AMI as the episode for an EPM because we recognized it as a significant clinical condition for which evidence-based clinical guidelines are available for the most common AMI scenarios that begin with a beneficiary's presentation for urgent care, most commonly to a hospital emergency department. The hospital phase involves medical management for all patients, as well as potential revascularization, most commonly with PCI. Secondary prevention and plans for long-term management begin early during the hospitalization, extend following hospital discharge, and are addressed in clinical guidelines. n25 n26 The AMI model is the first Innovation Center episode payment model that includes substantially different clinical care pathways (medical management and PCI) for a single clinical condition in one episode in a model and, as such, represents an important next step in testing episode payment models for clinical conditions which involve a variety of different approaches to treatment and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 Amsterdam EA, Wenger NK, Brindis RG, Casey DE Jr, Ganiats TG, Holmes DR Jr, Jaffe AS, Jneid H, Kelly RF, Kontos MC, Levine GN, Liebson PR, Mukherjee D, Peterson ED, Sabatine MS, Smalling RW, Zieman SJ. 2014 ACC/AHA guideline for the management of patients with non-ST-elevation acute coronary syndromes: a report of the American College of Cardiology/American Heart Association Task Force on Practice Guidelines. Circulation. 2014;130:e344-e426.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 O'Gara PT, Kushner FG, Ascheim DD, Casey DE Jr, Chung MK, de Lemos JA, Ettinger SM, Fang JC, Fesmire FM, Franklin BA, Granger CB, Krumholz HM, Linderbaum JA, Morrow DA, Newby LK, Ornato JP,Ou N, Radford MJ, Tamis-Holland JE, Tommaso CL, Tracy CM, Woo YJ, Zhao DX. 2013 ACCF/AHA guideline for the management of ST-elevation myocardial infarction: a report of the American College of Cardiology Foundation/American Heart Association Task Force on Practice Guidelines. Circulation. 2013;127: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American Heart Association estimates that every 42 seconds, someone in the United States has a myocardial infarction. n27 AMI remains one of the most common hospital diagnoses among Medicare FFS beneficiaries, and almost 20 percent of beneficiaries discharged for AMI are readmitted within 30 days of hospital discharge. n28 n29 In 2013, AMI was the sixth most common principal discharge diagnosis for hospitalized Medicare FFS beneficiaries, constituting 2.9 percent of discharges. n30 Of the approximately 395,000 Medicare FFS beneficiaries with short-term acute care hospital discharges (excluding Maryland) for AMI in FY 2014, 60 percent were discharged under MS-DRGs proposed to be included in the AMI model, specifically 33 percent under AMI MS-DRGs and 25 percent under PCI MS-DRGs. n31 An additional 3 percent of beneficiaries were in MS-DRGs for death from AMI in the hospital. Although 5 percent of beneficiaries with hospital discharges for AMI were discharged under CABG MS-DRGs, we note that because both PCI and fibrinolysis can restore blood flow in an acutely occluded coronary artery more quickly than CABG, these interventions are currently preferred to CABG in most cases of AMI. Furthermore, over recent years cardiovascular clinical practice patterns have generally shifted away from surgical treatment of coronary artery occlusion toward percutaneous, catheter-based interventions. n32 The remaining 34 percent of beneficiaries with AMI diagnoses were distributed across a heterogeneous group of over 300 other MS-DRGs, such as septicemia, respiratory system diagnosis with ventilator support, and major cardiovascular procedures. For this latter group of beneficiaries, the AMI diagnosis appeared in a secondary position on the hospital claim in more than 90 percent of the cases, therefore most likely representing circumstances where the beneficiary while hospitalized for another clinical condition experienced an AMI during the hospital stay. By focusing the AMI model on AMIs treated medically or with revascularization with PCI, we proposed to test a condition-specific EPM that was discretely defined and includes a significant majority of beneficiaries with AMI in the AMI model. In CYs 2012-2014, the average Medicare spending for an AMI episode that extends 90 days post-hospital discharge was approximately $ 24,200. n33 From the AMI model, we expect to better understand the impact that such an EPM can have on efficiency and quality of care for beneficiaries across the entire spectrum of AMI care, including diagnosis, treatment, and recovery, as well as short-term secondary prevention.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 Mozaffarian D, Benjamin EJ, Go AS, Arnett DK, Blaha MJ, Cushman M, Das SR, de Ferranti S, Despres J-P, Fullerton HJ, Howard VJ, Huffman MD, Isasi CR, Jimenez MC, Judd SE, Kissela BM, Lichtman JH, Lisabeth LD, Liu S, Mackey RH, Magid DJ, McGuire DK, Mohler ER III, Moy CS, Muntner P, Mussolino ME, Nasir K, Neumar RW, Nichol G, Palaniappan L, Pandey DK, Reeves MJ, Rodriguez CJ, Rosamond W, Sorlie PD, Stein J, Towfighi A, Turan TN, Virani SS, Woo D, Yeh RW, Turner MB; on behalf of the American Heart Association Statistics Committee and Stroke Statistics Subcommittee. Heart disease and stroke statistics--2016 update: a report from the American Heart Association. Circulation. 2016 Jan 26; 133(4):447-54.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 Krumholz HM, Nuti SV, Downing NS, Normand ST, Wang Y. Mortality, Hospitalizations, and Expenditures for the Medicare Population Aged 65 Years or Older, 1999-2013. JAMA. 2015; 314(4):355-365.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 Dharmarajan K, Hsieh AF, Lin Z, et al. Diagnoses and Timing of 30-Day Readmissions After Hospitalization for Heart Failure, Acute Myocardial Infarction, or Pneumonia. JAMA. 2013; 309(4):355-363.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 Krumholz HM, Nuti SV, Downing NS, Normand ST, Wang Y. Mortality, Hospitalizations, and Expenditures for the Medicare Population Aged 65 Years or Older, 1999-2013. JAMA. 2015; 314(4):355-365.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 Inpatient claims from all U.S. IPPS hospitals not in Maryland were derived from the October 2013--September 2014 Inpatient Claims File located in the Chronic Conditions Warehouse.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 Epstein et al. JAMA. 2011 May 4; 305(17):1769-1776.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 Episodes for beneficiaries with AMI diagnosis initiated by all U.S. IPPS hospitals not in Maryland and constructed using standardized Medicare FFS Parts A and B claims, as proposed in the proposed rule that began in CYs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Beneficiaries in the AMI and CABG models will all have CAD. In 2010 in the U.S., the prevalence of CAD in the population 65 years and older was about 20 percent. n34 Patients with CAD also often experience other significant health conditions, including diabetes. To improve care for patients with CAD, most approaches in the private and public sectors focus on improving the efficiency and quality of care around procedures such as PCI and CABG. The BPCI models are an example of such an approach. As discussed previously in this section, our proposal for the AMI model extends beyond a procedure-based EPM to include beneficiaries hospitalized for medical management or PCI for AMI in a single EPM, and we proposed to test the CABG model, which also would include beneficiaries with AMI, at the same participant hospitals. We believe that hospitalization for AMI, whether accompanied solely by medical management or including revascularization during the initial hospitalization or in a planned CABG </w:t>
      </w:r>
      <w:r>
        <w:rPr>
          <w:rFonts w:ascii="arial" w:eastAsia="arial" w:hAnsi="arial" w:cs="arial"/>
          <w:b/>
          <w:i w:val="0"/>
          <w:strike w:val="0"/>
          <w:noProof w:val="0"/>
          <w:color w:val="000000"/>
          <w:position w:val="0"/>
          <w:sz w:val="20"/>
          <w:u w:val="none"/>
          <w:vertAlign w:val="baseline"/>
        </w:rPr>
        <w:t> [*201] </w:t>
      </w:r>
      <w:r>
        <w:rPr>
          <w:rFonts w:ascii="arial" w:eastAsia="arial" w:hAnsi="arial" w:cs="arial"/>
          <w:b w:val="0"/>
          <w:i w:val="0"/>
          <w:strike w:val="0"/>
          <w:noProof w:val="0"/>
          <w:color w:val="000000"/>
          <w:position w:val="0"/>
          <w:sz w:val="20"/>
          <w:u w:val="none"/>
          <w:vertAlign w:val="baseline"/>
        </w:rPr>
        <w:t xml:space="preserve"> readmission, is a sentinel event indicating the need for an increased focus on condition-specific management, as well as on care coordination and active management to prevent future acute events, both during the AMI and CABG episodes and beyond. We also believe that improving the quality and efficiency of CAD care over a long period of time is important given the chronic nature of this condition that has serious implications for beneficiary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 National Center for Chronic Disease Prevention and Health Promotion, Division for Heart Disease and Stroke Prevention, August 10,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AMI and CABG models provide an opportunity for us to incentivize CAD-specific care management and care coordination for AMI and CABG model beneficiaries that lays the groundwork for longer-term improvements in quality and efficiency of care for beneficiaries with CAD. We note that the quality measures proposed for use in the pay-for-performance methodologies of the AMI and CABG models do not currently include longer-term outcomes or patient experience outside of the AMI or CABG episode itself, as discussed in sections III.E.2.b. and c.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although we were interested in comments about potential future measures that could incorporate longer-term outcomes. Moreover, as discussed in section VI.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we also proposed to test a cardiac rehabilitation (CR)/intensive cardiac rehabilitation (ICR) incentive payment, hereinafter CR incentive payment, in AMI and CABG model participants located in some of the MSAs selected for AMI and CABG model participation, as well as in hospitals located in some of the MSAs that are not selected for AMI or CABG model participation. We proposed to evaluate the effects of the CR incentive payment in the context of an episode payment model and Medicare FFS on utilization of CR/ICR, as well as short-term (within the period of time extending 90 days following hospital discharge from an AMI or CABG hospitalization) and longer-term outcomes. We believe this test may result in valuable findings about effective strategies to increase utilization of CR/ICR services that have a strong evidence-base for their effectiveness but a long history of underutilization.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number of commenters expressed support for the proposed AMI and CABG models, characterizing the proposals as a good first step toward achieving greater focus not only on cardiac care quality improvement but also care coordination for the anchor admission through post-acute care management of patients and families. Several commenters believe that CMS' proposal to implement separate models for beneficiaries undergoing treatment for AMI versus CABG surgery was sensible given the typical recovery pathways experienced by beneficiaries. One commenter noted that while the majority of beneficiaries with AMI or CABG have CAD, not all will have this condition as CMS stated in the proposed rule </w:t>
      </w:r>
      <w:hyperlink r:id="rId9" w:history="1">
        <w:r>
          <w:rPr>
            <w:rFonts w:ascii="arial" w:eastAsia="arial" w:hAnsi="arial" w:cs="arial"/>
            <w:b w:val="0"/>
            <w:i/>
            <w:strike w:val="0"/>
            <w:noProof w:val="0"/>
            <w:color w:val="0077CC"/>
            <w:position w:val="0"/>
            <w:sz w:val="20"/>
            <w:u w:val="single"/>
            <w:vertAlign w:val="baseline"/>
          </w:rPr>
          <w:t>(81 FR 50807).</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commended CMS for developing a clinically appropriate definition for AMI because AMI is a condition that can require a range of treatments, including both medical treatments and PCI. The commenters observed that the combination of AMI medical management and PCI into a single AMI episode is likely to present AMI model participants with greater opportunity than if the hospital managed just one of the MS-DRG groupings. They stated that the proposal to include both medical and PCI MS-DRG groupings in the AMI model would increase each hospital's AMI episode volume relative to a single MS-DRG grouping, and further noted that sufficient volume in any bundled payment model is key to ensuring that financial results are not primarily driven by random variation.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observed that the proposed AMI model would be the first Innovation Center bundled payment model to combine medical and procedural care in a single episode and that the majority of beneficiaries in the AMI model would be experiencing a life-threatening emergency. These commenters believe the proposed AMI model has the potential for patient harm and serious unintended consequences and recommended CMS to maintain a dialogue with practicing clinicians from medical specialty and subspecialty societies so that unintended consequences are caught early. One commenter recommended that CMS refocus the proposed AMI model to be treatment-based, separating beneficiaries with AMI into two different treatment-based EPMs based on medical management or PCI. The commenter contended that this approach would be more straightforward for model participants and allow CMS to conduct longer-term analyses of BPCI-like models in a more representative cross-section of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recommended that CMS pursue only the CABG model, arguing that the proposed AMI model, with complex, care pathway-dependent prices and transfer pathways, would influence attribution and result in serious uncertainties for AMI model participants. One commenter reasoned that isolated CABG procedures are particularly well-positioned for a bundled payment model that requires participation because, despite the availability of robust clinical guidelines, variability in the costs and outcomes of CABG persist. The commenter noted that other entities, such as Arkansas and Tennessee Medicaid, Washington State's Bree Collaborative, and commercial payers, have seen the potential to improve the cost and quality of CABG through the implementation of bundled payments. Several commenters stated that initial implementation of the CABG model alone would allow CABG model participants to focus efforts on a specific population that includes the opportunity to excel in the care of CAD and gain some experience in the care of emergent patients. This limited implementation strategy would allow model participants to start to develop systems and models of care that address the unique needs of these populations in a value-driven equation. The commenters added that as hospitals work through implementation and gain experience with the CABG model, CMS could then phase in the inclusion of the much more complicated AMI model, which would introduce a myriad of factors that would add to the complexity of EPMs in which the hospital was a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who did not favor implementation of the proposed AMI model reasoned that, in addition to the built-in incentives of MS-DRGs that currently reward hospitals and physicians for complications that occur during the beneficiary's hospitalization by providing a higher IPPS payment for beneficiaries with complications, the proposed AMI model lacked incentives to manage beneficiaries to reduce CAD complications such as AMI. Instead, the commenter stated that the proposed AMI model would incentivize admitting patients who are marginally symptomatic for AMI that is a complication of CAD, contrary to the overall goals of EPMs to lower the incidence of complications. The commenter cited a body of research that has shown that optimal management of CAD can significantly lower the incidence of AMI. The commenter recommended CMS to move toward condition-specific episode payment defined by diagnosis codes, and to halt implementation of an event-based EPM for AMI that is, in itself, a complication from the lack of optimal management of CAD. The commenter also stated that CMS should implement site-agnostic </w:t>
      </w:r>
      <w:r>
        <w:rPr>
          <w:rFonts w:ascii="arial" w:eastAsia="arial" w:hAnsi="arial" w:cs="arial"/>
          <w:b/>
          <w:i w:val="0"/>
          <w:strike w:val="0"/>
          <w:noProof w:val="0"/>
          <w:color w:val="000000"/>
          <w:position w:val="0"/>
          <w:sz w:val="20"/>
          <w:u w:val="none"/>
          <w:vertAlign w:val="baseline"/>
        </w:rPr>
        <w:t> [*202] </w:t>
      </w:r>
      <w:r>
        <w:rPr>
          <w:rFonts w:ascii="arial" w:eastAsia="arial" w:hAnsi="arial" w:cs="arial"/>
          <w:b w:val="0"/>
          <w:i w:val="0"/>
          <w:strike w:val="0"/>
          <w:noProof w:val="0"/>
          <w:color w:val="000000"/>
          <w:position w:val="0"/>
          <w:sz w:val="20"/>
          <w:u w:val="none"/>
          <w:vertAlign w:val="baseline"/>
        </w:rPr>
        <w:t xml:space="preserve"> PCI episodes so the incentives under the model would be to provide care in the place of service best suited for the patient. Another commenter expressed concerns about bundling AMI care, as it encompasses a broad spectrum of many different complex illnesses. Several commenters observed that while some AMI patients require less complex care, other patients are admitted with multiple comorbidities and require a higher intensity of care, which may involve multiple organs and a variety of care resources. Other commenters believe that if CMS implements the AMI model as proposed, more beneficiaries would move into the CABG model because of the AMI model financial incentives, which would not be in the best interests of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some commenters recommended a short implementation delay for the AMI and/or CABG models, several other commenters recommended that CMS delay the AMI and CABG models, with recommendations ranging from 6 to 36 months. These commenters believe this delay would provide sufficient time for CMS to incorporate known best practices from the Healthcare Payment Learning and Action Network (LAN) Clinical Episode Payment (CEP) Work Group and lessons learned from both the BPCI and CJR models into the design of the cardiac EPMs. Otherwise, the commenters were concerned that the cardiac EPMs would both put beneficiaries at risk and disadvantage providers, as the episodes would be built using designs that were not supported by CMS' own panel of industry experts.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expressed concern about expanding EPMs to complex conditions such as AMI and CABG, where treatment can follow multiple evidence-based care pathways. One commenter pointed out that the proposed AMI and CABG models would generally include beneficiaries receiving unplanned care due to an acute event, making the population's care difficult to manage. The commenter requested that CMS not implement the proposed cardiac EPMs. Several commenters stated that the complexity of the proposed cardiac EPMs was so great that CMS had essentially proposed a completely different payment system for cardiac care and would provide EPM participants with little time to prepare and plan for implementation. The commenters believe that decisions about appropriate care should be made by physicians and their patients and should be based on each patient's medical necessity and care preferences. They stated that bundling clinically complex episodes with multiple care pathways may lead to factors other than medical necessity and care preferences influencing the decisions that providers make, and that such decisions could have a long-term impact on a patient's health and well-being and may increase costs in the long run while achieving the short-term goal of reducing episodic costs. The commenters believe that this potentially serious issue warranted immediate attention by CMS, given the lack of evidence on the impact of the EPMs on key patient-centered outcomes, and concluded that the proposed EPMs require further consideration and study before additional bundling initiatives are implemented.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MedPAC stated that the proposed AMI episodes did not appear to be a promising place to further test bundled payment because AMI episodes have relatively low post-acute care use and the associated post-acute care spending makes up a small share of total episode spending. They concluded that savings opportunities for participating providers would be smaller compared with other conditions. Consistent with the observations of a few other commenters, MedPAC stated that complex medical conditions such as AMI do not involve a single clinical pathway but rather can involve patient transfers to hospitals with more intensive cardiac capabilities and subsequent readmissions for CABG. While MedPAC acknowledged that CMS' proposed rule addressed these issues, they noted that if the benchmark prices are not accurate, the prices could inadvertently shape clinical practice or encourage selective admissions. Instead of an EPM, MedPAC suggested that CMS consider allowing hospitals to share savings with physicians as a way to focus physicians on reducing the cost of the inpatient stay for AMI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MedPAC further concluded that CABG was also not an ideal condition for testing bundled payment models because, although the majority of beneficiaries undergoing CABG go on to use post-acute care services, the spending on post-acute care services is relatively low compared to other clinical conditions. They noted that with the inpatient stay comprising the vast majority of total episode spending, the opportunities to realize savings by changing clinical practice would be small. MedPAC presented an additional concern regarding the potential for undesirable provider responses to financial incentives, including patient selection, in the proposed CABG model. They claimed that providers of cardiac care have been shown to engage in patient selection and expressed concern that, with larger savings at stake, these behaviors could increase. They recommended that CMS delay testing the CABG model until the benefits of episode efficiency outweigh the concerns about patient selection.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of some of the commenters for our proposal to implement the AMI and CABG models. The proposed cardiac models represent clinical conditions that result in a significant burden of morbidity and expenditures in the Medicare population. However, we acknowledge the great diversity of views about the AMI and CABG models reflected in the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AMI as the episode for an EPM because we recognized it as a significant clinical condition for which evidence-based clinical guidelines are available for the most common AMI scenarios that begin with a beneficiary's presentation for urgent care, most commonly to a hospital emergency department. The hospital phase involves medical management for all patients, as well as potential revascularization, most commonly with PCI. As commenters observed, the AMI model is the first Innovation Center episode payment model that includes substantially different clinical care pathways (medical management and PCI) for a single clinical condition in one episode in a model. In this sense the AMI model is a condition-specific EPM, although it is not focused on the underlying CAD condition that puts some beneficiaries at risk for the AMI but rather on the AMI itself. While we recognize that AMI may be a complication of care from inadequately managed CAD, we continue to believe that there is an important role for the AMI model in testing bundled payment for beneficiaries with AMI who follow a variety of clinical pathways because AMI is a sentinel event indicating the need for an increased focus on condition-specific management. The proposed 90 day post-discharge episode duration would provide a springboard to heighten the focus on CAD-specific management. While future models may focus on CAD management itself, including reducing the risk of AMI, in addition to the current Million Hearts(R) Cardiovascular Risk Reduction Model, we believe that the proposed AMI model also plays an important role in testing an EPM for this clinical condition which is not always avoidable even in the context of the best practices to manage CAD on an ongoing basis. n35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 Million Hearts(R): Cardiovascular Disease Risk Reduction Model. </w:t>
      </w:r>
      <w:hyperlink r:id="rId24" w:history="1">
        <w:r>
          <w:rPr>
            <w:rFonts w:ascii="arial" w:eastAsia="arial" w:hAnsi="arial" w:cs="arial"/>
            <w:b w:val="0"/>
            <w:i/>
            <w:strike w:val="0"/>
            <w:noProof w:val="0"/>
            <w:color w:val="0077CC"/>
            <w:position w:val="0"/>
            <w:sz w:val="20"/>
            <w:u w:val="single"/>
            <w:vertAlign w:val="baseline"/>
          </w:rPr>
          <w:t>https://innovation.cms.gov/initiatives/Million-Hearts-CVDRRM/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it is important to test EPMs like the AMI model where </w:t>
      </w:r>
      <w:r>
        <w:rPr>
          <w:rFonts w:ascii="arial" w:eastAsia="arial" w:hAnsi="arial" w:cs="arial"/>
          <w:b/>
          <w:i w:val="0"/>
          <w:strike w:val="0"/>
          <w:noProof w:val="0"/>
          <w:color w:val="000000"/>
          <w:position w:val="0"/>
          <w:sz w:val="20"/>
          <w:u w:val="none"/>
          <w:vertAlign w:val="baseline"/>
        </w:rPr>
        <w:t> [*203] </w:t>
      </w:r>
      <w:r>
        <w:rPr>
          <w:rFonts w:ascii="arial" w:eastAsia="arial" w:hAnsi="arial" w:cs="arial"/>
          <w:b w:val="0"/>
          <w:i w:val="0"/>
          <w:strike w:val="0"/>
          <w:noProof w:val="0"/>
          <w:color w:val="000000"/>
          <w:position w:val="0"/>
          <w:sz w:val="20"/>
          <w:u w:val="none"/>
          <w:vertAlign w:val="baseline"/>
        </w:rPr>
        <w:t xml:space="preserve"> beneficiaries can follow multiple clinical pathways, including transfers among hospitals with different cardiac care capacity because, more commonly than not, beneficiaries who are hospitalized for an emergent clinical condition do not constitute as homogeneous a group as those who choose to undergo elective surgery. However, there likely are significant opportunities to improve the quality and efficiency of episode care through care redesign that improves care coordination and management for beneficiaries unexpectedly hospitalized for treatment following a cardiac event. We disagree with the commenter who recommended that we create two treatment-based EPMs, AMI medical management and PCI, because, in the context of our proposed pricing methodology that sets MS-DRG-specific EPM-episode benchmark prices and quality-adjusted target prices as discussed in section III.D.4.b.(1). of this final rule, we believe we can appropriately include beneficiaries following the two different treatment approaches in the same EPM without concern that the financial incentives of the EPM are influencing the treatment choice for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the support of many commenters for the proposed CABG model. We believe that CABG may play a role for some beneficiaries with symptomatic CAD, either with or without AMI, because CABG is associated with lower longer-term rates of major adverse cardiac and cerebrovascular events in comparison to PCI for certain groups of patients. As a number of commenters pointed out, multiple other entities, including states, are testing CABG bundled payment models due to the variability in costs and outcomes despite robust clinical guidelines.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those commenters who recommended that the AMI and CABG models be delayed in order to incorporate known best practices from the LAN CEP Work Group, we note that the LAN is a public-private partnership established by the U.S. Department of Health and Human Services (HHS) to increase the adoption of APMs that promote better care, smarter spending, and healthier people. The LAN has a voluntary collaborative structure and its consensus recommendations do not necessarily reflect the views of its individual participants. Representatives from CMS, along with representatives from states, purchasers, providers, commercial payers, and consumers, were active participants in the CEP Work Group and developed, with input from the broader LAN network, a set of recommendations that reflect a consensus view, balancing innovation with current practice to move the health care delivery system forward. The CEP Work Group full recommendations have not yet been tested in the market. The LAN CEP Work Group recommendations and the proposed CMS CABG and AMI EPMs, although incorporating different design features, both support the implementation of episode-based payment models for cardiac care. We anticipate that both the LAN recommendations and the CMS AMI and CABG models will expand provider experience and expertise regarding the necessary resources and most effective strategies for providing high quality, efficient care through episode-based payment models and will help prepare the market for further adoption of innovative payment models in the future. Therefore, we believe that best practices for episode payment models are continuously being identified and refined based on providers' actual implementation experiences with episode payment models of various designs. Rather than redesigning the proposed cardiac care models to conform to the LAN CEP Work Group recommendations, we look forward to testing the AMI and CABG models based on the policies included in this final rule and sharing our evaluation findings with stakeholders to inform other episode payment models for cardiac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agree with MedPAC's conclusion that the proposed AMI and CABG models do not hold promise because of limited post-acute care spending in AMI episodes and the high percentage of CABG episode spending due to the anchor hospitalization in CABG episodes coupled with the risk of patient selection due to the financial incentives of the CABG model. While care redesign to improve the efficiency of post-acute care use may be an obvious strategy to address variation in episode spending for those episodes, such as SHFFT and LEJR episodes with high utilization of post-acute care services, AMI and CABG beneficiaries have substantial episode spending during 90 days post-discharge from the anchor hospitalization as a result of complications, further treatment, and ongoing care management of their underlying chronic conditions. We believe that increased efficiencies in the post-discharge care and improved care coordination represent a significant opportunity to improve the quality and reduce the cost of AMI and CABG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commenters pointed out, the cardiac EPMs create some risks of harm to beneficiaries from patient selection and different treatment choices EPM participants could adopt based on the financial incentives under the EPMs, although we believe these concerns are generally present for every episode payment model that sets a price that Medicare pays for an episode-of-care. As discussed further in sections III.G.4. through 6. of this final rule, we will take steps to prevent potential harm by monitoring for access to care, quality of care, and delayed care under the EPMs and may take remedial action against EPM participants if we find evidence that supports concerns in these areas. In addition, the evaluation as discussed in section IV. of this final rule will analyze beneficiary outcomes and their relationship to clinical pathways under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refer to section III.D.2.a. of this final rule for a discussion of the comments on the proposed implementation timeline for the AMI and CABG models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to implement the AMI and CABG models, with modifications to specific policies as described throughout this final rule. We refer to section III.D.2.a. of this final rule for the implementation timeline that applies to the AMI and CABG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Advanced Alternative Payment Model Considerations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ease of reading the subsequent sections regarding our proposals and our final policies around the EPMs as Advanced APMs, we first present the proposals outlined in the Quality Payment Program proposed rule </w:t>
      </w:r>
      <w:r>
        <w:rPr>
          <w:rFonts w:ascii="arial" w:eastAsia="arial" w:hAnsi="arial" w:cs="arial"/>
          <w:b w:val="0"/>
          <w:i/>
          <w:strike w:val="0"/>
          <w:noProof w:val="0"/>
          <w:color w:val="000000"/>
          <w:position w:val="0"/>
          <w:sz w:val="20"/>
          <w:u w:val="none"/>
          <w:vertAlign w:val="baseline"/>
        </w:rPr>
        <w:t>(81 FR 28161)</w:t>
      </w:r>
      <w:r>
        <w:rPr>
          <w:rFonts w:ascii="arial" w:eastAsia="arial" w:hAnsi="arial" w:cs="arial"/>
          <w:b w:val="0"/>
          <w:i w:val="0"/>
          <w:strike w:val="0"/>
          <w:noProof w:val="0"/>
          <w:color w:val="000000"/>
          <w:position w:val="0"/>
          <w:sz w:val="20"/>
          <w:u w:val="none"/>
          <w:vertAlign w:val="baseline"/>
        </w:rPr>
        <w:t xml:space="preserve"> followed by the policies outlined in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77008).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MACRA created two paths for eligible clinicians to link quality to payments: The MIPS and Advanced APMs. These two paths create a flexible payment system called the Quality Payment Program as proposed by CMS in the Quality Payment Program proposed rule </w:t>
      </w:r>
      <w:r>
        <w:rPr>
          <w:rFonts w:ascii="arial" w:eastAsia="arial" w:hAnsi="arial" w:cs="arial"/>
          <w:b w:val="0"/>
          <w:i/>
          <w:strike w:val="0"/>
          <w:noProof w:val="0"/>
          <w:color w:val="000000"/>
          <w:position w:val="0"/>
          <w:sz w:val="20"/>
          <w:u w:val="none"/>
          <w:vertAlign w:val="baseline"/>
        </w:rPr>
        <w:t>(81 FR 28161</w:t>
      </w:r>
      <w:r>
        <w:rPr>
          <w:rFonts w:ascii="arial" w:eastAsia="arial" w:hAnsi="arial" w:cs="arial"/>
          <w:b w:val="0"/>
          <w:i w:val="0"/>
          <w:strike w:val="0"/>
          <w:noProof w:val="0"/>
          <w:color w:val="000000"/>
          <w:position w:val="0"/>
          <w:sz w:val="20"/>
          <w:u w:val="none"/>
          <w:vertAlign w:val="baseline"/>
        </w:rPr>
        <w:t xml:space="preserve"> through 28586).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proposed in the Quality Payment Program proposed rule, an APM must meet three criteria to be considered an Advanced APM </w:t>
      </w:r>
      <w:hyperlink r:id="rId25" w:history="1">
        <w:r>
          <w:rPr>
            <w:rFonts w:ascii="arial" w:eastAsia="arial" w:hAnsi="arial" w:cs="arial"/>
            <w:b w:val="0"/>
            <w:i/>
            <w:strike w:val="0"/>
            <w:noProof w:val="0"/>
            <w:color w:val="0077CC"/>
            <w:position w:val="0"/>
            <w:sz w:val="20"/>
            <w:u w:val="single"/>
            <w:vertAlign w:val="baseline"/>
          </w:rPr>
          <w:t>(81 FR 28298).</w:t>
        </w:r>
      </w:hyperlink>
      <w:r>
        <w:rPr>
          <w:rFonts w:ascii="arial" w:eastAsia="arial" w:hAnsi="arial" w:cs="arial"/>
          <w:b w:val="0"/>
          <w:i w:val="0"/>
          <w:strike w:val="0"/>
          <w:noProof w:val="0"/>
          <w:color w:val="000000"/>
          <w:position w:val="0"/>
          <w:sz w:val="20"/>
          <w:u w:val="none"/>
          <w:vertAlign w:val="baseline"/>
        </w:rPr>
        <w:t xml:space="preserve"> First, the APM must provide for payment for covered professional services based on quality measures comparable to measures described under the performance category described in section 1848(q)(2)(B)(i) of the Act, </w:t>
      </w:r>
      <w:r>
        <w:rPr>
          <w:rFonts w:ascii="arial" w:eastAsia="arial" w:hAnsi="arial" w:cs="arial"/>
          <w:b/>
          <w:i w:val="0"/>
          <w:strike w:val="0"/>
          <w:noProof w:val="0"/>
          <w:color w:val="000000"/>
          <w:position w:val="0"/>
          <w:sz w:val="20"/>
          <w:u w:val="none"/>
          <w:vertAlign w:val="baseline"/>
        </w:rPr>
        <w:t> [*204] </w:t>
      </w:r>
      <w:r>
        <w:rPr>
          <w:rFonts w:ascii="arial" w:eastAsia="arial" w:hAnsi="arial" w:cs="arial"/>
          <w:b w:val="0"/>
          <w:i w:val="0"/>
          <w:strike w:val="0"/>
          <w:noProof w:val="0"/>
          <w:color w:val="000000"/>
          <w:position w:val="0"/>
          <w:sz w:val="20"/>
          <w:u w:val="none"/>
          <w:vertAlign w:val="baseline"/>
        </w:rPr>
        <w:t xml:space="preserve"> which is the MIPS quality performance category. We interpret this criterion to require the APM to incorporate quality measure results as a factor when determining payment to participants under the terms of the APM. Under the Quality Payment Program proposed rule, we proposed that the quality measures on which the Advanced APM bases payment for covered professional services (as that term is defined in section 1848(k)(3)(A) of the Act) must include at least one of the following types of measures, provided that they have an evidence-based focus and are reliable and valid </w:t>
      </w:r>
      <w:hyperlink r:id="rId25" w:history="1">
        <w:r>
          <w:rPr>
            <w:rFonts w:ascii="arial" w:eastAsia="arial" w:hAnsi="arial" w:cs="arial"/>
            <w:b w:val="0"/>
            <w:i/>
            <w:strike w:val="0"/>
            <w:noProof w:val="0"/>
            <w:color w:val="0077CC"/>
            <w:position w:val="0"/>
            <w:sz w:val="20"/>
            <w:u w:val="single"/>
            <w:vertAlign w:val="baseline"/>
          </w:rPr>
          <w:t>(81 FR 28302):</w:t>
        </w:r>
      </w:hyperlink>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of the quality measures included on the proposed annual list of MIPS quality measures.</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measures that are endorsed by a consensus-based entity.</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measures developed under section 1848(s) of the Act.</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measures submitted in response to the MIPS Call for Quality Measures under section 1848(q)(2)(D)(ii) of the Act.</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quality measures that CMS determines to have an evidence-based focus and be reliable and valid.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discussed in the Quality Payment Program proposed rule, because the statute identifies outcome measures as a priority measure type and we wanted to encourage the use of outcome measures for quality performance assessment in APMs, we further proposed in that rule that, in addition to the general quality measure requirements, an Advanced APM must include at least one outcome measure if an appropriate measure is available on the MIPS list of measures for that specific QP Performance Period, determined at the time when the APM is first established </w:t>
      </w:r>
      <w:hyperlink r:id="rId25" w:history="1">
        <w:r>
          <w:rPr>
            <w:rFonts w:ascii="arial" w:eastAsia="arial" w:hAnsi="arial" w:cs="arial"/>
            <w:b w:val="0"/>
            <w:i/>
            <w:strike w:val="0"/>
            <w:noProof w:val="0"/>
            <w:color w:val="0077CC"/>
            <w:position w:val="0"/>
            <w:sz w:val="20"/>
            <w:u w:val="single"/>
            <w:vertAlign w:val="baseline"/>
          </w:rPr>
          <w:t>(81 FR 28302</w:t>
        </w:r>
      </w:hyperlink>
      <w:r>
        <w:rPr>
          <w:rFonts w:ascii="arial" w:eastAsia="arial" w:hAnsi="arial" w:cs="arial"/>
          <w:b w:val="0"/>
          <w:i w:val="0"/>
          <w:strike w:val="0"/>
          <w:noProof w:val="0"/>
          <w:color w:val="000000"/>
          <w:position w:val="0"/>
          <w:sz w:val="20"/>
          <w:u w:val="none"/>
          <w:vertAlign w:val="baseline"/>
        </w:rPr>
        <w:t xml:space="preserve"> through 28303).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the APM must either require that participating APM Entities bear risk for monetary losses of a more than nominal amount under the APM or be a Medical Home Model expanded under section 1115A(c) of the Act. Except for Medical Home Models, we proposed in the Quality Payment Program proposed rule that, for an APM to meet the nominal amount standard, the specific level of marginal risk must be at least 30 percent of losses in excess of expected expenditures; a minimum loss rate, to the extent applicable, must be no greater than 4 percent of expected expenditures; and total potential risk must be at least 4 percent of expected expenditures </w:t>
      </w:r>
      <w:hyperlink r:id="rId25" w:history="1">
        <w:r>
          <w:rPr>
            <w:rFonts w:ascii="arial" w:eastAsia="arial" w:hAnsi="arial" w:cs="arial"/>
            <w:b w:val="0"/>
            <w:i/>
            <w:strike w:val="0"/>
            <w:noProof w:val="0"/>
            <w:color w:val="0077CC"/>
            <w:position w:val="0"/>
            <w:sz w:val="20"/>
            <w:u w:val="single"/>
            <w:vertAlign w:val="baseline"/>
          </w:rPr>
          <w:t>(81 FR 28306).</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the APM must require participants to use CEHRT (as defined in section 1848(o)(4) of the Act), as specified in section 1833(z)(3)(D)(i)(I) of the Act, to document and communicate clinical care with patients and other health care professionals. Specifically, where the APM participants are hospitals, the APM must require each hospital to use CEHRT </w:t>
      </w:r>
      <w:hyperlink r:id="rId25" w:history="1">
        <w:r>
          <w:rPr>
            <w:rFonts w:ascii="arial" w:eastAsia="arial" w:hAnsi="arial" w:cs="arial"/>
            <w:b w:val="0"/>
            <w:i/>
            <w:strike w:val="0"/>
            <w:noProof w:val="0"/>
            <w:color w:val="0077CC"/>
            <w:position w:val="0"/>
            <w:sz w:val="20"/>
            <w:u w:val="single"/>
            <w:vertAlign w:val="baseline"/>
          </w:rPr>
          <w:t>(81 FR 28298</w:t>
        </w:r>
      </w:hyperlink>
      <w:r>
        <w:rPr>
          <w:rFonts w:ascii="arial" w:eastAsia="arial" w:hAnsi="arial" w:cs="arial"/>
          <w:b w:val="0"/>
          <w:i w:val="0"/>
          <w:strike w:val="0"/>
          <w:noProof w:val="0"/>
          <w:color w:val="000000"/>
          <w:position w:val="0"/>
          <w:sz w:val="20"/>
          <w:u w:val="none"/>
          <w:vertAlign w:val="baseline"/>
        </w:rPr>
        <w:t xml:space="preserve"> through 28299).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we proposed to adopt two different tracks for the EPMs--Track 1 in which EPMs and EPM participants would meet the criteria for Advanced APMs as proposed in the Quality Payment Program proposed rule, and Track 2 in which the EPMs and EPM participants would not meet those proposed criteria. For the proposed AMI, CABG, and SHFFT models, we proposed pay-for-performance methodologies that use quality measures that we believe would meet the proposed Advanced APM quality measure requirements in the Quality Payment Program proposed rule. As discussed in sections III.E.2. and 3.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all but one of the AMI, CABG, and SHFFT model measures used in the EPM pay-for-performance methodologies are NQF-endorsed and have an evidence-based focus and are reliable and valid. Therefore, we believe they would meet the proposed Advanced APM general quality measure requirements. The Excess Days in Acute Care after Hospitalization for AMI (AMI Excess Days) measure, which was proposed for the AMI model, is not currently NQF-endorsed, but was reviewed, recommended for endorsement, and is expected to be formally endorsed within the first quarter of 2017. We believe it meets the measure requirements by having an evidence-based focus and being reliable and valid because this measure has been proposed and adopted through rulemaking for use in the Hospital Inpatient Quality Reporting (HIQR) Program.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of the proposed EPM pay-for-performance methodologies included one outcome measure that is NQF-endorsed, has an evidence-based focus, and is reliable and valid. The EPM quality measures were discussed in detail in section III.E.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where we assigned the quality measures to quality domains. For the AMI model, we proposed to use the Hospital 30-Day, All-Cause, Risk-Standardized Mortality Rate (RSMR) Following Acute Myocardial Infarction (NQF #0230) (MORT-30-AMI) outcome measure. For the CABG model, we proposed to use the Hospital 30-Day, All-Cause, Risk-Standardized Mortality Rate (RSMR) Following Coronary Artery Bypass Graft (CABG) Surgery (NQF# 2558) (MORT-30-CABG) outcome measure. Finally, for the SHFFT model, we proposed to use the Hospital-level RSCR following elective primary THA and/or TKA (NQF #1550) (Hip/Knee Complications) outcome measure. Thus, based on the proposed use of these three outcomes measures in the EPMs, we believed the proposed AMI, CABG, and SHFFT models would meet the requirement proposed for Advanced APMs in the Quality Payment Program proposed rule for use of an outcome measure that also meets the general quality measure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the proposed nominal risk criteria for Advanced APMs, beginning in performance year 2 for episodes ending between April 1, 2018 and December 31, 2018, we proposed that EPM participants would begin to bear downside risk for excess actual EPM-episode spending above the quality-adjusted target price as discussed in section III.D.2.c.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The marginal risk for excess actual EPM-episode spending above the quality-adjusted target price would be 100 percent over the range of spending up to the stop-loss limit, which would exceed 30 percent marginal risk, and there would be no minimum loss rate. As a result, we believed the EPMs would meet the marginal risk and minimum loss rate elements of the nominal risk criteria for Advanced APMs proposed in the Quality Payment Program proposed rule. We proposed that total potential risk for most EPM participants would be 5 percent of expected expenditures beginning in the second quarter of performance year 2, and increasing in subsequent performance years as discussed in section III.D.7.b.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Therefore, in the proposed rule, we stated our belief that the total proposed potential risk applicable to most EPM participants, with the lowest total potential risk being 5 percent for EPM episodes ending on or after April 1, 2018 in performance year 2, would meet the total potential risk element of the nominal risk amount standard for Advanced APMs proposed in the Quality Payment Program proposed rule because it was greater than the value of at least 4 percent of expected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we proposed that EPM participants that are rural hospitals, sole community hospitals (SCHs), Medicare Dependent Hospitals (MDHs) and Rural Referral Centers (RRCs) would have a stop-loss limit of 3 percent beginning in the second quarter of performance year 2 as discussed in section III.D.7.c.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Because 3 percent was less than the proposed </w:t>
      </w:r>
      <w:r>
        <w:rPr>
          <w:rFonts w:ascii="arial" w:eastAsia="arial" w:hAnsi="arial" w:cs="arial"/>
          <w:b/>
          <w:i w:val="0"/>
          <w:strike w:val="0"/>
          <w:noProof w:val="0"/>
          <w:color w:val="000000"/>
          <w:position w:val="0"/>
          <w:sz w:val="20"/>
          <w:u w:val="none"/>
          <w:vertAlign w:val="baseline"/>
        </w:rPr>
        <w:t> [*205] </w:t>
      </w:r>
      <w:r>
        <w:rPr>
          <w:rFonts w:ascii="arial" w:eastAsia="arial" w:hAnsi="arial" w:cs="arial"/>
          <w:b w:val="0"/>
          <w:i w:val="0"/>
          <w:strike w:val="0"/>
          <w:noProof w:val="0"/>
          <w:color w:val="000000"/>
          <w:position w:val="0"/>
          <w:sz w:val="20"/>
          <w:u w:val="none"/>
          <w:vertAlign w:val="baseline"/>
        </w:rPr>
        <w:t xml:space="preserve"> threshold of at least 4 percent of expected expenditures for total potential risk proposed for Advanced APMs in the Quality Payment Program proposed rule, those rural hospitals, SCHs, MDHs, and RRCs that are EPM participants subject to special protections would be in Track 2 EPMs that would not meet the proposed nominal risk standard for Advanced APMs for performance year 2. We recognized that this proposal might initially limit the ability of rural hospitals, SCHs, MDHs, and RRCs to be in Track 1 EPMs that are Advanced APMs. In the proposed rule, we explained our belief that this potential limitation on rural hospitals, SCHs, MDHs, and RRCs is appropriate for the following reasons: (1) Greater risk protections for these hospitals proposed for the EPMs beginning in the second quarter of performance year 2 and subsequent performance years compared to other EPM participants are necessary, regardless of their implications regarding Advanced APMs based on the nominal risk standard proposed in the Quality Payment Program proposed rule, because these hospitals have unique challenges that do not exist for most other hospitals, such as being the only source of health care services for beneficiaries or certain beneficiaries living in rural areas or being located in areas with fewer providers, including fewer physicians and post-acute care facilities; and (2) under the risk arrangements proposed for the EPMs, these hospitals would not bear an amount of risk in performance year 2 that we determined to be more than nominal in the Quality Payment Program proposed rule. However, we sought comment on whether we should allow EPM participants that are rural hospitals, SCHs, MDHs, or RRCs to elect a higher stop-loss limit for the part of performance year 2 where downside risk applies in order to permit these hospitals to be in Track 1 EPMs for that part of performance year 2. We noted that by performance year 3, the stop-loss limit for these hospitals with special protections under the EPMs would increase to 5 percent under our proposal, so these hospitals could be in Track 1 EPMs based on the nominal risk standard proposed in the Quality Payment Program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addressed in the Quality Payment Program proposed rule, it would be necessary for an APM to require the use of CEHRT in order to meet the criteria to be considered to be an Advanced APM. Therefore, according to the requirements proposed in the Quality Payment Program proposed rule, so that the EPMs may meet the proposed criteria to be Advanced APMs, we proposed to require EPM participants to use CEHRT (as defined in section 1848(o)(4) of the Act) to participate in Track 1 of the EPMs. We proposed that Track 1 EPM participants must use certified health IT functions, in accordance with the definition of CEHRT under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414.1305 </w:t>
      </w:r>
      <w:hyperlink r:id="rId15" w:history="1">
        <w:r>
          <w:rPr>
            <w:rFonts w:ascii="arial" w:eastAsia="arial" w:hAnsi="arial" w:cs="arial"/>
            <w:b w:val="0"/>
            <w:i/>
            <w:strike w:val="0"/>
            <w:noProof w:val="0"/>
            <w:color w:val="0077CC"/>
            <w:position w:val="0"/>
            <w:sz w:val="20"/>
            <w:u w:val="single"/>
            <w:vertAlign w:val="baseline"/>
          </w:rPr>
          <w:t>(81 FR 77537),</w:t>
        </w:r>
      </w:hyperlink>
      <w:r>
        <w:rPr>
          <w:rFonts w:ascii="arial" w:eastAsia="arial" w:hAnsi="arial" w:cs="arial"/>
          <w:b w:val="0"/>
          <w:i w:val="0"/>
          <w:strike w:val="0"/>
          <w:noProof w:val="0"/>
          <w:color w:val="000000"/>
          <w:position w:val="0"/>
          <w:sz w:val="20"/>
          <w:u w:val="none"/>
          <w:vertAlign w:val="baseline"/>
        </w:rPr>
        <w:t xml:space="preserve"> to document and communicate clinical care with patients and other health care professionals as proposed in the Quality Payment Program proposed rule </w:t>
      </w:r>
      <w:hyperlink r:id="rId25" w:history="1">
        <w:r>
          <w:rPr>
            <w:rFonts w:ascii="arial" w:eastAsia="arial" w:hAnsi="arial" w:cs="arial"/>
            <w:b w:val="0"/>
            <w:i/>
            <w:strike w:val="0"/>
            <w:noProof w:val="0"/>
            <w:color w:val="0077CC"/>
            <w:position w:val="0"/>
            <w:sz w:val="20"/>
            <w:u w:val="single"/>
            <w:vertAlign w:val="baseline"/>
          </w:rPr>
          <w:t>(81 FR 28299).</w:t>
        </w:r>
      </w:hyperlink>
      <w:r>
        <w:rPr>
          <w:rFonts w:ascii="arial" w:eastAsia="arial" w:hAnsi="arial" w:cs="arial"/>
          <w:b w:val="0"/>
          <w:i w:val="0"/>
          <w:strike w:val="0"/>
          <w:noProof w:val="0"/>
          <w:color w:val="000000"/>
          <w:position w:val="0"/>
          <w:sz w:val="20"/>
          <w:u w:val="none"/>
          <w:vertAlign w:val="baseline"/>
        </w:rPr>
        <w:t xml:space="preserve"> We believed this proposal would allow Track 1 EPMs to be able to meet the proposed criteria to be Advanced APMs.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Without the collection of identifying information on eligible clinicians (physicians, non-physician practitioners, physical and occupational therapists, and qualified speech-language pathologists) who would be considered Affiliated Practitioners as proposed in the Quality Payment program proposed rule under the EPMs, CMS would not be able to consider participation in the EPMs in making determinations as to whom could be considered a QP </w:t>
      </w:r>
      <w:hyperlink r:id="rId25" w:history="1">
        <w:r>
          <w:rPr>
            <w:rFonts w:ascii="arial" w:eastAsia="arial" w:hAnsi="arial" w:cs="arial"/>
            <w:b w:val="0"/>
            <w:i/>
            <w:strike w:val="0"/>
            <w:noProof w:val="0"/>
            <w:color w:val="0077CC"/>
            <w:position w:val="0"/>
            <w:sz w:val="20"/>
            <w:u w:val="single"/>
            <w:vertAlign w:val="baseline"/>
          </w:rPr>
          <w:t>(81 FR 28320).</w:t>
        </w:r>
      </w:hyperlink>
      <w:r>
        <w:rPr>
          <w:rFonts w:ascii="arial" w:eastAsia="arial" w:hAnsi="arial" w:cs="arial"/>
          <w:b w:val="0"/>
          <w:i w:val="0"/>
          <w:strike w:val="0"/>
          <w:noProof w:val="0"/>
          <w:color w:val="000000"/>
          <w:position w:val="0"/>
          <w:sz w:val="20"/>
          <w:u w:val="none"/>
          <w:vertAlign w:val="baseline"/>
        </w:rPr>
        <w:t xml:space="preserve"> As detailed in the Quality Payment Proposed rule, these determinations are based on whether the eligible clinician meets the QP threshold under either the Medicare Option starting in payment year 2019 or the All-Payer Combination Option, which is available starting in payment year 2021 </w:t>
      </w:r>
      <w:hyperlink r:id="rId25" w:history="1">
        <w:r>
          <w:rPr>
            <w:rFonts w:ascii="arial" w:eastAsia="arial" w:hAnsi="arial" w:cs="arial"/>
            <w:b w:val="0"/>
            <w:i/>
            <w:strike w:val="0"/>
            <w:noProof w:val="0"/>
            <w:color w:val="0077CC"/>
            <w:position w:val="0"/>
            <w:sz w:val="20"/>
            <w:u w:val="single"/>
            <w:vertAlign w:val="baseline"/>
          </w:rPr>
          <w:t>(81 FR 28165).</w:t>
        </w:r>
      </w:hyperlink>
      <w:r>
        <w:rPr>
          <w:rFonts w:ascii="arial" w:eastAsia="arial" w:hAnsi="arial" w:cs="arial"/>
          <w:b w:val="0"/>
          <w:i w:val="0"/>
          <w:strike w:val="0"/>
          <w:noProof w:val="0"/>
          <w:color w:val="000000"/>
          <w:position w:val="0"/>
          <w:sz w:val="20"/>
          <w:u w:val="none"/>
          <w:vertAlign w:val="baseline"/>
        </w:rPr>
        <w:t xml:space="preserve"> Thus, we made proposals in the following sections to specifically address these issues that might otherwise preclude the EPMs from being considered Advanced APMs, or prevent us from operationalizing them as Advanced APMs. Based on the proposals for Advanced APM criteria in the Quality Payment Program proposed rule, we sought to align the design of the proposed EPMs with the proposed Advanced APM criteria and enable CMS to have the necessary information on eligible clinicians to make the requisite QP determinations.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ease of reading the subsequent sections regarding our proposals and final policies for the EPMs as Advanced APMs, we present the following definitions from § 414.1305 that have now been finalized in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77008).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Payment Model (APM) means any of the following: (1) A model under section 1115A of the Act (other than a health care innovation award); (2) The shared savings program under section 1899 of the Act; or (3) A demonstration under section 1866C of the Act. (4) A demonstration required by federal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Episode payment model means an APM or other payer arrangement designed to improve the efficiency and quality of care for an episode of care by bundling payment for services furnished to an individual over a defined period of time for a specific clinical condition or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APM Entity means an entity that participates in an APM or payment arrangement with a non-Medicare payer through a direct agreement or through Federal or State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Advanced Alternative Payment Model (Advanced APM) means an APM that CMS determines meets the criteria set forth in § 414.1415.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Advanced APM Entity means an APM Entity that participates in an Advanced APM or Other Payer Advanced APM.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Participation List means the list of participants in an APM Entity that is compiled from a CMS-maintained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Eligible Clinician means "eligible professional" as defined in section 1848(k)(3) of the Act, as identified by a unique TIN and NPI combination and, includes any of the following: (1) A physician; (2) A practitioner described in section 1842(b)(18)(C) of the Act; (3) A physical or occupational therapist or a qualified speech language pathologist; or (4) A qualified audiologist (as defined in section 1861(ll)(3)(B)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Affiliated Practitioner means an eligible clinician identified by a unique APM participant identifier on a CMS-maintained list who has a contractual relationship with the Advanced APM Entity for the purposes of supporting the Advanced APM Entity's quality or cost goals under the Advanced APM.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Affiliated Practitioner List means the list of Affiliated Practitioners of an APM Entity that is compiled from a CMS-maintained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Qualifying APM Participant (QP) means an eligible clinician determined by CMS to have met or exceeded the relevant QP payment amount or QP patient count threshold under § 414.1430(a)(1), (a)(3), (b)(1), or (b)(3) for a year based on participation in an Advanced APM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QP Patient Count Threshold means the minimum threshold score specified in § 414.1430(a)(3) and (b)(3) that an eligible clinician must attain through a patient count methodology described in §§ 414.1435(b) and 414.1440(c) to become a QP for a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QP Payment Amount Threshold means the minimum threshold score specified in § 414.1430(a)(1) and (b)(1) that an eligible clinician must attain through the payment amount methodology described in </w:t>
      </w:r>
      <w:r>
        <w:rPr>
          <w:rFonts w:ascii="arial" w:eastAsia="arial" w:hAnsi="arial" w:cs="arial"/>
          <w:b/>
          <w:i w:val="0"/>
          <w:strike w:val="0"/>
          <w:noProof w:val="0"/>
          <w:color w:val="000000"/>
          <w:position w:val="0"/>
          <w:sz w:val="20"/>
          <w:u w:val="none"/>
          <w:vertAlign w:val="baseline"/>
        </w:rPr>
        <w:t> [*206] </w:t>
      </w:r>
      <w:r>
        <w:rPr>
          <w:rFonts w:ascii="arial" w:eastAsia="arial" w:hAnsi="arial" w:cs="arial"/>
          <w:b w:val="0"/>
          <w:i w:val="0"/>
          <w:strike w:val="0"/>
          <w:noProof w:val="0"/>
          <w:color w:val="000000"/>
          <w:position w:val="0"/>
          <w:sz w:val="20"/>
          <w:u w:val="none"/>
          <w:vertAlign w:val="baseline"/>
        </w:rPr>
        <w:t xml:space="preserve"> §§ 414.1435(a) and 414.1440(b) to become a QP for a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Threshold Score means the percentage value that CMS determines for an eligible clinician based on the calculations described in § 414.1435 or § 414.1440.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Merit-based Incentive Payment System (MIPS) means the program required by section 1848(q)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MIPS APM means an APM that meets the criteria specified under § 414.1370(b).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Improvement Activities means an activity that relevant MIPS eligible clinicians, organizations and other relevant stakeholders identify as improving clinical practice or care delivery and that the Secretary determines, when effectively executed, is likely to result in improved outcomes.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proposals for Advanced APM criteria in the Quality Payment Program proposed rule </w:t>
      </w:r>
      <w:r>
        <w:rPr>
          <w:rFonts w:ascii="arial" w:eastAsia="arial" w:hAnsi="arial" w:cs="arial"/>
          <w:b w:val="0"/>
          <w:i/>
          <w:strike w:val="0"/>
          <w:noProof w:val="0"/>
          <w:color w:val="000000"/>
          <w:position w:val="0"/>
          <w:sz w:val="20"/>
          <w:u w:val="none"/>
          <w:vertAlign w:val="baseline"/>
        </w:rPr>
        <w:t>(81 FR 28161),</w:t>
      </w:r>
      <w:r>
        <w:rPr>
          <w:rFonts w:ascii="arial" w:eastAsia="arial" w:hAnsi="arial" w:cs="arial"/>
          <w:b w:val="0"/>
          <w:i w:val="0"/>
          <w:strike w:val="0"/>
          <w:noProof w:val="0"/>
          <w:color w:val="000000"/>
          <w:position w:val="0"/>
          <w:sz w:val="20"/>
          <w:u w:val="none"/>
          <w:vertAlign w:val="baseline"/>
        </w:rPr>
        <w:t xml:space="preserve"> we sought to align the design of the proposed EPM Advanced APM track with the proposed Advanced APM criteria and enable CMS to have the necessary information on Eligible Clinicians to make the requisite QP determinations. As detailed in the Quality Payment Program final rule with comment period, QP determinations are based on whether the Eligible Clinician meets the QP threshold under either the Medicare Option starting in payment year 2019 or the All-Payer Combination Option, which is available starting in payment year 2021 </w:t>
      </w:r>
      <w:hyperlink r:id="rId15" w:history="1">
        <w:r>
          <w:rPr>
            <w:rFonts w:ascii="arial" w:eastAsia="arial" w:hAnsi="arial" w:cs="arial"/>
            <w:b w:val="0"/>
            <w:i/>
            <w:strike w:val="0"/>
            <w:noProof w:val="0"/>
            <w:color w:val="0077CC"/>
            <w:position w:val="0"/>
            <w:sz w:val="20"/>
            <w:u w:val="single"/>
            <w:vertAlign w:val="baseline"/>
          </w:rPr>
          <w:t>(81 FR 77013).</w:t>
        </w:r>
      </w:hyperlink>
      <w:r>
        <w:rPr>
          <w:rFonts w:ascii="arial" w:eastAsia="arial" w:hAnsi="arial" w:cs="arial"/>
          <w:b w:val="0"/>
          <w:i w:val="0"/>
          <w:strike w:val="0"/>
          <w:noProof w:val="0"/>
          <w:color w:val="000000"/>
          <w:position w:val="0"/>
          <w:sz w:val="20"/>
          <w:u w:val="none"/>
          <w:vertAlign w:val="baseline"/>
        </w:rPr>
        <w:t xml:space="preserve"> Eligible clinicians seeking QP determinations as early as performance year 2 would need to meet the QP threshold under the Medicare Option. The three criteria for an Advanced APM were finalized in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77008),</w:t>
        </w:r>
      </w:hyperlink>
      <w:r>
        <w:rPr>
          <w:rFonts w:ascii="arial" w:eastAsia="arial" w:hAnsi="arial" w:cs="arial"/>
          <w:b w:val="0"/>
          <w:i w:val="0"/>
          <w:strike w:val="0"/>
          <w:noProof w:val="0"/>
          <w:color w:val="000000"/>
          <w:position w:val="0"/>
          <w:sz w:val="20"/>
          <w:u w:val="none"/>
          <w:vertAlign w:val="baseline"/>
        </w:rPr>
        <w:t xml:space="preserve"> and we continue to align the design of the finalized EPMs with the finalized Advanced APM criteria so that EPM participants who choose to use and attest to use of CEHRT may participate in an EPM that meets the criteria of an Advanced APM. To be determined to be an advanced APM, an APM must meet three Advanced APM criteria identified in § 414.1415 and discussed specifically later in this section.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the APM must require participants to use CEHRT (as defined in section 1848(o)(4) of the Act), as specified in section 1833(z)(3)(D)(i)(I) of the Act, to document and communicate clinical care with patients and other health care professionals </w:t>
      </w:r>
      <w:hyperlink r:id="rId15" w:history="1">
        <w:r>
          <w:rPr>
            <w:rFonts w:ascii="arial" w:eastAsia="arial" w:hAnsi="arial" w:cs="arial"/>
            <w:b w:val="0"/>
            <w:i/>
            <w:strike w:val="0"/>
            <w:noProof w:val="0"/>
            <w:color w:val="0077CC"/>
            <w:position w:val="0"/>
            <w:sz w:val="20"/>
            <w:u w:val="single"/>
            <w:vertAlign w:val="baseline"/>
          </w:rPr>
          <w:t>(81 FR 77406).</w:t>
        </w:r>
      </w:hyperlink>
      <w:r>
        <w:rPr>
          <w:rFonts w:ascii="arial" w:eastAsia="arial" w:hAnsi="arial" w:cs="arial"/>
          <w:b w:val="0"/>
          <w:i w:val="0"/>
          <w:strike w:val="0"/>
          <w:noProof w:val="0"/>
          <w:color w:val="000000"/>
          <w:position w:val="0"/>
          <w:sz w:val="20"/>
          <w:u w:val="none"/>
          <w:vertAlign w:val="baseline"/>
        </w:rPr>
        <w:t xml:space="preserve"> Specifically, where the APM participants are hospitals, the APM must require each hospital to use CEHRT. As addressed in the Quality Payment Program final rule with comment period, it is necessary for an APM to require the use of CEHRT in order to meet the criteria to be considered to be an Advanced APM. Therefore, according to the requirements now finalized in the Quality Payment Program final rule with comment period, so that the EPMs may meet the finalized criteria to be Advanced APMs, we proposed that those EPM participants who choose to participate in Track 1 of the EPMs must use certified health IT functions, in accordance with the definition of CEHRT under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w:t>
      </w:r>
      <w:hyperlink r:id="rId16" w:history="1">
        <w:r>
          <w:rPr>
            <w:rFonts w:ascii="arial" w:eastAsia="arial" w:hAnsi="arial" w:cs="arial"/>
            <w:b w:val="0"/>
            <w:i/>
            <w:strike w:val="0"/>
            <w:noProof w:val="0"/>
            <w:color w:val="0077CC"/>
            <w:position w:val="0"/>
            <w:sz w:val="20"/>
            <w:u w:val="single"/>
            <w:vertAlign w:val="baseline"/>
          </w:rPr>
          <w:t>42 CFR 414.1305</w:t>
        </w:r>
      </w:hyperlink>
      <w:r>
        <w:rPr>
          <w:rFonts w:ascii="arial" w:eastAsia="arial" w:hAnsi="arial" w:cs="arial"/>
          <w:b w:val="0"/>
          <w:i w:val="0"/>
          <w:strike w:val="0"/>
          <w:noProof w:val="0"/>
          <w:color w:val="000000"/>
          <w:position w:val="0"/>
          <w:sz w:val="20"/>
          <w:u w:val="none"/>
          <w:vertAlign w:val="baseline"/>
        </w:rPr>
        <w:t>, to document and communicate clinical care with patients and other health care professionals. We believe that this proposal set forth in the EPM proposed rule would allow EPM participants who use and attest to use of CEHRT to be in an EPM that meets the first finalized Advanced APM criterion.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the APM must provide for payment to participants based on performance on quality measures comparable to measures described under the performance category described in section 1848(q)(2)(B)(i) of the Act, which is the MIPS quality performance category. We interpret this criterion to require the APM to incorporate quality measure results as a factor when determining payment to participants under the terms of the APM as described in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77414).</w:t>
        </w:r>
      </w:hyperlink>
      <w:r>
        <w:rPr>
          <w:rFonts w:ascii="arial" w:eastAsia="arial" w:hAnsi="arial" w:cs="arial"/>
          <w:b w:val="0"/>
          <w:i w:val="0"/>
          <w:strike w:val="0"/>
          <w:noProof w:val="0"/>
          <w:color w:val="000000"/>
          <w:position w:val="0"/>
          <w:sz w:val="20"/>
          <w:u w:val="none"/>
          <w:vertAlign w:val="baseline"/>
        </w:rPr>
        <w:t xml:space="preserve"> In order to align the EPMs with the Quality Payment Program final rule with comment period, the quality measures on which the Advanced APM bases payment to participants must include at least one of the following types of measures, provided that they have an evidence-based focus and are reliable and valid </w:t>
      </w:r>
      <w:hyperlink r:id="rId15" w:history="1">
        <w:r>
          <w:rPr>
            <w:rFonts w:ascii="arial" w:eastAsia="arial" w:hAnsi="arial" w:cs="arial"/>
            <w:b w:val="0"/>
            <w:i/>
            <w:strike w:val="0"/>
            <w:noProof w:val="0"/>
            <w:color w:val="0077CC"/>
            <w:position w:val="0"/>
            <w:sz w:val="20"/>
            <w:u w:val="single"/>
            <w:vertAlign w:val="baseline"/>
          </w:rPr>
          <w:t>(81 FR 77418):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of the quality measures included on the proposed annual list of MIPS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Quality measures that are endorsed by a consensus-based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Quality measures developed under section 1848(s)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Quality measures submitted in response to the MIPS Call for Quality Measures under section 1848(q)(2)(D)(ii)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other quality measures that CMS determines to have an evidence-based focus and be reliable and valid.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discussed in the Quality Payment Program final rule with comment period, because the statute identifies outcome measures as a priority measure type and we want to encourage the use of outcome measures for quality performance assessment in APMs, we further finalized in that rule that, in addition to the general quality measure requirements, an Advanced APM must include at least one outcome measure if an appropriate measure is available on the MIPS list of measures for that specific QP Performance Period, determined at the time when the APM is first established </w:t>
      </w:r>
      <w:hyperlink r:id="rId15" w:history="1">
        <w:r>
          <w:rPr>
            <w:rFonts w:ascii="arial" w:eastAsia="arial" w:hAnsi="arial" w:cs="arial"/>
            <w:b w:val="0"/>
            <w:i/>
            <w:strike w:val="0"/>
            <w:noProof w:val="0"/>
            <w:color w:val="0077CC"/>
            <w:position w:val="0"/>
            <w:sz w:val="20"/>
            <w:u w:val="single"/>
            <w:vertAlign w:val="baseline"/>
          </w:rPr>
          <w:t>(81 FR 77418).</w:t>
        </w:r>
      </w:hyperlink>
      <w:r>
        <w:rPr>
          <w:rFonts w:ascii="arial" w:eastAsia="arial" w:hAnsi="arial" w:cs="arial"/>
          <w:b w:val="0"/>
          <w:i w:val="0"/>
          <w:strike w:val="0"/>
          <w:noProof w:val="0"/>
          <w:color w:val="000000"/>
          <w:position w:val="0"/>
          <w:sz w:val="20"/>
          <w:u w:val="none"/>
          <w:vertAlign w:val="baseline"/>
        </w:rPr>
        <w:t xml:space="preserve"> Therefore, according to the requirements finalized in the Quality Payment Program final rule with comment period and the quality measures finalized in section III.E of this final rule that are the proposed EPM quality measures with an additional voluntary measure for the CABG model, the EPMs will meet the second finalized criterion of the Advanced APM criteria.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the Quality Payment Program final rule with comment period requires that for an APM to meet the Advanced APM criteria, the APM must either require that participating APM Entities bear risk for monetary losses of a more than nominal amount under the APM or be a Medical Home Model expanded under section 1115A(c) of the Act. For the purposes of the EPM, the generally applicable nominal amount standard for an Advanced APM in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77425)</w:t>
        </w:r>
      </w:hyperlink>
      <w:r>
        <w:rPr>
          <w:rFonts w:ascii="arial" w:eastAsia="arial" w:hAnsi="arial" w:cs="arial"/>
          <w:b w:val="0"/>
          <w:i w:val="0"/>
          <w:strike w:val="0"/>
          <w:noProof w:val="0"/>
          <w:color w:val="000000"/>
          <w:position w:val="0"/>
          <w:sz w:val="20"/>
          <w:u w:val="none"/>
          <w:vertAlign w:val="baseline"/>
        </w:rPr>
        <w:t xml:space="preserve"> means the total amount an APM Entity potentially owes CMS or foregoes under an APM must be at least equal to 3 percent of the expected expenditures for which an APM Entity is responsible under the APM. The generally applicable financial risk standard </w:t>
      </w:r>
      <w:hyperlink r:id="rId15" w:history="1">
        <w:r>
          <w:rPr>
            <w:rFonts w:ascii="arial" w:eastAsia="arial" w:hAnsi="arial" w:cs="arial"/>
            <w:b w:val="0"/>
            <w:i/>
            <w:strike w:val="0"/>
            <w:noProof w:val="0"/>
            <w:color w:val="0077CC"/>
            <w:position w:val="0"/>
            <w:sz w:val="20"/>
            <w:u w:val="single"/>
            <w:vertAlign w:val="baseline"/>
          </w:rPr>
          <w:t>(81 FR 77422)</w:t>
        </w:r>
      </w:hyperlink>
      <w:r>
        <w:rPr>
          <w:rFonts w:ascii="arial" w:eastAsia="arial" w:hAnsi="arial" w:cs="arial"/>
          <w:b w:val="0"/>
          <w:i w:val="0"/>
          <w:strike w:val="0"/>
          <w:noProof w:val="0"/>
          <w:color w:val="000000"/>
          <w:position w:val="0"/>
          <w:sz w:val="20"/>
          <w:u w:val="none"/>
          <w:vertAlign w:val="baseline"/>
        </w:rPr>
        <w:t xml:space="preserve"> means when an APM Entity's actual expenditures for which the APM Entity is responsible under the APM exceed expected expenditures during a specified QP Performance Period, the APM Entity is required to owe payment(s) to CMS. We refer to the Quality Payment Program final rule with comment period for a discussion regarding why we did not finalize the specific level of marginal risk or minimum loss rate </w:t>
      </w:r>
      <w:hyperlink r:id="rId15" w:history="1">
        <w:r>
          <w:rPr>
            <w:rFonts w:ascii="arial" w:eastAsia="arial" w:hAnsi="arial" w:cs="arial"/>
            <w:b w:val="0"/>
            <w:i/>
            <w:strike w:val="0"/>
            <w:noProof w:val="0"/>
            <w:color w:val="0077CC"/>
            <w:position w:val="0"/>
            <w:sz w:val="20"/>
            <w:u w:val="single"/>
            <w:vertAlign w:val="baseline"/>
          </w:rPr>
          <w:t>(81 FR 77426).</w:t>
        </w:r>
      </w:hyperlink>
      <w:r>
        <w:rPr>
          <w:rFonts w:ascii="arial" w:eastAsia="arial" w:hAnsi="arial" w:cs="arial"/>
          <w:b w:val="0"/>
          <w:i w:val="0"/>
          <w:strike w:val="0"/>
          <w:noProof w:val="0"/>
          <w:color w:val="000000"/>
          <w:position w:val="0"/>
          <w:sz w:val="20"/>
          <w:u w:val="none"/>
          <w:vertAlign w:val="baseline"/>
        </w:rPr>
        <w:t xml:space="preserve"> However, consistent with the commitments we made to adhere to the proposed marginal risk and minimum loss rate requirements in the Quality Payment Program proposed rule, we note that the financial risk in this final rule when the EPMs involve downside risk exceeds the proposed marginal risk and minimum loss rate requirements proposed for the Quality Payment Program. As discussed in sections III.D.7.b. and c. and displayed in Table 12 of this final rule, the final total initial risk of expected expenditures for EPM participants of 5 percent, and 3 percent for rural hospitals, SCHs, MDHs, RRCs, </w:t>
      </w:r>
      <w:r>
        <w:rPr>
          <w:rFonts w:ascii="arial" w:eastAsia="arial" w:hAnsi="arial" w:cs="arial"/>
          <w:b/>
          <w:i w:val="0"/>
          <w:strike w:val="0"/>
          <w:noProof w:val="0"/>
          <w:color w:val="000000"/>
          <w:position w:val="0"/>
          <w:sz w:val="20"/>
          <w:u w:val="none"/>
          <w:vertAlign w:val="baseline"/>
        </w:rPr>
        <w:t> [*207] </w:t>
      </w:r>
      <w:r>
        <w:rPr>
          <w:rFonts w:ascii="arial" w:eastAsia="arial" w:hAnsi="arial" w:cs="arial"/>
          <w:b w:val="0"/>
          <w:i w:val="0"/>
          <w:strike w:val="0"/>
          <w:noProof w:val="0"/>
          <w:color w:val="000000"/>
          <w:position w:val="0"/>
          <w:sz w:val="20"/>
          <w:u w:val="none"/>
          <w:vertAlign w:val="baseline"/>
        </w:rPr>
        <w:t xml:space="preserve"> and EPM volume protection hospitals subject to separate stop-loss protections, beginning in performance year 3 when downside risk for all participants first applies, would meet the total potential risk element of the nominal risk amount standard for Advanced APMs finalized in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77427)</w:t>
        </w:r>
      </w:hyperlink>
      <w:r>
        <w:rPr>
          <w:rFonts w:ascii="arial" w:eastAsia="arial" w:hAnsi="arial" w:cs="arial"/>
          <w:b w:val="0"/>
          <w:i w:val="0"/>
          <w:strike w:val="0"/>
          <w:noProof w:val="0"/>
          <w:color w:val="000000"/>
          <w:position w:val="0"/>
          <w:sz w:val="20"/>
          <w:u w:val="none"/>
          <w:vertAlign w:val="baseline"/>
        </w:rPr>
        <w:t xml:space="preserve"> because they are greater than or equal to the value of at least 3 percent of expected expenditures. Those EPM participants who elect voluntary downside risk beginning in performance year 2 will be subject to the same total risk of expected expenditures in performance year 2 and, therefore, will be in an EPM that meets the total potential risk element of the nominal risk amount standard for Advanced APMs beginning in performance year 2. Therefore, according to the requirements finalized in the Quality Payment Program final rule with comment period and the payment methodology for EPM participants finalized in section III.D of this final rule, those EPM participants who voluntarily elect downside risk for EPM episodes ending on or after January 1, 2018 will be in an EPM that meets the third finalized criterion of the Advanced APM criteria in performance year 2. All other EPM participants will be in an EPM that meets the third finalized criterion of the Advanced APM criteria in performance year 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finalized in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77442)</w:t>
        </w:r>
      </w:hyperlink>
      <w:r>
        <w:rPr>
          <w:rFonts w:ascii="arial" w:eastAsia="arial" w:hAnsi="arial" w:cs="arial"/>
          <w:b w:val="0"/>
          <w:i w:val="0"/>
          <w:strike w:val="0"/>
          <w:noProof w:val="0"/>
          <w:color w:val="000000"/>
          <w:position w:val="0"/>
          <w:sz w:val="20"/>
          <w:u w:val="none"/>
          <w:vertAlign w:val="baseline"/>
        </w:rPr>
        <w:t xml:space="preserve"> that for Advanced APMs, such as episode payment models, in which there are some Advanced APM Entities that include Eligible Clinicians on a Participation List and other Advanced APM Entities that identify Eligible Clinicians only on an Affiliated Practitioner List, we will identify Eligible Clinicians for QP determinations based on the composition of the Advanced APM Entity. In the scenario that applies to the EPM which includes only hospitals as Advanced APM Entities on the Participation List, for those Advanced APM Entities where there is an Affiliated Practitioner List that identifies Eligible Clinicians, that Affiliated Practitioner List will be used to identify the Eligible Clinicians for purposes of QP determinations, and those Eligible Clinicians will be assessed individually. Thus, to operationalize the EPM as an Advanced APM, our proposal for the EPM to identify Eligible Clinicians on a clinician financial arrangements list to construct the Affiliated Practitioner list would identify those Eligible Clinicians for purposes of QP determination, consistent with the policies finalized in the Quality Payment Program final rule with comment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a number of public comments on our proposals for the EPMs as Advanced APMs. A few commenters requested changes to the policies proposed by CMS in the Quality Payment Program proposed rule and not to specific proposals for the EPMs set forth in the EPM proposed rule. These comments are out of scope for this rulemaking and no responses are provided in this final rule. Nevertheless, we have summarized this feedback related to the Quality Payment Program proposed rule, as CMS will continue work to improve the Quality Payment Program in part through future notice and comment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requested change to the definition of Affiliated Practitioner to include rehabilitation therapists. Many commenters requested changes to the definitions of the Affiliated Practitioner List and/or Participation List to identify Eligible Clinicians for the purposes of Advanced APMs, MIPS APMs, and the assignment by CMS of an Improvement Activities score, which fulfills one of four categories for MIPS assessment of cost and quality. Another commenter requested changes to the performance period or the December 31 date by which an Eligible Clinician could qualify for automatic credit for incentive payment and/or clinical Improvement Activities performance. This commenter reasoned that such changes would permit more Eligible Clinicians to receive a QP determination, which may qualify them for an APM incentive payment under MACRA. One commenter expressed uncertainty regarding the process by which Eligible Clinicians could receive a QP determination for the efforts of the EPM participant, and requested that CMS clarify on the pathway for participating physicians to be in an Advanced APM generally. Another commenter suggested CMS replace the QP determination with the proposal that, for EPM providers who meet the CEHRT use requirement and have 50 or more Medicare beneficiaries attributed to these EPMs, the threshold for Advanced APMs would be met automatically. A few commenters wanted CMS to use the Meaningful Use program to gather attestation to CEHRT use from hospitals. A few commenters strongly recommended CMS lower the patient count and payment revenue thresholds used in the calculation of the Threshold Score to meet QP Threshold Status as specified in the Quality Payment Program proposed rule. Many commenters urged CMS to work closely with the affected professional organizations and/or physician specialty societies to design QP thresholds. One commenter requested changes to the APM Entity such that the APM Entity lose the right to all or part of otherwise guaranteed payment or payments as one of the options if the APM Entity's actual aggregate expenditures exceed expected aggregate expenditures. A few commenters requested changes to the categorical exclusion that Medicare Advantage (MA) and other private plans paid to act as insurers on the Medicare program's behalf are not Advanced APMs, in light of the amount of risk taken by physicians in MA. Finally, one commenter requested changes to the allow Independence at Home participants who use CEHRT to qualify for Advanced APM incentive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on our proposals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MedPAC commented that the EPM and CJR models should not be considered Advanced APMs for the purposes of MACRA. MedPAC stated they believe the following six principles should apply to Advanced APMs: the Advanced APM entity should assume the financial risk and enroll clinicians; be at financial risk for total Part A and Part B spending; be responsible for a beneficiary population sufficiently large to detect changes in spending and quality; have the ability to share savings with beneficiaries; be provided certain regulatory relief by CMS; and the enrolled clinicians should receive an incentive payment only if the Advanced APM entity in which they participate is successful in controlling cost, improving quality, or both. Under the proposed EPMs, MedPAC believes the proposed rule contemplates large, loosely connected groups of clinicians who may have very little involvement with the beneficiaries in EPMs and hence have little reason to change their practice patterns or reduce inappropriate episodes. If CMS intends for clinicians to bear risk, MedPAC made the alternative proposal that they could do so directly without having the hospital as the intermediary.</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appreciate the principles for Advanced APMs offered by MedPAC, we note that according to the Advanced APM definition in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77008),</w:t>
        </w:r>
      </w:hyperlink>
      <w:r>
        <w:rPr>
          <w:rFonts w:ascii="arial" w:eastAsia="arial" w:hAnsi="arial" w:cs="arial"/>
          <w:b w:val="0"/>
          <w:i w:val="0"/>
          <w:strike w:val="0"/>
          <w:noProof w:val="0"/>
          <w:color w:val="000000"/>
          <w:position w:val="0"/>
          <w:sz w:val="20"/>
          <w:u w:val="none"/>
          <w:vertAlign w:val="baseline"/>
        </w:rPr>
        <w:t xml:space="preserve"> the Track 1 EPMs that we proposed qualify as Advanced EPMs as discussed previously in this section.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recognize EPM participants are the participating APM Entities for </w:t>
      </w:r>
      <w:r>
        <w:rPr>
          <w:rFonts w:ascii="arial" w:eastAsia="arial" w:hAnsi="arial" w:cs="arial"/>
          <w:b/>
          <w:i w:val="0"/>
          <w:strike w:val="0"/>
          <w:noProof w:val="0"/>
          <w:color w:val="000000"/>
          <w:position w:val="0"/>
          <w:sz w:val="20"/>
          <w:u w:val="none"/>
          <w:vertAlign w:val="baseline"/>
        </w:rPr>
        <w:t> [*208] </w:t>
      </w:r>
      <w:r>
        <w:rPr>
          <w:rFonts w:ascii="arial" w:eastAsia="arial" w:hAnsi="arial" w:cs="arial"/>
          <w:b w:val="0"/>
          <w:i w:val="0"/>
          <w:strike w:val="0"/>
          <w:noProof w:val="0"/>
          <w:color w:val="000000"/>
          <w:position w:val="0"/>
          <w:sz w:val="20"/>
          <w:u w:val="none"/>
          <w:vertAlign w:val="baseline"/>
        </w:rPr>
        <w:t xml:space="preserve"> the purposes of the Quality Payment Program, CMS will consider participation of Eligible Clinicians in the Track 1 EPMs through collection of identifying information from Track 1 EPM participants on clinician financial arrangements lists as discussed in section III.A.2.c. of this final rule who would then be included on the Affiliated Practitioner List as defined in the Quality Payment Program final rule with comment period at § 414.1305 </w:t>
      </w:r>
      <w:hyperlink r:id="rId15" w:history="1">
        <w:r>
          <w:rPr>
            <w:rFonts w:ascii="arial" w:eastAsia="arial" w:hAnsi="arial" w:cs="arial"/>
            <w:b w:val="0"/>
            <w:i/>
            <w:strike w:val="0"/>
            <w:noProof w:val="0"/>
            <w:color w:val="0077CC"/>
            <w:position w:val="0"/>
            <w:sz w:val="20"/>
            <w:u w:val="single"/>
            <w:vertAlign w:val="baseline"/>
          </w:rPr>
          <w:t>(81 FR 77537),</w:t>
        </w:r>
      </w:hyperlink>
      <w:r>
        <w:rPr>
          <w:rFonts w:ascii="arial" w:eastAsia="arial" w:hAnsi="arial" w:cs="arial"/>
          <w:b w:val="0"/>
          <w:i w:val="0"/>
          <w:strike w:val="0"/>
          <w:noProof w:val="0"/>
          <w:color w:val="000000"/>
          <w:position w:val="0"/>
          <w:sz w:val="20"/>
          <w:u w:val="none"/>
          <w:vertAlign w:val="baseline"/>
        </w:rPr>
        <w:t xml:space="preserve"> in order to determine who could be considered a QP. The requirements for Eligible Clinicians to be reported on the clinician financial arrangements lists help ensure that these clinicians have specific involvement in caring for EPM beneficiaries and advancing the goals of the EPMs to improve the quality and reduce the cost of care. Finally, Eligible Clinicians can only be considered Qualifying Professionals or Partial Qualifying Professionals and, therefore, potentially be exempt from MIPS, if the Eligible Clinician meets the QP threshold or partial QP threshold as described in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77433).</w:t>
        </w:r>
      </w:hyperlink>
      <w:r>
        <w:rPr>
          <w:rFonts w:ascii="arial" w:eastAsia="arial" w:hAnsi="arial" w:cs="arial"/>
          <w:b w:val="0"/>
          <w:i w:val="0"/>
          <w:strike w:val="0"/>
          <w:noProof w:val="0"/>
          <w:color w:val="000000"/>
          <w:position w:val="0"/>
          <w:sz w:val="20"/>
          <w:u w:val="none"/>
          <w:vertAlign w:val="baseline"/>
        </w:rPr>
        <w:t xml:space="preserve"> Additionally, while we recognize the concerns with EPM participants or CJR participant hospitals intermediating the APM incentive payments, we believe that the QP threshold incentivizes Eligible Clinicians to work with such participants to improve health care delivery for Medicare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qualification of the CJR model as an Advanced APM is discussed in section V.O.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support for all organizations to have the opportunities to participate as Advanced APMs and noted that as proposed, rural hospitals, SCHs, MDHs, and RRCs that are EPM participants would not potentially qualify for participation in an Advanced APM until performance year 3 due to the proposed lower stop-loss limits for these hospitals under the EPMs. Additionally, one commenter recommended that a distinct CEHRT program be developed and funding be allocated for non-physician and non-prescribing professionals as soon as possible, as the cost of acquisition, implementation, and maintenance of an EHR is a significant barrier to adoption, particularly for small practices. One commenter observed this proposal as an important illustration of why CMS must be flexible in its definition of nominal risk, and how nominal will not mean the same thing for every provider. As such, commenters supported retention of the proposed stop-loss limits under the EPMs as the default rule for these hospitals, thus enabling them to meet the nominal financial risk standard for Track 1 EPMs (Advanced APMs) in performance year 3 rather than performance year 2 when other EPM participants would be eligible for Track 1 EPMs. However, commenters also believe CMS should also explore options to allow these hospitals with additional stop-loss protection under the EPMs to voluntarily elect a higher stop-loss limit in order to participate in Track 1 EPMs in performance year 2.</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77427)</w:t>
        </w:r>
      </w:hyperlink>
      <w:r>
        <w:rPr>
          <w:rFonts w:ascii="arial" w:eastAsia="arial" w:hAnsi="arial" w:cs="arial"/>
          <w:b w:val="0"/>
          <w:i w:val="0"/>
          <w:strike w:val="0"/>
          <w:noProof w:val="0"/>
          <w:color w:val="000000"/>
          <w:position w:val="0"/>
          <w:sz w:val="20"/>
          <w:u w:val="none"/>
          <w:vertAlign w:val="baseline"/>
        </w:rPr>
        <w:t xml:space="preserve"> finalized the policy that an APM would meet the nominal amount standard for an Advanced APM if, under the terms of the APM, the total annual amount that an APM Entity potentially owes us or foregoes is equal to at least 3 percent of the expected expenditures for which an APM Entity is responsible under the APM. Therefore, rural hospitals, SCHs, MDHs, RRCs, as well as EPM volume protection hospitals as discussed in section III.D.7.c of this final rule, that are EPM participants with special stop-loss limits could potentially qualify as being in an Advanced APM as participants in a Track 1 EPM in performance year 3, along the same timeframe as all other EPM participants when downside risk for all participants is implemented, or in performance year 2 when voluntary downside risk may be elected by EPM participants (section III.D.2.c. of this final rule), based on the stop-loss limits finalized in this rule for these hospitals as discussed in section III.D.7.c.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proposed alternative processes by which a QP determination could be made, including collective assessment of QP status across both the AMI and CABG models, so as not to create siloed EPMs. In cases where there is an overlap of beneficiaries in more than one CMS model or program, other commenters proposed that beneficiaries should be counted toward a physician's QP Threshold Score (a part of a QP determination) if a beneficiary would have been assigned to a particular model if it were not for the fact that a different model that has required participation overlapped.</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QP determination discussed in the Quality Payment Program final rule with comment period depends on the level of payments or patients furnished services through an Advanced APM based on the calculations described in § 414.1435 and § 414.1440, as applicable. Under certain Advanced APMs such as a Track 1 EPM, the responsibility of cost and quality measurement and reporting is with EPM participants that are hospitals rather than Eligible Clinicians. However, we have specified that Eligible Clinicians who are on Affiliated Practitioner Lists may also be assessed for a QP determination based on their Affiliated Practitioner status if there are no eligible clinicians on an Advanced APM's Participation List. Therefore, as finalized in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77443),</w:t>
        </w:r>
      </w:hyperlink>
      <w:r>
        <w:rPr>
          <w:rFonts w:ascii="arial" w:eastAsia="arial" w:hAnsi="arial" w:cs="arial"/>
          <w:b w:val="0"/>
          <w:i w:val="0"/>
          <w:strike w:val="0"/>
          <w:noProof w:val="0"/>
          <w:color w:val="000000"/>
          <w:position w:val="0"/>
          <w:sz w:val="20"/>
          <w:u w:val="none"/>
          <w:vertAlign w:val="baseline"/>
        </w:rPr>
        <w:t xml:space="preserve"> if an Eligible Clinician participates in multiple Advanced APM Entities during a QP Performance Period, and is not determined to be a QP based on participation in any of those Advanced APM Entities, then we will assess the Eligible Clinician individually using combined information for services associated with that individual's NPI and furnished through all the Eligible Clinician's Advanced APM Entities during the QP Performance Period. This includes all Advanced APM Entities for which the Eligible Clinician is represented on either a Participation List or Affiliated Practitioner List that CMS uses for QP determinations. We will make adjustments to ensure that patients and payments for services that may be counted in the QP calculations for multiple Advanced APM Entities (for example, payments for services furnished to a beneficiary attributed to an ACO that are also part of an episode in an episode payment model) are not double-counted for the individual. We believe that this policy maintains the general principles behind Advanced APM Entity-level QP determinations, while acknowledging the broader commitment of individual Eligible Clinicians who are participating in multiple Advanced APMs. We believe considering these Eligible Clinicians individually is the most reasonable approach to capturing the multiple potential permutations of participation in Advanced APMs and providing Eligible Clinicians an equitable opportunity to become a QP.</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with respect to the commenters' concerns that CMS would only make a model-specific QP determination for the Track 1 AMI model and Track 1 CABG model and not a collective determination across the two models, for Advanced APMs for which there is not a Participation List that identifies eligible clinicians and there is an Affiliated Practitioner List that identifies eligible clinicians,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77442)</w:t>
        </w:r>
      </w:hyperlink>
      <w:r>
        <w:rPr>
          <w:rFonts w:ascii="arial" w:eastAsia="arial" w:hAnsi="arial" w:cs="arial"/>
          <w:b w:val="0"/>
          <w:i w:val="0"/>
          <w:strike w:val="0"/>
          <w:noProof w:val="0"/>
          <w:color w:val="000000"/>
          <w:position w:val="0"/>
          <w:sz w:val="20"/>
          <w:u w:val="none"/>
          <w:vertAlign w:val="baseline"/>
        </w:rPr>
        <w:t xml:space="preserve"> notes that Affiliated Practitioner List will be </w:t>
      </w:r>
      <w:r>
        <w:rPr>
          <w:rFonts w:ascii="arial" w:eastAsia="arial" w:hAnsi="arial" w:cs="arial"/>
          <w:b/>
          <w:i w:val="0"/>
          <w:strike w:val="0"/>
          <w:noProof w:val="0"/>
          <w:color w:val="000000"/>
          <w:position w:val="0"/>
          <w:sz w:val="20"/>
          <w:u w:val="none"/>
          <w:vertAlign w:val="baseline"/>
        </w:rPr>
        <w:t> [*209] </w:t>
      </w:r>
      <w:r>
        <w:rPr>
          <w:rFonts w:ascii="arial" w:eastAsia="arial" w:hAnsi="arial" w:cs="arial"/>
          <w:b w:val="0"/>
          <w:i w:val="0"/>
          <w:strike w:val="0"/>
          <w:noProof w:val="0"/>
          <w:color w:val="000000"/>
          <w:position w:val="0"/>
          <w:sz w:val="20"/>
          <w:u w:val="none"/>
          <w:vertAlign w:val="baseline"/>
        </w:rPr>
        <w:t xml:space="preserve"> used to identify the eligible clinicians for purposes of QP determinations. Eligible clinicians on an Affiliated Practitioner List will be assessed individually, unlike eligible clinicians on a Participation List who are assessed as a group. Thus, we could make a determination across the two models if an Eligible Clinician was not determined to be a QP based on participation in any one of the Track 1 EPMs. Finally, as specified in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77013),</w:t>
        </w:r>
      </w:hyperlink>
      <w:r>
        <w:rPr>
          <w:rFonts w:ascii="arial" w:eastAsia="arial" w:hAnsi="arial" w:cs="arial"/>
          <w:b w:val="0"/>
          <w:i w:val="0"/>
          <w:strike w:val="0"/>
          <w:noProof w:val="0"/>
          <w:color w:val="000000"/>
          <w:position w:val="0"/>
          <w:sz w:val="20"/>
          <w:u w:val="none"/>
          <w:vertAlign w:val="baseline"/>
        </w:rPr>
        <w:t xml:space="preserve"> QPs are Eligible Clinicians in an Advanced APM who have a certain percentage of their patients or payments through an Advanced APM. Thus, we will only count beneficiaries attributed to an Advanced APM Entity toward a clinician's QP Threshold Score and will not count those beneficiaries who would have been attributed to an Advanced APM Entity if it were not for the fact that a different model overlapped. Beneficiary attribution is further discussed in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77436)</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EPM Participant Tracks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 considered an Advanced APM, the APM must require participants to use CEHRT (as defined in section 1848(o)(4) of the Act), as specified in section 1833(z)(3)(D)(i)(I) of the Act. We proposed that all EPM participants must choose whether to meet the CEHRT use requirement. EPM participants that do not choose to meet and attest to the CEHRT use requirement would be in Track 2 of the EPMs. EPM participants selecting to meet the CEHRT use requirement would be in Track 1 of the EPMs and would be required to attest in a form and manner specified by CMS to their use of CEHRT that meets the definition in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414.1305 </w:t>
      </w:r>
      <w:hyperlink r:id="rId15" w:history="1">
        <w:r>
          <w:rPr>
            <w:rFonts w:ascii="arial" w:eastAsia="arial" w:hAnsi="arial" w:cs="arial"/>
            <w:b w:val="0"/>
            <w:i/>
            <w:strike w:val="0"/>
            <w:noProof w:val="0"/>
            <w:color w:val="0077CC"/>
            <w:position w:val="0"/>
            <w:sz w:val="20"/>
            <w:u w:val="single"/>
            <w:vertAlign w:val="baseline"/>
          </w:rPr>
          <w:t>(81 FR 77537)</w:t>
        </w:r>
      </w:hyperlink>
      <w:r>
        <w:rPr>
          <w:rFonts w:ascii="arial" w:eastAsia="arial" w:hAnsi="arial" w:cs="arial"/>
          <w:b w:val="0"/>
          <w:i w:val="0"/>
          <w:strike w:val="0"/>
          <w:noProof w:val="0"/>
          <w:color w:val="000000"/>
          <w:position w:val="0"/>
          <w:sz w:val="20"/>
          <w:u w:val="none"/>
          <w:vertAlign w:val="baseline"/>
        </w:rPr>
        <w:t xml:space="preserve"> to document and communicate clinical care with patients and other health professionals, consistent with the proposal in the Quality Payment Program proposed rule for the CEHRT requirement for Advanced APMs </w:t>
      </w:r>
      <w:hyperlink r:id="rId25" w:history="1">
        <w:r>
          <w:rPr>
            <w:rFonts w:ascii="arial" w:eastAsia="arial" w:hAnsi="arial" w:cs="arial"/>
            <w:b w:val="0"/>
            <w:i/>
            <w:strike w:val="0"/>
            <w:noProof w:val="0"/>
            <w:color w:val="0077CC"/>
            <w:position w:val="0"/>
            <w:sz w:val="20"/>
            <w:u w:val="single"/>
            <w:vertAlign w:val="baseline"/>
          </w:rPr>
          <w:t>(81 FR 28299).</w:t>
        </w:r>
      </w:hyperlink>
      <w:r>
        <w:rPr>
          <w:rFonts w:ascii="arial" w:eastAsia="arial" w:hAnsi="arial" w:cs="arial"/>
          <w:b w:val="0"/>
          <w:i w:val="0"/>
          <w:strike w:val="0"/>
          <w:noProof w:val="0"/>
          <w:color w:val="000000"/>
          <w:position w:val="0"/>
          <w:sz w:val="20"/>
          <w:u w:val="none"/>
          <w:vertAlign w:val="baseline"/>
        </w:rPr>
        <w:t xml:space="preserve"> EPM participants choosing not to meet and attest to the CEHRT use requirement would not be required to submit an attestation.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 voluntary selection by EPM participants to elect downside risk for EPM episodes ending on or after January 1, 2018, and to meet and attest to the CEHRT use requirement would create no significant additional administrative burden on EPM participants. Moreover, the choice of whether to meet and attest to the CEHRT use requirement would not otherwise change any EPM participant's requirements or opportunity under the EPM. However, to the extent that eligible clinicians who enter into financial arrangements related to EPM participants in the Track 1 EPM are considered to furnish services through an Advanced APM, those services could be considered for purposes of determining whether the eligible clinicians are QPs.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CEHRT use and attestation for EPM participants were included in proposed § 512.120(a). We sought comment on our proposals for EPM participant CEHRT use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expressed appreciation for CMS' efforts to expand the Advanced APM participation opportunities as they commented that the 5 percent Advanced APM incentive payment is time-limited under current law. They applauded the proposal to expand the list of eligible Advanced APMs through Track 1 EPMs as it provides an incentive for physicians to collaborate with hospital participants in the EPM and could provide specialists, who otherwise may have limited avenues, to participate in an Advanced APM. Other commenters requested specifically that CMS clarify the steps necessary when a provider group wishes to change from Track 2 to Track 1 in the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support for our proposal of the Track 1 EPMs as Advanced APMs and agree that providing greater opportunities for physician participation in Advanced APMs is an important goal that can be advanced through our proposal. We remind commenters that only the EPM participant can choose to participate in a Track 1 EPM by using and attesting to use of CEHRT. If Eligible Clinicians enter into a financial arrangement associated with a Track 1 EPM participant, then the EPM participant must submit a clinician financial arrangements list that determines the Eligible Clinicians to be included on the Affiliated Practitioner List for the purposes of the Track 1 EPM that is an Advanced APM. Therefore, a provider group interested in their members becoming Affiliated Practitioners with an Advanced EPM Entity in an Advanced APM could work with a Track 1 EPM participant to enter into a financial arrangement with that EPM participant so that the members of the provider group could be included in the clinician financial arrangements list submitted by the Track 1 EPM participant to CMS.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While commenters appreciated the proposal to include two tracks for EPM participants and CJR participant hospitals, other commenters made additional proposals to CMS to help operationalize these tracks. A few commenters urged CMS to go further to align the EPMs and the CJR model with the proposed Quality Payment Program and configure Track 2 (the Non-Advanced APM) so that it could qualify as a MIPS APM. In addition to the request that CMS reconfigure Track 2, commenters also proposed that Track 2 EPM participants must also submit a clinician financial arrangements list, so that Eligible Clinicians could receive credit for Improvement Activities under MIPS and/or satisfy criteria to be considered participants in MIPS APMs, for which the Quality Payment Program applies unique scoring rules. One commenter believes that the multiple options due to the proposed tracks increases the level of complexity and administrative burden on the hospitals for activities such as record keeping.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that the presence of two EPM tracks increases administrative burden as we continue to believe that the proposed tracks allow flexibility for EPM participants to choose to participate in an Advanced APM. While a Track 1 EPM participant needs to attest to CEHRT and submit a clinician financial arrangements list to meet the requirements for participation in an Advanced APM and allow us to operationalize the Track 1 EPM as an Advanced APM, we do not believe that these additional requirements create significantly increased administrative burden on the Track 1 EPM participant versus a Track 2 EPM participant in view of the documentation and record access and retention requirements for all EPM participants, which require EPM participants to maintain a subset of that list that constitutes the Eligible Clinicians, nor that the requirements to identify and maintain related lists regarding collaboration agents and downstream collaboration agents is a substantial burden. Beyond these additional activities for Track 1 EPM participants, the policies of the EPMs are the same for Track 1 and Track 2 EPM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disagree with the suggestion by commenters that we add the requirement for Track 2 EPM participants to submit to CMS clinician financial arrangements lists, information that we did not propose to require Track 2 EPM participants to submit to us. Submission of clinician financial arrangements lists is not necessary for </w:t>
      </w:r>
      <w:r>
        <w:rPr>
          <w:rFonts w:ascii="arial" w:eastAsia="arial" w:hAnsi="arial" w:cs="arial"/>
          <w:b/>
          <w:i w:val="0"/>
          <w:strike w:val="0"/>
          <w:noProof w:val="0"/>
          <w:color w:val="000000"/>
          <w:position w:val="0"/>
          <w:sz w:val="20"/>
          <w:u w:val="none"/>
          <w:vertAlign w:val="baseline"/>
        </w:rPr>
        <w:t> [*210] </w:t>
      </w:r>
      <w:r>
        <w:rPr>
          <w:rFonts w:ascii="arial" w:eastAsia="arial" w:hAnsi="arial" w:cs="arial"/>
          <w:b w:val="0"/>
          <w:i w:val="0"/>
          <w:strike w:val="0"/>
          <w:noProof w:val="0"/>
          <w:color w:val="000000"/>
          <w:position w:val="0"/>
          <w:sz w:val="20"/>
          <w:u w:val="none"/>
          <w:vertAlign w:val="baseline"/>
        </w:rPr>
        <w:t xml:space="preserve"> implementation of the Track 2 EPMs, and Track 2 EPM participants do not meet the definition of Advanced APM Entities in the Quality Payment Program final rule with comment period at § 414.1305 </w:t>
      </w:r>
      <w:hyperlink r:id="rId15" w:history="1">
        <w:r>
          <w:rPr>
            <w:rFonts w:ascii="arial" w:eastAsia="arial" w:hAnsi="arial" w:cs="arial"/>
            <w:b w:val="0"/>
            <w:i/>
            <w:strike w:val="0"/>
            <w:noProof w:val="0"/>
            <w:color w:val="0077CC"/>
            <w:position w:val="0"/>
            <w:sz w:val="20"/>
            <w:u w:val="single"/>
            <w:vertAlign w:val="baseline"/>
          </w:rPr>
          <w:t>(81 FR 77537).</w:t>
        </w:r>
      </w:hyperlink>
      <w:r>
        <w:rPr>
          <w:rFonts w:ascii="arial" w:eastAsia="arial" w:hAnsi="arial" w:cs="arial"/>
          <w:b w:val="0"/>
          <w:i w:val="0"/>
          <w:strike w:val="0"/>
          <w:noProof w:val="0"/>
          <w:color w:val="000000"/>
          <w:position w:val="0"/>
          <w:sz w:val="20"/>
          <w:u w:val="none"/>
          <w:vertAlign w:val="baseline"/>
        </w:rPr>
        <w:t xml:space="preserve"> To require Track 2 EPM participants to submit such a list would create unnecessary additional administrative burden on these participants. Furthermore, a Track 2 EPM does not meet the criteria of a MIPS APM in § 414.1370(b) of the Quality Payment Program final rule with comment period. Specifically, the MIPS APM criteria requires at least one Eligible Clinician on a Participation List for the APM, while currently all EPM and CJR participants are hospitals. Thus, the EPM and CJR Participation Lists do not include Eligible Clinicians and, therefore, a Track 2 EPM and the Track 2 CJR model are not MIPS APMs. As a result, EPM or CJR collaborators, collaboration agents, and downstream collaboration agents are not engaged with Track 2 EPM participants or Track 2 CJR participant hospitals in a MIPS APM. Therefore, we will not adopt a requirement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Track 2 EPM participants or Track 2 CJR participant hospitals to submit clinician financial arrangements lists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commenters that we should continue to consider whether there are opportunities for additional APMs, including episode payment models, to become MIPS APMs. We will continue to consider the balance in models between the most appropriate, streamlined model design for the intended model participants to advance the goals of the model and the requirements for models to be MIPS APMs or Advanced APMs as we strive to create more opportunities for Eligible Clinicians to participate in MIPS APMs and Advanced APMs.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urged CMS to consider reversing the proposed Track 1 and Track 2 designations to represent an APM and Advanced APM, respectively, or identifying an alternative naming convention as the term "tracks" are already used in the Shared Savings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perspective of the commenters but believe that our proposed designations of a Track 1 EPM as an Advanced APM and a Track 2 EPM as a Non-Advanced APM under the EPMs are straightforward and appropriate for the distinctions we make between Advanced and Non-Advanced EPMs. The track designations for the EPMs are relevant to the EPM participants in the specific track of the EPM and the individuals and entities that have financial arrangements under the EPMs. We never intend to refer solely to the term Track 1 or Track 2 in the context of the EPMs but always in combination with the term EPM as a Track 1 EPM or Track 2 EPM. Therefore, we do not believe that Track 1 EPMs or Track 2 EPMs will be confused with tracks in the Shared Savings Program. We will be working closely with EPM participants and other stakeholders during EPM implementation to explain the various requirements of the EPMs in general and the tracks of the EPMs in particular.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Additional proposals were submitted by commenters that encouraged CMS to work further by creating additional tracks, including a MIPS APM track and accommodating those that may wish to accept financial risk sooner in order to qualify as an Advanced APM. Commenters believe CMS should continue to develop pathways and provide assistance to organizations who wish to develop or become participants in Advanced APMs; and to expand beyond the current inpatient-based episode payment model tracks to include not only a physician-focus but also a focus that meaningfully incorporates additional roles and activities, for example, specialty service providers, rehabilitation therapy providers, BPCI early adopters, home health care, and transitional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suggestions of commenters. We respond earlier in this section on requests for additional MIPs APMs and for voluntary election of early increased downside risk to allow rural hospitals, SCHs, MDHs, and RRCs with special stop-loss limits under the EPMs to be in a Track 1 EPM at the same time as other EPM participants without special stop-loss limits under the EPM. We will continue our efforts to develop pathways and provide assistance to organizations who wish to develop or become participants in Advanced APMs. We refer the commenters to section III.A.3 of this final rule for additional considerations for future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expressed appreciation for the proposed alignment resulting from use of the same definition of CEHRT across the EPM and Quality Payment Program, and acknowledged that CMS' proposal to permit those EPM participants who do not use CEHRT to be in a different track of the EPM offers appropriate flexibility. A few commenters requested that CMS consider using a process through the Medicare EHR Incentive Program to gather the attestations from the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recognition from commenters of CMS' efforts to utilize the flexibilities of the Quality Payment Program for Eligible Clinicians to link quality to payments through meaningful participation in an Advanced APM.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appreciate the suggestions by the commenters about existing processes and information CMS might use to streamline CEHRT use attestation for EPM participants in Track 1 EPMs. We reiterate that EPM participants choose to attest to CEHRT use and submit a clinician financial arrangements list beginning in performance year 3 and, therefore, be a Track 1 EPM participant (or elect voluntary downside risk in performance year 2, attest to CEHRT use, and submit a clinician financial arrangements list, and therefore, be a Track 1 EPM participant beginning in performance year 2), or choose not to attest to CEHRT use and be a Track 2 EPM participant. We will consider the feedback from commenters on CEHRT attestation methodologies as we develop the operational information for EPM participants about EPM processes and procedures. We further note that CMS and ONC also offer continued support and guidance through educational resources to support participating in and reporting CEHRT use to CMS models and programs, such as the EHR Incentive Program. We will communicate closely with EPM participants about the form and manner of attestation to CEHRT use for Track 1 EPMs early in the process of EPM implementation.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urged CMS to consider the significant upfront investments in health IT infrastructure that providers must make to participate and be successful in the Quality Payment Program and EPMs or CJR model, given that, as one commenter stated, this investment exists even in upside-only models. As a result, these commenters recommended that CMS consider permitting EPM participants to be Advanced APM Entities in performance year 1 and/or that entry into Track 1 for EPM participants and CJR participant hospitals begin as soon as possible. Other commenters pointed out the lack of resources/support for Eligible Clinicians, such as therapists, to adopt EHRs. The commenters believe that Eligible Clinicians participating in an Advanced APM where the Advanced APM Entity is a hospital must also use and attest to use of CEHRT, and further stated that such a requirement would put these professionals at a significant disadvantage. To this end, a few commenters requested that CMS clarify whether the CEHRT requirement only applies to the hospitals that are EPM </w:t>
      </w:r>
      <w:r>
        <w:rPr>
          <w:rFonts w:ascii="arial" w:eastAsia="arial" w:hAnsi="arial" w:cs="arial"/>
          <w:b/>
          <w:i w:val="0"/>
          <w:strike w:val="0"/>
          <w:noProof w:val="0"/>
          <w:color w:val="000000"/>
          <w:position w:val="0"/>
          <w:sz w:val="20"/>
          <w:u w:val="none"/>
          <w:vertAlign w:val="baseline"/>
        </w:rPr>
        <w:t> [*211] </w:t>
      </w:r>
      <w:r>
        <w:rPr>
          <w:rFonts w:ascii="arial" w:eastAsia="arial" w:hAnsi="arial" w:cs="arial"/>
          <w:b w:val="0"/>
          <w:i w:val="0"/>
          <w:strike w:val="0"/>
          <w:noProof w:val="0"/>
          <w:color w:val="000000"/>
          <w:position w:val="0"/>
          <w:sz w:val="20"/>
          <w:u w:val="none"/>
          <w:vertAlign w:val="baseline"/>
        </w:rPr>
        <w:t xml:space="preserve"> participants and whether Eligible Clinicians who have entered into sharing arrangements as EPM collaborators will potentially meet the requirements to attest to use of CEHRT for participating in an Advanced APM under the Quality Payment Program.</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Like the commenters, we appreciate the important role health IT may play in meeting the goals of Advanced APMs, including Track 1 EPMs, to improve the quality and reduce the cost of care. As a result of the Quality Payment Program final rule with comment period </w:t>
      </w:r>
      <w:hyperlink r:id="rId25" w:history="1">
        <w:r>
          <w:rPr>
            <w:rFonts w:ascii="arial" w:eastAsia="arial" w:hAnsi="arial" w:cs="arial"/>
            <w:b w:val="0"/>
            <w:i/>
            <w:strike w:val="0"/>
            <w:noProof w:val="0"/>
            <w:color w:val="0077CC"/>
            <w:position w:val="0"/>
            <w:sz w:val="20"/>
            <w:u w:val="single"/>
            <w:vertAlign w:val="baseline"/>
          </w:rPr>
          <w:t>(81 FR 28306),</w:t>
        </w:r>
      </w:hyperlink>
      <w:r>
        <w:rPr>
          <w:rFonts w:ascii="arial" w:eastAsia="arial" w:hAnsi="arial" w:cs="arial"/>
          <w:b w:val="0"/>
          <w:i w:val="0"/>
          <w:strike w:val="0"/>
          <w:noProof w:val="0"/>
          <w:color w:val="000000"/>
          <w:position w:val="0"/>
          <w:sz w:val="20"/>
          <w:u w:val="none"/>
          <w:vertAlign w:val="baseline"/>
        </w:rPr>
        <w:t xml:space="preserve"> in order for an APM to be considered an Advanced APM, the APM must either require that participating APM Entities bear risk for monetary losses of a more than nominal amount under the APM or be a Medical Home Model expanded under section 1115A(c) of the Act. As a result of this final rule, a Track 1 CJR participant hospital will be considered to be participating in an Advanced APM, and could qualify as an Advanced APM Entity beginning in performance year 2 for episodes ending on or after January 1, 2017, the time at which CJR participant hospitals would begin to bear downside risk for excess actual CJR episode spending above the quality-adjusted target price. Track 1 EPM participants will be considered to be participating in an Advanced APM, and could qualify as an Advanced APM Entity beginning in performance year 2 for episodes ending on or after January 1, 2018, the time at which EPM participants in performance year 2 would begin to bear downside risk for excess actual episode spending above the quality-adjusted target price.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Advanced APM criteria established in the Quality Payment Program final rule with comment period at § 414.1415 </w:t>
      </w:r>
      <w:hyperlink r:id="rId15" w:history="1">
        <w:r>
          <w:rPr>
            <w:rFonts w:ascii="arial" w:eastAsia="arial" w:hAnsi="arial" w:cs="arial"/>
            <w:b w:val="0"/>
            <w:i/>
            <w:strike w:val="0"/>
            <w:noProof w:val="0"/>
            <w:color w:val="0077CC"/>
            <w:position w:val="0"/>
            <w:sz w:val="20"/>
            <w:u w:val="single"/>
            <w:vertAlign w:val="baseline"/>
          </w:rPr>
          <w:t>(81 FR 77549)</w:t>
        </w:r>
      </w:hyperlink>
      <w:r>
        <w:rPr>
          <w:rFonts w:ascii="arial" w:eastAsia="arial" w:hAnsi="arial" w:cs="arial"/>
          <w:b w:val="0"/>
          <w:i w:val="0"/>
          <w:strike w:val="0"/>
          <w:noProof w:val="0"/>
          <w:color w:val="000000"/>
          <w:position w:val="0"/>
          <w:sz w:val="20"/>
          <w:u w:val="none"/>
          <w:vertAlign w:val="baseline"/>
        </w:rPr>
        <w:t xml:space="preserve"> require that for APMs in which hospitals are the APM Entities, such as the EPMs, each hospital must use CEHRT to document and communicate clinical care to their patients or other health care providers to meet the CEHRT use requirement for Advanced APMs. Thus, there is no requirement that Eligible Clinicians who would be included on an Affiliated Practitioner List for Track 1 EPMs attest to CEHRT use and, therefore, we will not develop CEHRT attestation processes for Eligible Clinicians in Track 1 EPMs nor will we provide funds to support EHR adoption. In addition, we encourage participants to consider utilizing any shared savings obtained as part of the model to invest in health IT infrastructure that can help EPM collaborators improve care coordination for beneficiaries.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to include in § 512.120(a) the CEHRT use and attestation for EPM participants, with modification to specify that the policy applies for performance year 2 if the EPM participant elects downside risk, and to use the term "specified" for consistency with CEHRT attestation in other CMS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performance year 2 if the EPM participant elects downside risk and for performance years 3 through 5, EPM participants choose either of the following:</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CEHRT use. EPM participants attest in a form and manner specified by CMS to their use of CEHRT as defined in § 414.1305 of this chapter to document and communicate clinical care with patients and other health professionals.</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CEHRT use. EPM participants do not attest in a form and manner specified by CMS to their use of CEHRT as defined in § 414.1305 of this chapter to document and communicate clinical care with patients and other health professionals.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Clinician Financial Arrangements Lists Under the EPMs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for CMS to make determinations as to eligible clinicians who could be considered QPs based on services furnished under the EPMs (to the extent the models are determined to be Advanced APMs), we require accurate information about eligible clinicians who enter into financial arrangements under the Track 1 EPMs under which the Affiliated Practitioners support the participants' cost or quality goals as discussed in section III.I. of this final rule. We note that eligible clinicians could be EPM collaborators engaged in sharing arrangements with an EPM participant; PGP members who are collaboration agents engaged in distribution arrangements with a PGP that is an EPM collaborator; or PGP members who are downstream collaboration agents engaged in downstream distribution arrangements with a PGP that is also an ACO participant in an ACO that is an EPM collaborator. These terms as they apply to individuals and entities with financial arrangements under the EPMs are discussed in section III.I. of this final rule. A list of physicians and nonphysician practitioners in one of these three types of arrangements could be considered an Affiliated Practitioner List of eligible clinicians who are affiliated with and support the Advanced APM Entity in its participation in the Advanced APM as proposed in the Quality Payment Program proposed rule. Therefore, this list could be used to make determinations of who would be considered for a QP determination based on services furnished under the EPMs </w:t>
      </w:r>
      <w:hyperlink r:id="rId25" w:history="1">
        <w:r>
          <w:rPr>
            <w:rFonts w:ascii="arial" w:eastAsia="arial" w:hAnsi="arial" w:cs="arial"/>
            <w:b w:val="0"/>
            <w:i/>
            <w:strike w:val="0"/>
            <w:noProof w:val="0"/>
            <w:color w:val="0077CC"/>
            <w:position w:val="0"/>
            <w:sz w:val="20"/>
            <w:u w:val="single"/>
            <w:vertAlign w:val="baseline"/>
          </w:rPr>
          <w:t>(81 FR 28320).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we proposed that each EPM participant that chooses to meet and attest to the CEHRT use requirement must submit to CMS a clinician financial arrangements list in a form and manner specified by CMS on a no more than quarterly basis. The list must include the following information for the period of the EPM performance year specified by CMS:</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EPM collaborator who is a physician, nonphysician practitioner, or provider of outpatient therapy services during the period of the EPM performance year specified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name, tax identification number (TIN), and national provider identifier (NPI) of the EPM collaborator.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start date and, if applicable, end date, for the sharing arrangement between the EPM participant and the EPM collaborator.</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collaboration agent who is a physician or nonphysician practitioner of a PGP that is an EPM collaborator during the period of the EPM performance year specified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TIN of the PGP that is the EPM collaborator, and the name and NPI of the physician or nonphysician practitioner.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start date and, if applicable, end date, for the distribution arrangement between the EPM collaborator that is a PGP and the physician or nonphysician practitioner who is a PGP member.</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downstream collaboration agent who is a physician or nonphysician practitioner member of a PGP that is also an ACO participant in an ACO that is an EPM collaborator during the period of the EPM performance year specified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TIN of the PGP that is the ACO participant, and the name and NPI of the physician or nonphysician practitioner.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start date and, if applicable, end date, for the downstream distribution arrangement between the collaboration agent that is both PGP and an ACO participant and the physician or nonphysician practitioner who is a PGP member.</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there are no individuals that meet the requirements to be reported as EPM collaborators, collaboration agents, or downstream collaboration agents, the EPM participant must attest in a form and manner required by CMS that there </w:t>
      </w:r>
      <w:r>
        <w:rPr>
          <w:rFonts w:ascii="arial" w:eastAsia="arial" w:hAnsi="arial" w:cs="arial"/>
          <w:b/>
          <w:i w:val="0"/>
          <w:strike w:val="0"/>
          <w:noProof w:val="0"/>
          <w:color w:val="000000"/>
          <w:position w:val="0"/>
          <w:sz w:val="20"/>
          <w:u w:val="none"/>
          <w:vertAlign w:val="baseline"/>
        </w:rPr>
        <w:t> [*212] </w:t>
      </w:r>
      <w:r>
        <w:rPr>
          <w:rFonts w:ascii="arial" w:eastAsia="arial" w:hAnsi="arial" w:cs="arial"/>
          <w:b w:val="0"/>
          <w:i w:val="0"/>
          <w:strike w:val="0"/>
          <w:noProof w:val="0"/>
          <w:color w:val="000000"/>
          <w:position w:val="0"/>
          <w:sz w:val="20"/>
          <w:u w:val="none"/>
          <w:vertAlign w:val="baseline"/>
        </w:rPr>
        <w:t xml:space="preserve"> are no individuals to report on the clinician financial arrangements list.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Quality Payment program proposed rule, those physicians or nonphysician practitioners who are included on the Affiliated Practitioner List as of December 31 of a performance period would be assessed to determine whether they qualify for APM Incentive Payments </w:t>
      </w:r>
      <w:hyperlink r:id="rId25" w:history="1">
        <w:r>
          <w:rPr>
            <w:rFonts w:ascii="arial" w:eastAsia="arial" w:hAnsi="arial" w:cs="arial"/>
            <w:b w:val="0"/>
            <w:i/>
            <w:strike w:val="0"/>
            <w:noProof w:val="0"/>
            <w:color w:val="0077CC"/>
            <w:position w:val="0"/>
            <w:sz w:val="20"/>
            <w:u w:val="single"/>
            <w:vertAlign w:val="baseline"/>
          </w:rPr>
          <w:t>(81 FR 28320).</w:t>
        </w:r>
      </w:hyperlink>
      <w:r>
        <w:rPr>
          <w:rFonts w:ascii="arial" w:eastAsia="arial" w:hAnsi="arial" w:cs="arial"/>
          <w:b w:val="0"/>
          <w:i w:val="0"/>
          <w:strike w:val="0"/>
          <w:noProof w:val="0"/>
          <w:color w:val="000000"/>
          <w:position w:val="0"/>
          <w:sz w:val="20"/>
          <w:u w:val="none"/>
          <w:vertAlign w:val="baseline"/>
        </w:rPr>
        <w:t xml:space="preserve">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77444)</w:t>
        </w:r>
      </w:hyperlink>
      <w:r>
        <w:rPr>
          <w:rFonts w:ascii="arial" w:eastAsia="arial" w:hAnsi="arial" w:cs="arial"/>
          <w:b w:val="0"/>
          <w:i w:val="0"/>
          <w:strike w:val="0"/>
          <w:noProof w:val="0"/>
          <w:color w:val="000000"/>
          <w:position w:val="0"/>
          <w:sz w:val="20"/>
          <w:u w:val="none"/>
          <w:vertAlign w:val="baseline"/>
        </w:rPr>
        <w:t xml:space="preserve"> modified this process to identify eligible clinicians on the Affiliated Practitioner List for QP determinations at any one of three snapshots. The first snapshot will be on March 31 of the QP Performance Period, the second snapshot will be on June 30 of the QP Performance Period, and the third snapshot will be on August 31, which will be the last day of the QP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noted that while the required submission of this information might create some additional administrative requirements for certain EPM participants, we expected that EPM participants in a Track 1 EPM could modify their contractual relationships with their EPM collaborators and, correspondingly, require those EPM collaborators to include similar requirements in their contracts with collaboration agents and in the contracts of collaboration agents with downstream collaboration agents.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the submission of a clinician financial arrangements list by EPM participants that meet and attest to the CEHRT use requirement for the EPM was included in § 512.120(b). We sought comments on the proposal for submission of this information. We were especially interested in comments about approaches to information submission, including the periodicity and method of submission to CMS that would minimize the reporting burden on EPM participants while providing CMS with sufficient information about eligible clinicians in order to facilitate QP determinations to the extent EPMs are considered Advanced APMs.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While some commenters supported CMS' plans to recognize Eligible Clinicians who participate in APMs from an Affiliated Practitioner List, others raised concerns about the means to identify Eligible Clinicians as Affiliated Practitioners of Advanced APMs. A few commenters disagreed with the development of an Affiliated Practitioner List from a clinician financial arrangements list. Some commenters believe that to assume risk-taking threatens the financial viability of most physician-led entities. Other commenters expressed concern that the definition of such an agreement suggests that risk must be shifted to the clinicians to achieve QP status. These commenters agreed that the clinicians must support the cost or quality goals of the Advanced APM, but do not believe that to be included on the Affiliated Practitioner List the clinician must take risk. Other commenters assumed that Eligible Clinicians must assume risk under the EPM to qualify for QP incentive payment under the Quality Payment Program, and suggested that CMS base the risk requirements on physician practice or APM organization revenues. One commenter noted that not all physicians bound contractually to the requirements of the EPMs would be captured on clinician financial arrangements lists, as hospitals may have agreements with their employed physicians that cascade the programmatic requirements of the EPMs, but do not necessarily alter their underlying compensation or include gainsharing/risk-sharing/internal cost savings parameters. Instead, commenters offered alternatives to the submission of clinician financial arrangements lists, including such proposals as modeling the EPM along the lines of the Medical Home Model standard and using claims data to identify and attribute Eligible Clinicians to populate the EPM Affiliated Practitioner List for the purposes of the Quality Payment Program.</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Under Track 1 EPMs, the Advanced APM Entity is always a hospital, and no physicians are EPM participants. As we discussed in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77442),</w:t>
        </w:r>
      </w:hyperlink>
      <w:r>
        <w:rPr>
          <w:rFonts w:ascii="arial" w:eastAsia="arial" w:hAnsi="arial" w:cs="arial"/>
          <w:b w:val="0"/>
          <w:i w:val="0"/>
          <w:strike w:val="0"/>
          <w:noProof w:val="0"/>
          <w:color w:val="000000"/>
          <w:position w:val="0"/>
          <w:sz w:val="20"/>
          <w:u w:val="none"/>
          <w:vertAlign w:val="baseline"/>
        </w:rPr>
        <w:t xml:space="preserve"> for Advanced APMs, such as episode payment models, in which there are some Advanced APM Entities that include Eligible Clinicians on a Participation List and other Advanced APM Entities that identify Eligible Clinicians only on an Affiliated Practitioner List, we will identify Eligible Clinicians for QP determination based on the composition of the Advanced APM Entity: (1) For Advanced APM Entities that include and identify Eligible Clinicians on a Participation List, that Participation List will be used to define the Advanced APM Entity group, regardless of whether or not there is also an Affiliated Practitioner List or other list of Eligible Clinicians, and those Eligible Clinicians will be assessed as a group; (2) for Advanced APM Entities that do not include and identify Eligible Clinicians on a Participation List and there is an Affiliated Practitioner List that identifies Eligible Clinicians, that Affiliated Practitioner List will be used to identify the Eligible Clinicians for purposes of QP determinations, and those Eligible Clinicians will be assessed individually. Track 1 EPMs fall into the second category because the EPMs do not include and identify Eligible Clinicians on a Participation List so, therefore, we will use an Affiliated Practitioner List for Track 1 EPMs to identify Eligible Clinicians for purposes of QP determinations.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Quality Payment Program final rule with comment period in § 414.1305 </w:t>
      </w:r>
      <w:hyperlink r:id="rId15" w:history="1">
        <w:r>
          <w:rPr>
            <w:rFonts w:ascii="arial" w:eastAsia="arial" w:hAnsi="arial" w:cs="arial"/>
            <w:b w:val="0"/>
            <w:i/>
            <w:strike w:val="0"/>
            <w:noProof w:val="0"/>
            <w:color w:val="0077CC"/>
            <w:position w:val="0"/>
            <w:sz w:val="20"/>
            <w:u w:val="single"/>
            <w:vertAlign w:val="baseline"/>
          </w:rPr>
          <w:t>(81 FR 77537),</w:t>
        </w:r>
      </w:hyperlink>
      <w:r>
        <w:rPr>
          <w:rFonts w:ascii="arial" w:eastAsia="arial" w:hAnsi="arial" w:cs="arial"/>
          <w:b w:val="0"/>
          <w:i w:val="0"/>
          <w:strike w:val="0"/>
          <w:noProof w:val="0"/>
          <w:color w:val="000000"/>
          <w:position w:val="0"/>
          <w:sz w:val="20"/>
          <w:u w:val="none"/>
          <w:vertAlign w:val="baseline"/>
        </w:rPr>
        <w:t xml:space="preserve"> an Affiliated Practitioner is defined as an Eligible Clinician identified by a unique APM participant identifier on a CMS-maintained list who has a contractual relationship with the Advanced APM Entity for the purposes of supporting the Advanced APM Entity's quality or cost goals under the Advanced APM. Furthermore, in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77440),</w:t>
        </w:r>
      </w:hyperlink>
      <w:r>
        <w:rPr>
          <w:rFonts w:ascii="arial" w:eastAsia="arial" w:hAnsi="arial" w:cs="arial"/>
          <w:b w:val="0"/>
          <w:i w:val="0"/>
          <w:strike w:val="0"/>
          <w:noProof w:val="0"/>
          <w:color w:val="000000"/>
          <w:position w:val="0"/>
          <w:sz w:val="20"/>
          <w:u w:val="none"/>
          <w:vertAlign w:val="baseline"/>
        </w:rPr>
        <w:t xml:space="preserve"> we provided the example that an Affiliated Practitioner List comprised of gainsharers under an APM might include Eligible Clinicians whereas a Participation List may only include hospitals. We believe this example applies to the Track 1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constructing the Affiliated Practitioner List from the list of clinicians with financial arrangements submitted by each EPM participant that chooses to use and attest to use of CEHRT allows us to appropriately identify clinicians for the Affiliated Practitioner List under the EPMs. All of these clinicians have contractual relationships under the EPMs, and because the determination of the amount of gainsharing payment, distribution payment, or downstream distribution payment under their arrangement is required to be substantially based on quality of care and the provision of EPM activities (activities related to promoting accountability for the quality, cost, and overall care for EPM beneficiaries, including managing and coordinating care; encouraging investment in infrastructure, enabling technologies, and redesigned care processes for high quality and efficient service delivery; the provision of items and services during an EPM episode in a manner that reduces costs and improves quality; or carrying out any other obligation or duty under the EPM), we believe that their contractual relationship supports the cost and quality goals of the Track 1 EPM participant and, therefore, that they meet the definition of Affiliated Practitioner. </w:t>
      </w:r>
      <w:r>
        <w:rPr>
          <w:rFonts w:ascii="arial" w:eastAsia="arial" w:hAnsi="arial" w:cs="arial"/>
          <w:b/>
          <w:i w:val="0"/>
          <w:strike w:val="0"/>
          <w:noProof w:val="0"/>
          <w:color w:val="000000"/>
          <w:position w:val="0"/>
          <w:sz w:val="20"/>
          <w:u w:val="none"/>
          <w:vertAlign w:val="baseline"/>
        </w:rPr>
        <w:t> [*213]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those commenters who were concerned that constructing the Affiliated Practitioner List in this way would shift the financial risk of the APM Entity (Track 1 EPM participant) to the clinician in order for the clinician to be eligible for a QP determination, we want to emphasize that distribution arrangements and downstream distribution arrangements allow only distribution of payments that may be comprised of hospital internal cost savings and/or reconciliation payments for savings beyond the quality-adjusted target price under the EPMs, without allowing the collaboration agent or downstream collaboration agents to assume any downside risk. Sharing arrangements may include the sharing of upside and downside risk with EPM collaborators, but we note that in our experience with other bundled payment models, sharing with individual physicians has generally been upside risk only. We understand that the Quality Payment Program final rule with comment period does not require that an Affiliated Practitioner take on upside or downside risk to be eligible for a QP determination, while our proposed methodology to identify Eligible Clinicians for the EPM Affiliated Practitioner List requires those clinicians to have a financial arrangement under the EPM. However, we based our proposal on the most streamlined approach to identifying Eligible Clinicians under the Track 1 EPM who meet the definition of Affiliated Practitioner to build off policies that apply across the EPMs in general, in order to limit any additional administrative burden on EPM participants for Track 1 participation. Under the EPMs, the only contractual relationships for which we specify requirements as part of the model design for all participants and which ensure the Eligible Clinicians meet the Affiliated Practitioner definition are financial arrangements. Therefore, under our proposal for identifying Eligible Clinicians for each EPM participant that chooses to use and attest to use of CEHRT we would use the clinician financial arrangements list submitted to us to construct the EPM Affiliated Practitioner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constructing the Affiliated Practitioner List from claims data based on those clinicians furnishing services to EPM beneficiaries, we would not be able to know if such physicians, nonphysician practitioners, or therapists had a contractual relationship with the EPM participant to support the EPM participant's cost or quality goals under the Track 1 EPM (the requirement for Affiliated Practitioners), so we are unable to adopt this suggestion by the commenters. Moreover, we believe we can only know the information about contractual relationships between an EPM participant and an Eligible Clinician if the EPM participant reports this to us as we do not otherwise require such reporting under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understand that there are circumstances where an EPM participant might want to enter into a contract with a clinician to support the cost or quality goals of the EPM. At this point, EPM participants that choose to use and attest to use of CEHRT may not report these clinicians to us through the clinician financial arrangements list for inclusion on the Affiliated Practitioner List because we made no specific proposals about what such contractual relationships would entail. As discussed previously in this section, MedPAC expressed concern that the EPMs contemplate large, loosely connected groups of clinicians who may have very little involvement with the beneficiaries in EPMs and hence have little reason to change their practice patterns or reduce inappropriate episodes. Thus, in order to identify the circumstances in which Eligible Clinicians without financial arrangements under a Track 1 EPM participant could meet the definition of Affiliated Practitioner, we will further consider the scenarios raised by the commenters and intend to propose an additional methodology for EPM participants to identify other Eligible Clinicians who may be included on the Affiliated Practitioner List in future rulemaking. This additional methodology would be targeted for implementation in performance year 3 when downside risk for all participants under the EPMs applies.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our proposal to construct the EPM's Affiliated Practitioner List from the clinician financial arrangements lists submitted by those EPM participants that attest to CEHRT use.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urged CMS to identify Eligible Clinicians through a streamlined reporting process, and ensure that a minimum burden is applied to EPM participants when providing lists. To this end, the commenters proposed alterations to the proposed contents of the clinician financial arrangements list, including the recommendation that CMS require EPM participants or CJR participant hospitals to submit an electronic form listing all collaborators, collaboration agents, and downstream collaboration agents and their tax identification numbers (TIN) on a yearly basis. Finally, some commenters requested that CMS enable more frequent updates to the list.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of the commenters in creating the minimal necessary reporting burden on EPM participants and CJR participant hospitals. For those EPM participants that choose to use and attest to use of CEHRT and are required to submit a clinician financial arrangements list, we agree with the commenters that the most streamlined process that provides us with the timely, necessary information is desirable. We proposed that the submission must occur on a no more than quarterly basis and we continue to believe that this timing is the most appropriate. It establishes the maximum required submission burden on EPM participants of quarterly in view of the three planned "snapshots" of the Affiliated Practitioner List each year </w:t>
      </w:r>
      <w:hyperlink r:id="rId15" w:history="1">
        <w:r>
          <w:rPr>
            <w:rFonts w:ascii="arial" w:eastAsia="arial" w:hAnsi="arial" w:cs="arial"/>
            <w:b w:val="0"/>
            <w:i/>
            <w:strike w:val="0"/>
            <w:noProof w:val="0"/>
            <w:color w:val="0077CC"/>
            <w:position w:val="0"/>
            <w:sz w:val="20"/>
            <w:u w:val="single"/>
            <w:vertAlign w:val="baseline"/>
          </w:rPr>
          <w:t>(81 FR 77444)</w:t>
        </w:r>
      </w:hyperlink>
      <w:r>
        <w:rPr>
          <w:rFonts w:ascii="arial" w:eastAsia="arial" w:hAnsi="arial" w:cs="arial"/>
          <w:b w:val="0"/>
          <w:i w:val="0"/>
          <w:strike w:val="0"/>
          <w:noProof w:val="0"/>
          <w:color w:val="000000"/>
          <w:position w:val="0"/>
          <w:sz w:val="20"/>
          <w:u w:val="none"/>
          <w:vertAlign w:val="baseline"/>
        </w:rPr>
        <w:t xml:space="preserve"> to capture timely new Affiliated Practitioners that were not previously identified for the EPM participant, while allowing us the flexibility to determine a lower reporting periodicity for EPM participants whose list does not change during the EPM performance year. We also note that while under our proposal we could not require submission of the list more than quarterly, the submission timing requirement does not preclude us from accepting more frequent than quarterly voluntary updates to the list if EPM participants have more frequent changes to their list of clinicians with financial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Eligible Clinicians on the clinician financial arrangements list that we would use to construct an Affiliated Practitioner List would be EPM collaborators who are physicians, nonphysician practitioners, and providers of outpatient therapy services engaged in sharing arrangements with an EPM participant; PGP members who are physicians and nonphysician practitioners who are collaboration agents engaged in distribution arrangements with a PGP that is an EPM collaborator; and PGP members who are physicians and nonphysician practitioners who are downstream collaboration agents engaged in downstream distribution arrangements with a PGP that is also an ACO participant in an ACO that is an EPM collaborator. To reflect our final policies for financial arrangements discussed in section III.I. of this final rule, and taking into consideration the issues discussed later in this section, we are revising the categories of individuals who qualify as Eligible Clinicians and clarifying the information to be reported on the clinician financial arrangements list in this final rule. It was our intention in </w:t>
      </w:r>
      <w:r>
        <w:rPr>
          <w:rFonts w:ascii="arial" w:eastAsia="arial" w:hAnsi="arial" w:cs="arial"/>
          <w:b/>
          <w:i w:val="0"/>
          <w:strike w:val="0"/>
          <w:noProof w:val="0"/>
          <w:color w:val="000000"/>
          <w:position w:val="0"/>
          <w:sz w:val="20"/>
          <w:u w:val="none"/>
          <w:vertAlign w:val="baseline"/>
        </w:rPr>
        <w:t> [*214] </w:t>
      </w:r>
      <w:r>
        <w:rPr>
          <w:rFonts w:ascii="arial" w:eastAsia="arial" w:hAnsi="arial" w:cs="arial"/>
          <w:b w:val="0"/>
          <w:i w:val="0"/>
          <w:strike w:val="0"/>
          <w:noProof w:val="0"/>
          <w:color w:val="000000"/>
          <w:position w:val="0"/>
          <w:sz w:val="20"/>
          <w:u w:val="none"/>
          <w:vertAlign w:val="baseline"/>
        </w:rPr>
        <w:t xml:space="preserve"> the proposed rule and our policy in this final rule that the full complement of physicians, nonphysician practitioners, and therapists who have financial arrangements under the EPMs be reported on the EPM participant's clinician financial arrangements list. We see no reason to treat physicians, nonphysician practitioners, or therapists differently for purposes of being considered Eligible Clinicians based on their specific type of financial arrangement under the EPM as the requirements for each type of contractual relationship are aligned with the cost and quality goals of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providers of outpatient therapy services that are EPM collaborators be reported on the clinician financial arrangements list, although the term provider of outpatient therapy services also encompassed entities that were not individual therapists and that, therefore, could not be Eligible Clinicians. However, as discussed in section III.I.3. of this final rule we are adopting the specific term therapist in private practice for those individual therapists who are EPM collaborators. Thus, we are refining the reporting of EPM collaborators on the clinician financial arrangements list to include physicians, nonphysician practitioners, and therapists in private practice to focus on individual therapists in private practice, who may be Eligible Clinicians under the provisions of the Quality Payment Program final rule with comment period, rather than all providers of outpatient therapy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our proposal did not identify as Eligible Clinicians therapists who are collaboration agents and downstream collaboration agents as members of PGPs or ACO providers/suppliers who are physicians, nonphysician practitioners, or therapists who are collaboration agents. While we did not propose that therapists who are collaboration agents or downstream collaboration agents as members of PGPs be reported on the clinician financial arrangements list, we did propose that a therapist could be a PGP member and we note that therapists can also be Eligible Clinicians under the provisions of the Quality Payment Program final rule with comment period. We also did not identify in our proposal that physicians, nonphysician practitioners, and therapists who are collaboration agents and ACO providers/suppliers in an ACO that is an EPM collaborator would be Eligible Clinicians on the clinician financial arrangements list. This was an oversight as we intended to include all collaboration agents who are physicians, nonphysician practitioners, and therapists on the clinician financial arrangements list, regardless of the entity that is their associated EPM collaborator. Moreover, our proposal did not take into account the provisions of this final rule that allow NPPGPs and TGPs to be EPM collaborators or collaboration agents and, therefore, we did not propose that the nonphysician practitioners and therapists who have financial arrangements with these entities would also be Eligible Clinicians on the clinician financial arrangements list. Therefore, in this final rule we are clarifying that all physicians, nonphysician practitioners, and therapists who are collaboration agents or downstream collaboration agents are reported on the clinician financial arrangements list, without regard to the type of entity that is the associated party with which the collaboration agent or downstream collaboration agent has his or her distribution arrangement or downstream distribution arrangement. We note that we proposed to require that physicians and nonphysician practitioners who are members of a PGP that is an EPM collaborator or members of a PGP that is also an ACO participant in an ACO that is an EPM collaborator and that have a distribution arrangement or downstream distribution arrangement, respectively, with the PGP be reported on the list. Therefore, we believe there is only a small additional burden on EPM participants to report on the list all collaboration agents or downstream collaboration agents that are physicians, nonphysician practitioners, or therapists with distribution arrangements or downstream distribution arrangements, in order to ensure that the clinician financial arrangements list reports all Eligible Clinicians with financial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information to be reported on the clinician financial arrangements list would include the name and NPI and, in some cases the TIN, of the Eligible Clinician with the financial arrangement under the EPM. We also proposed to collect the TIN of the PGP that is an EPM collaborator or collaboration agent and with which the physician or nonphysician practitioner reported on the list has a financial relationship, which would have provided us with information for purposes of monitoring and compliance on some of the entities related to the contracts of those physicians or nonphysician practitioners under the EPM. While we did not propose to similarly require information be submitted on the ACO that would be an EPM collaborator for those Eligible Clinicians that are collaboration agents or downstream collaboration agents, in this final rule, we are clarifying that the name and NPI of the entity (that is, the PGP, NPPGP, TGP, or ACO) that is an EPM collaborator and the entity (that is, the PGP, NPPGP, or TGP) that is a collaboration agent, if applicable, must also be reported on the clinician financial arrangements list for each Eligible Clinician who is a collaboration agent or downstream collaboration agent. Thus, the final requirements provide us with sufficient information to monitor the full series of related financial relationships under the EPM that result in the reporting of an Eligible Clinician on the clinician financial arrangements list. Because we do not expect that EPM participants will enter into sharing arrangements with many ACOs, due to the limited number of ACOs to which beneficiaries are typically assigned in a given geographic area, we do not believe that requiring the reporting of the name and TIN of the ACO that is an EPM collaborator is a significant additional burden on the EPM participant submitting the list to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based on the previous discussion, for purposes of clarity and consistency we are streamlining the requirements for reporting information on the clinician financial arrangements list. For each physician, nonphysician practitioner, or therapist that is an EPM collaborator, collaboration agent, or downstream collaboration agent, we require the name, TIN, and NPI to be reported, in addition to the start date and, if applicable, end date, for the individual's sharing arrangement, distribution arrangement, or downstream distribution arrangement. We further require for a collaboration agent that the name and TIN of the EPM collaborator be reported and that for a downstream collaboration agent the name and TIN of the EPM collaborator and the name and TIN of the collaboration agent be reported.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be working closely with EPM participants on the format and process for submission of clinician financial arrangements lists, including the potential for electronic submission of the required information, during the early phases of EPM implementation, seeking to ensure that the format and process is as streamlined as possible for EPM participants that choose to use and attest to use of CEHRT, while meeting CMS' need to maintain an EPM Affiliated Practitioner List that can be used to identify Eligible Clinicians for a QP determination. </w:t>
      </w:r>
      <w:r>
        <w:rPr>
          <w:rFonts w:ascii="arial" w:eastAsia="arial" w:hAnsi="arial" w:cs="arial"/>
          <w:b/>
          <w:i w:val="0"/>
          <w:strike w:val="0"/>
          <w:noProof w:val="0"/>
          <w:color w:val="000000"/>
          <w:position w:val="0"/>
          <w:sz w:val="20"/>
          <w:u w:val="none"/>
          <w:vertAlign w:val="baseline"/>
        </w:rPr>
        <w:t> [*215]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in § 512.120(b) for EPM participants that use and attest to use of CEHRT to submit to CMS a clinician financial arrangements list on a no more than quarterly basis, with modification to include on that list information on all physicians, nonphysician practitioners, and therapists with financial arrangements under the EPM and, if applicable, identifying information for the related parties with sharing arrangements, distribution arrangements, and downstream distribution arrangements under the EPM as finalized in section III.I.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EPM participant that chooses CEHRT use must submit to CMS a clinician financial arrangements list in a form and manner specified by CMS on a no more than quarterly basis. The list must include the following information on individuals and entities for the period of the EPM performance year specified by CMS:</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EPM collaborators. For each physician, nonphysician practitioner, or therapist in private practice who is an EPM collaborator during the period of the EPM performance year specified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name, TIN, and NPI of the EPM collaborator.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start date and, if applicable, end date, for the sharing arrangement between the EPM participant and the EPM collaborator.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Collaboration agents. For each physician, nonphysician practitioner, or therapist who is a collaboration agent during the period of the EPM performance year specified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name and TIN of the EPM collaborator and the name, TIN, and NPI of the collaboration agent.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start date and, if applicable, end date, for the distribution arrangement between the EPM collaborator and the collaboration agent.</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Downstream collaboration agents. For each physician, nonphysician practitioner, or therapist who is a downstream collaboration agent during the period of the EPM performance year specified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name and TIN of the EPM collaborator, the name and TIN of the collaboration agent and the name, TIN, and NPI of the downstream collaboration agent.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start date and, if applicable, end date, for the downstream distribution arrangement between the collaboration agent and the downstream collaboration agent</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Attestation to no individuals. If there are no individuals that meet the requirements to be reported, as specified in paragraphs (b)(1) through (3) of this section, the EPM participant must attest in a form and manner required by CMS that there are no individuals to report on the clinician financial arrangements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Documentation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each EPM participant that chooses to meet and attest to CEHRT use, we proposed that the EPM participant must maintain documentation of their attestation to CEHRT use and clinician financial arrangements lists submitted to CMS. These documents would be necessary to assess the completeness and accuracy of materials submitted by an EPM participant in the Track 1 EPM and to facilitate monitoring and audits. For the same reason, we further proposed that the EPM participant must retain and provide access to the required documentation in accordance with § 512.110.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documentation of attestation to CEHRT use and clinician financial arrangements lists submitted to CMS was included in § 512.120(c). We sought comment on this proposal for required documentation.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did not receive comments pertaining to § 512.120(c). Therefore, we are finalizing the proposal, without modification, for EPM participant documentation of attestation to CEHRT use and clinician financial arrangements lists submitted to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documentation requirements apply to EPM participants choosing to use and attest to use of CEHRT.</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EPM participant that chooses CEHRT use must maintain documentation of their attestation to CEHRT use and clinician financial arrangements lists.</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must retain and provide access to the required documentation in accordance with § 512.110.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Future Directions for Episode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Refinements to the BPCI Initiative Models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BPCI initiative Models 2, 3, and 4 would not currently qualify as Advanced APMs based on two of the Advanced APM criteria in the Quality Payment Program (QPP) final rule with comment period </w:t>
      </w:r>
      <w:hyperlink r:id="rId15" w:history="1">
        <w:r>
          <w:rPr>
            <w:rFonts w:ascii="arial" w:eastAsia="arial" w:hAnsi="arial" w:cs="arial"/>
            <w:b w:val="0"/>
            <w:i/>
            <w:strike w:val="0"/>
            <w:noProof w:val="0"/>
            <w:color w:val="0077CC"/>
            <w:position w:val="0"/>
            <w:sz w:val="20"/>
            <w:u w:val="single"/>
            <w:vertAlign w:val="baseline"/>
          </w:rPr>
          <w:t>(81 FR 77008),</w:t>
        </w:r>
      </w:hyperlink>
      <w:r>
        <w:rPr>
          <w:rFonts w:ascii="arial" w:eastAsia="arial" w:hAnsi="arial" w:cs="arial"/>
          <w:b w:val="0"/>
          <w:i w:val="0"/>
          <w:strike w:val="0"/>
          <w:noProof w:val="0"/>
          <w:color w:val="000000"/>
          <w:position w:val="0"/>
          <w:sz w:val="20"/>
          <w:u w:val="none"/>
          <w:vertAlign w:val="baseline"/>
        </w:rPr>
        <w:t xml:space="preserve"> payment based on quality measures and CEHRT use. Specifically, BPCI participants are not currently required to use CEHRT, and although CMS examines the quality of episode care in the BPCI evaluation, BPCI episode payments are not specifically tied to quality performance. Instead, BPCI episode payments are based solely on episode spending performance, although we expect that reductions in spending would generally be linked to improved quality through reductions in hospital readmissions and complications. However, building on the BPCI initiative, the Innovation Center intends to implement new bundled payment model for CY 2018 where the model(s) would be designed to meet the criteria to be an Advanced APM.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number of commenters expressed support for a new voluntary bundled payment model in CY 2018. Specifically, commenters expected any new design to include the ability of the BPCI Initiative to qualify as meeting the requirements for an advanced APM under the QPP. Commenters also requested that data be provided by CMS on a monthly basis with quarterly reconciliation reports to allow participants to meaningfully engage in reforms to the delivery of health care. Consistent with the existing BPCI model, CMS was encouraged by commenters to continue assigning precedence to self-selected model participants over participants in assigned models. Additional recommended features included financial stop-gain and stop-loss limits and the incorporation of composite quality score similar to that used in the CJR model. Other specific features included recommendations for additional post-acute care bundles and the exclusion of ACOs.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broadly, CMS received several recommendations calling for increased stakeholder input in the design, implementation, and evaluation of new voluntary bundled payment models. Commenters requested that hospitals currently participating in BPCI should be allowed to test additional episodes, and new hospitals should be allowed to enter the program. While ranging in degree, most commenters highlighted a need for input from external clinical experts in addition to consumers, patients, and purchasers as well as institutional stakeholders such as QIOs. To better align with other available EHR incentive payments, several commenters stated a need for future bundled payment models to include CEHRT measures.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these considerations as we design a new voluntary bundled payment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suggested that since post-acute care </w:t>
      </w:r>
      <w:r>
        <w:rPr>
          <w:rFonts w:ascii="arial" w:eastAsia="arial" w:hAnsi="arial" w:cs="arial"/>
          <w:b/>
          <w:i w:val="0"/>
          <w:strike w:val="0"/>
          <w:noProof w:val="0"/>
          <w:color w:val="000000"/>
          <w:position w:val="0"/>
          <w:sz w:val="20"/>
          <w:u w:val="none"/>
          <w:vertAlign w:val="baseline"/>
        </w:rPr>
        <w:t> [*216] </w:t>
      </w:r>
      <w:r>
        <w:rPr>
          <w:rFonts w:ascii="arial" w:eastAsia="arial" w:hAnsi="arial" w:cs="arial"/>
          <w:b w:val="0"/>
          <w:i w:val="0"/>
          <w:strike w:val="0"/>
          <w:noProof w:val="0"/>
          <w:color w:val="000000"/>
          <w:position w:val="0"/>
          <w:sz w:val="20"/>
          <w:u w:val="none"/>
          <w:vertAlign w:val="baseline"/>
        </w:rPr>
        <w:t xml:space="preserve"> providers are the predominant care provider for LEJR patients, post-acute care should play a more prominent role in the BPCI initiative.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CMS thanks the commenters for this suggestion.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CMS use a consistent policy to address overlap of all Medicare bundled payment initiatives and population-based payment models. The commenter raised concerns with respect to overlap of beneficiaries in the EPMs, CJR model, and BPCI initiative, and suggested that, in a future BPCI initiative, beneficiaries should be excluded from bundled payments unless a collaborative agreement exists between an ACO and a hospital that is not a participant in that ACO. The commenter also had concerns for the extent to which Medicare beneficiaries benefit from allowing private for-profit awardee conveners to absorb the risk for providers. Therefore, the commenter recommended also that CMS exclude for-profit risk-taking conveners which do not provide patient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and appreciate all comments, and specifically recognize the shared interest in improving Medicare for its beneficiaries.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requested that CMS take into consideration several additional pricing flexibilities and regulatory waivers for a new voluntary bundled payment model. Specifically, commenters believed that reducing costs and increasing shared savings could be difficult, therefore, participants should have the flexibility in a new voluntary bundled payment model to modify practice or utilization patterns by reducing length of stay or intensity of services. Commenters stated that the next iteration of BPCI should feature program elements such as caps on total losses that gradually increase over time, variable discounts based on quality scoring, and elimination of financial responsibility for payments above a threshold. Other commenters proposed that CMS adopt a method of population risk stratification, as this could provide incentive to providers by reimbursing more for greater comorbidities. Finally, in setting the bundled payment amounts, commenters recommended that CMS incorporate clinical practice guidelines and appropriate use criteria to ensure that patients are not receiving inadequate care. One commenter suggested that CMS provide patient navigators to Medicare beneficiaries receiving items or services paid under an EPM. Additionally, the regulatory waivers requested included the home health homebound requirement, the IRF 60 percent rule, the IRF 3-hour therapy intensity rule, and the LTCH 25 day average length of stay restriction. One commenter suggested that occupational therapy be recognized as a "qualifying service" under the Medicare home health care benefit and occupational therapists could, in future APMs be permitted to open therapy only' cases if occupational therapy is in the physician's order.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recognize commenters' requests for consideration of additional flexibilities in care redesign efforts as part of a new voluntary bundled payment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As we did not propose changes to the BPCI initiative in the proposed rule, we do not have any changes to finalize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Potential Future Condition-Specific Episode Payment Models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context of our proposal for the AMI and CABG models that include beneficiaries with CAD who experience an acute event or a major surgical procedure, we sought comment on model design features for potential future condition-specific episode payment models that could focus on an acute event or procedure or longer-term care management, including other models for beneficiaries with CAD that may differ from the design of the EPMs proposed in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We believe such future models may have the potential to be Advanced APMs that emphasize outpatient care and, like the proposed AMI and CABG models, could incentivize the alignment of physicians and other eligible professionals participating in the Advanced APM through accountability for the costs and quality of care. Such condition-specific episode payment models may provide for a transition from hospital-led EPMs to physician-led accountability for episode quality and costs, especially given the importance of care management over long periods of time for beneficiaries with many chronic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requested that commenters provide specific information regarding all relevant issues for potential future condition-specific episode payment models, including identifying beneficiaries for the model; including services in the episode definition; beginning and ending episodes; pricing episodes, including risk-adjustment; designating the accountable entity for the quality and cost of the episode, including the role of physician-led opportunities; sharing of responsibility for quality and spending between primary care providers, specialty physicians, and other health care professionals; incentivizing the engagement of physicians and other providers and suppliers in episode care; measuring quality and including quality performance and improvement in the payment methodology; interfacing with other CMS models and programs responsible for population health and costs, such as ACOs and Primary Care Medical Homes (PCMHs); other considerations specific to identifying future models as Advanced APMs; and any other issues of importance for the design of such an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requested that in future condition-specific EPMs, CMS should consider episodes beginning before a hospitalization, as one commenter believed that this earlier future EPM episode trigger would engage more meaningful shared care planning. Other commenters stated that future condition-specific EPMs should be based on episodes that are not necessarily tied to a hospital stay. One commenter noted that there is a great degree of variation in cardiac care beyond the two proposed EPM episodes. For example, the commenter noted regional differences in ambulatory and hospital care for heart failure, which the commenter did not believe are explained by disease severity and therefore the commenter suggested such additional cardiac care may become a favorable population-based payment model. Several commenters provided recommendations and perspectives on future condition-specific episode payment models based on MS-DRGs, including examples such as sepsis. However, other commenters suggested the alternative to use the Episode Grouper for Medicare (EGM) for future condition-specific EPMs. The framework for the EGM involves organizing administrative claims data into episodes-of-care, or simply episodes, which are sets of services provided to care for an illness or injury during a defined period of time. One commenter stated that the EGM organizes Medicare beneficiary total cost around two constructs--episodes for specific conditions and episodes for specific treatments. For condition-specific episodes, each episode would be defined by one or more diagnosis codes, however, treatment episodes would be defined by a combination of procedure and diagnosis codes. A few commenters provided specific diagnoses that could be attributable to organized future EPMs, including but not limited to gastroesophageal reflux disease and </w:t>
      </w:r>
      <w:r>
        <w:rPr>
          <w:rFonts w:ascii="arial" w:eastAsia="arial" w:hAnsi="arial" w:cs="arial"/>
          <w:b/>
          <w:i w:val="0"/>
          <w:strike w:val="0"/>
          <w:noProof w:val="0"/>
          <w:color w:val="000000"/>
          <w:position w:val="0"/>
          <w:sz w:val="20"/>
          <w:u w:val="none"/>
          <w:vertAlign w:val="baseline"/>
        </w:rPr>
        <w:t> [*217] </w:t>
      </w:r>
      <w:r>
        <w:rPr>
          <w:rFonts w:ascii="arial" w:eastAsia="arial" w:hAnsi="arial" w:cs="arial"/>
          <w:b w:val="0"/>
          <w:i w:val="0"/>
          <w:strike w:val="0"/>
          <w:noProof w:val="0"/>
          <w:color w:val="000000"/>
          <w:position w:val="0"/>
          <w:sz w:val="20"/>
          <w:u w:val="none"/>
          <w:vertAlign w:val="baseline"/>
        </w:rPr>
        <w:t xml:space="preserve"> obesity. Another commenter disagreed, stating it is inappropriate to expand the current EPM approach to future treatment of chronic conditions because, the commenter suggested, a bigger opportunity for improving quality and achieving savings is avoiding unnecessary episodes and events. In turn, the costs of treatment episodes could be packaged into the costs of managing underlying condition episodes. Commenters stated further that the EGM should also examine utilization patterns, perform comparative analyses for similar conditions, and identify care-improvement opportunities. As such, commenters suggested that the EGM would be better suited to pricing and resource allocation while identifying chronic conditions.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commenters for their suggestion.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Another commenter, referencing the Program of All-Inclusive Care for the Elderly (PACE), recommended that CMS consider a comprehensive episode payment model for services for medical care that could be tied with private payment, enrollment in available community services, or an arrangement with Medicaid. Beneficiaries requiring daily help or supervision would serve as a qualifying condition, which could extend for varying durations.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support for PACE and will work internally to incorporate lessons learned from existing programs in the proposal of future condition-specific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Highlighting the efforts of national medical specialty societies, several commenters provided several condition-specific EPMs which may be successful in reducing emergency department visits, hospital admissions, and excessive testing. Specifically, several commenters gave such examples as coronary artery disease, headache, epilepsy, asthma, opioid use disorder, diabetes, and specialty medical home. Of note, commenters stated that CMS should give additional consideration to defined episode triggers. For example, some commenters suggested that each new episode should be accompanied by time criteria and have a unique but expected time course. These efforts, commenters suggested, might further result in disease prevention, reduced exacerbations, and improved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commenters' eagerness to participate in this dialogue and to be a part of transforming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believed that CMS should view organized provider models as qualifying for condition-specific EPMs. Other commenters suggested that CMS simply include more types of participants, including examples such as ACOs and PCMHs. Still, others commented that participation in future condition-specific EPMs be limited to those organizations that are fully committed to coordinated care planning, shared decision-making, comparative quality information, chronic disease management, transparent payments and care transition support. As an alternative approach to considering future condition-specific EPMs, MedPAC suggested that CMS consider allowing hospitals to share savings with physicians as a way to focus doctors on reducing the cost of the inpatient stay.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and appreciate the suggestion to incorporate more participant types in future condition-specific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Additionally, MedPAC recommended that for conditions that are not promising for bundled payments, CMS could focus on an array of other strategies to support providers in lowering costs while improving patient outcomes. For example, the Medicare spending per beneficiary (MSPB) measure in the hospital value-based purchasing (VBP) program encourages lower spending and improved care coordination. Alteration of the "weight" of the MSPB could be increased to further incentivize hospitals to reduce spending. Furthermore, MedPAC noted that the hospital readmission policy already encourages hospitals to avoid readmissions for AMIs and CABGs. To increase the pressure to reduce readmissions, it was suggested that CMS move forward with readmission policies in all sectors to increase the penalties for providers with high risk- adjusted potentially avoidable readmission rates.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any recommendations MedPAC can provide and will continue to collaborate with stakeholders to develop additional means to improve patient outcome measures. Furthermore, we will work internally to find additional alignment between Innovation Center programs and Medicare payment policies.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consideration of an episode that should address behavioral health integration with primary care. The commenter suggested that guidelines which embed behavioral health measurements into any care setting would equip providers with quantification necessary to impact both physical and mental health of patients.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proposal. We appreciate the many comments received regarding the request for comment and while we did not propose any changes to this section of the final rule, we intend to continually seek to connect those interested to further information on consideration of future condition-specific EPMs that would result in improvement in care for Medicare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Potential Future Event-Based Episode Payment Models for Procedures and Medical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proposed EPM methodology discussed in section III.C.4.a. of this final rule for the three models that would begin the episodes with initial hospitalizations, the proposed AMI, CABG, and SHFFT episodes are similar to the LEJR episodes in the CJR model because they reflect clinical conditions for which care is almost always begun during an inpatient hospitalization, either on an emergency or elective basis. In addition, the clinical conditions represented by these EPM episodes generally result in straightforward assignment to MS-DRGs at discharge that are specific to clinical conditions included in the episodes. This contrasts with procedure-related clinical conditions for which the site-of-service can be inpatient or outpatient (for example, elective PCI for non-AMI beneficiaries) or hospitalization for medical conditions for which the ultimate MS-DRG assigned is less clear at the beginning of an episode (for example, hospitalization for respiratory symptoms which may lead to discharge from heart failure, pneumonia, or other MS-DRGs based on reporting of ICD-CM diagnosis codes on hospital claims).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address the issues related to the development of future episode payment models for a broader range of clinical conditions, we sought comment on model design features that would be important for episode payment models targeting procedures that may be performed in both the inpatient and outpatient setting, as well as models focused on hospitalization for acute medical conditions which may overlap or interact (for example, sepsis related to pneumonia or acute kidney injury related to congestive heart failure exacerbation). In particular, episode payment models must clearly define the beginning of the episode as well as set an episode price that is appropriate for beneficiaries included in the episode, which has commonly been based on historical spending for such beneficiaries in both existing CMS models and the three proposed EPMs. These parameters pose specific challenges as the variety of clinical </w:t>
      </w:r>
      <w:r>
        <w:rPr>
          <w:rFonts w:ascii="arial" w:eastAsia="arial" w:hAnsi="arial" w:cs="arial"/>
          <w:b/>
          <w:i w:val="0"/>
          <w:strike w:val="0"/>
          <w:noProof w:val="0"/>
          <w:color w:val="000000"/>
          <w:position w:val="0"/>
          <w:sz w:val="20"/>
          <w:u w:val="none"/>
          <w:vertAlign w:val="baseline"/>
        </w:rPr>
        <w:t> [*218] </w:t>
      </w:r>
      <w:r>
        <w:rPr>
          <w:rFonts w:ascii="arial" w:eastAsia="arial" w:hAnsi="arial" w:cs="arial"/>
          <w:b w:val="0"/>
          <w:i w:val="0"/>
          <w:strike w:val="0"/>
          <w:noProof w:val="0"/>
          <w:color w:val="000000"/>
          <w:position w:val="0"/>
          <w:sz w:val="20"/>
          <w:u w:val="none"/>
          <w:vertAlign w:val="baseline"/>
        </w:rPr>
        <w:t xml:space="preserve"> conditions targeted for episode payments expands beyond lower extremity orthopedic procedures and acute cardiac conditions, and we expect that such potential future models would need to be designed differently than the CJR model or the EPMs in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because procedures such as PCI for non-AMI beneficiaries or cardioverter defibrillator implantations can occur in the inpatient or outpatient setting, an episode payment model would need to include beneficiaries receiving such procedures at all sites-of-service so as to not influence decisions on where procedures are performed based on payment-related rather than clinical considerations. Episode payment models that begin with the same procedure performed in the inpatient or outpatient setting would require methodological development beyond the approaches that have been used thus far in CMS' other EPMs that rely upon the MS-DRG for a hospitalization to begin an episode and identify historical episodes for setting episode prices. Such models that involve episode payment for procedures furnished in the inpatient or outpatient setting may allow for significant physician-led opportunities that would allow the models to be identified as Advanced APMs. We sought comment on how these types of procedures could be included in future episode payment models, including identifying the accountable entity, and the role of physician-led opportunities; defining the episode beginning and end; setting episode prices; applying risk-adjustment to account for differences in expected episode spending for a heterogeneous population of beneficiaries; and any other issues of importance for the design of such an episode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sought comment on potential future episode payment models that would include care for medical conditions that result in the serious health event of an inpatient hospitalization, which often represents, regardless of the specific reason for the hospitalization, a common pathway that includes failure of outpatient care management and care coordination for beneficiaries with chronic conditions. While we include beneficiaries who solely receive medical treatment in the proposed AMI model, we note that beneficiaries with AMI are almost always hospitalized and their MS-DRGs at discharge are generally predictable and consistent based on their AMI diagnoses. This is not the case for a number of medical conditions for which grouping by MS-DRGs is more complicated or less consistent. Many non-procedural hospitalizations of Medicare beneficiaries are ultimately categorized based on the principal ICD-CM diagnosis code reported on a claim, which in turn is mapped to a Major Diagnostic Category (MDC) based on the involved organ system, which then leads to the assignment of any of various specific MS-DRGs based on the medical groups in the MDC. For example, the medical groups for the Respiratory System MDC are pulmonary embolism, infections, neoplasms, chest trauma, pleural effusion, pulmonary edema and respiratory failure, chronic obstructive pulmonary disease, simple pneumonia, RSV pneumonia and whooping cough, interstitial lung disease, pneumothorax, bronchitis and asthma, respiratory symptoms and other respiratory diagnoses. n36 Unlike a beneficiary who undergoes a surgical procedure or who is hospitalized for a specific medical condition such as AMI, the ultimate MS-DRG at discharge assigned to a beneficiary hospitalized for diagnosis and management of respiratory symptoms may not be clear during the hospitalization itself, or even afterward, until the inpatient claim is submitted and paid by Medicare. This makes it challenging for providers to engage in care delivery redesign targeted to a specific patient population identified by MS-DRG. Additionally, it is possible that beneficiaries hospitalized for certain medical conditions also may follow common clinical pathways before and after discharge for which similar care redesign strategies could be developed and used despite those beneficiaries' assignments to different MS-DRGs for their anchor hospitalizations. Thus, we believe that hospitalization for most medical conditions would require special consideration in the development of potential future episode payment models that goes beyond CMS's current approach of relying upon the MS-DRG for the anchor hospitalization to begin an episode and identify historical episodes for setting episode prices. We sought comment on design features needed to address these considerations, including defining the beginning and end of episodes; setting episode prices, including risk-adjustment, that would support the provision of appropriate and coordinated care for beneficiaries following hospital discharge for a period of time during the episode; and any other issues of importance for the design of such an episode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 Medical Severity Diagnosis Related Groups (MS-DRGs): Definitions Manual. Version 33.0A. 3M Health Information Systems. (October 1,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support for the continued commitment of the Agency to testing episode-based payment models under a range of settings. One commenter suggested that CMS generally consider both clinical and economic expertise as well as include large databases as part of the development of future event-based EPM. While recommendations included both specific surgical procedures, such as PCI or spine surgery, chronic conditions, such as diabetes, and discrete events including colonoscopy and an arm arthroplasty, several commenters submitted more general suggestions that CMS take an expansive approach in general for the consideration of future models and not limit alternative payment models to episode payment approaches. When considering future models to qualify as Advanced APMs, one commenter suggested that CMS count capitated MA relationships in MACRA's APM threshold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preferred an emphasis on future EPMs that consider the role of preventative efforts. For example, one commenter suggested that conditions such as osteoporosis could include efforts to improve bone health and functional level to achieve meaningful reduction in falls and subsequent fracture. The commenter followed that concerns such as fracture prevention be included in future models. To this end, one commenter stated that CMS should take a "bottom-up approach" that encourages providers to develop alternative payment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commenters for their remarks, and will continue to apply the bottom-up approach to improving the coordination among providers in future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concern about the continuation of hospital-based models and recommended that future expansions should include more types of participants, including physicians, and participation should be voluntary. Physicians, one commenter suggested, are best suited to ensure efficient utilization of resources while preserving patient quality by virtue of their direct relationship with the patient during an acute episode. One commenter suggested expansion of physician-focused payment models beyond the Focused Payment Model Technical Advisory Committee (PTAC). In a parallel thought process, many other commenters expressed a desire for CMS to consider post-acute care bundles, ACO based models, and shared </w:t>
      </w:r>
      <w:r>
        <w:rPr>
          <w:rFonts w:ascii="arial" w:eastAsia="arial" w:hAnsi="arial" w:cs="arial"/>
          <w:b/>
          <w:i w:val="0"/>
          <w:strike w:val="0"/>
          <w:noProof w:val="0"/>
          <w:color w:val="000000"/>
          <w:position w:val="0"/>
          <w:sz w:val="20"/>
          <w:u w:val="none"/>
          <w:vertAlign w:val="baseline"/>
        </w:rPr>
        <w:t> [*219] </w:t>
      </w:r>
      <w:r>
        <w:rPr>
          <w:rFonts w:ascii="arial" w:eastAsia="arial" w:hAnsi="arial" w:cs="arial"/>
          <w:b w:val="0"/>
          <w:i w:val="0"/>
          <w:strike w:val="0"/>
          <w:noProof w:val="0"/>
          <w:color w:val="000000"/>
          <w:position w:val="0"/>
          <w:sz w:val="20"/>
          <w:u w:val="none"/>
          <w:vertAlign w:val="baseline"/>
        </w:rPr>
        <w:t xml:space="preserve"> accountability payment models for Inpatient Rehabilitation Facilities (IRFs). One commenter strongly recommended CMS to allow manufacturers to enter into voluntary agreements with CMS to link payment to outcomes. One such outcome proposed by the commenter was the long-term revision rates for total joint arthroplasty (TJA). Any shared savings relative to the average rate of revision among Medicare patients, the commenter suggested, could be shared between implanting surgeons, hospitals and medical device manufacturers. Commenters stated that these additional types of participants could provide a means to ensure efficient utilization within a particular market. In addition, another commenter noted that procedures performed in ambulatory surgical centers may be better situated to serve as the financially accountable entity in order to optimize care coordination to better achieve the goals envisioned by episode-based payment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commenters for their commitment to working with CMS in developing future episode payment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commonly recommended that future bundles be sensitive to considering risk adjustment, appropriate use criteria, patient expectations, stage of disease progression, treatment options, and appropriate quality measures regardless of setting. Commenters also recommended that future measures in future condition-specific payment models should be more directly related to the condition of the beneficiaries within the EPM. To this end, one commenter recommended that CMS include measures of patient engagement and shared care planning. Another commenter suggested that those who participate in geriatric fracture programs and/or obtain CORE Certification, be incentivized to continue such progress. Even as CMS proposed to exclude IPPS new technology add-on payments and OPPS transitional pass-through payments for medical technologies from EPM episodes, one commenter requested that future EPM episodes include additional innovative technologies to qualify for a payment adjustment similar to the Medicare New-Technology add-on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stressed the importance of shared decision-making in the development of future models. One commenter, for example noted the Clinical Practice Improvement Activities Category of the MIPS could be an important first step to greater shared decision-making across healthcare delivery and recommended CMS look to research conducted by PCORI and others for future direction. Specifically, one commenter also noted that shared decision-making and patient engagement tools could be especially informative in situations not triggered by an acute care hospitalization. Several other commenters further strongly encouraged the participation of hospitals, physicians, patients, and other stakeholders in the development, implementation, and testing of future models. Additionally, in future EPM models, a few comments directed CMS to consider directly extending the risk to the other providers, including clinicians as physicians shape the spending during the hospital stay and the selection of the initial post-acute care provider but are not required to be at risk for the 90-day episode spending. Similarly, some commenters noted that post-acute care providers can influence how much spending for post-acute care services is used and the rate of hospital readmissions but are not directly at risk for the 90-day episode spending. Therefore, these commenters suggested such changes to future EPMs would ensure that the financial incentives of the key actors shaping care are aligned.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model design, one commenter recommended that QIOs serve in a technical assistance role for model participants to include data analyses, convening providers in the area, structuring implementation of improvement activities, and monitoring tests of improvement.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commenters for these suggestions and will consider the recommendations as we consider future event-based procedures and medical conditions to include in future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pointed to the Continuing Care Hospital model, and suggested CMS pilot future event-based episode payment models for procedures and medical conditions. The commenter stated that the CCH would allow predictable and reduced costs to the Medicare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the reference.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suggested the implementation of an evaluation EPM, whereby the episode initiates when a beneficiary enters an inpatient setting with a set of symptoms that may be difficult to attribute to one or more MS-DRGs. Such an evaluation EPM, stated the commenter, would need to be limited to a specific set of symptoms, such as the example CMS provided regarding respiratory symptoms.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this specific suggestion.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CMS to exclude other potentially high cost drivers, such as psychiatric readmissions and high cost IV therapy, from future EPM bundles.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this suggestion and will consider if it is applicable to specific future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noted other considerations specific to identifying future models, specifically that CMS update the claims adjudication system and develop contracting tools. The commenter suggested that such changes would encourage participant providers to improve their care pathways and care coordination.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these additional considerations and re-affirm our commitment to continuously engage stakeholders as we establish and operationalize future policies.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requested a meeting with CMS to discuss the specifics of a future innovation model.</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in meeting with CMS to discuss future models. Commenters should note that ideas can also be submitted through </w:t>
      </w:r>
      <w:hyperlink r:id="rId26" w:history="1">
        <w:r>
          <w:rPr>
            <w:rFonts w:ascii="arial" w:eastAsia="arial" w:hAnsi="arial" w:cs="arial"/>
            <w:b w:val="0"/>
            <w:i/>
            <w:strike w:val="0"/>
            <w:noProof w:val="0"/>
            <w:color w:val="0077CC"/>
            <w:position w:val="0"/>
            <w:sz w:val="20"/>
            <w:u w:val="single"/>
            <w:vertAlign w:val="baseline"/>
          </w:rPr>
          <w:t>https://innovation.cms.gov/Share-Your-Ideas/Submit/index.html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seeking comments on future directions for episode payment models, we thank the public for these comments and will evaluate the suggestions for future consideration.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Health Information Technology Readiness for Potential Future Episode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particularly interested in issues related to readiness of providers and suppliers that are not hospitals to take on financial responsibility for episode cost and quality in potential future episode payment models. We have some experience in BPCI Models 2 and 3 with non-hospital providers and suppliers, specifically post-acute care providers and physician group practices (PGPs), who assume financial responsibility for the cost of episode care. In BPCI Model 2, PGPs may directly bear financial responsibility for episode cost for up to 48 clinical conditions for the anchor inpatient admission and up to 90 days post-hospital discharge. In BPCI Model 3, PGPs and post-acute care providers, including skilled nursing facilities, home health agencies, inpatient rehabilitation facilities, and long-term care hospitals, may directly bear financial responsibility for episode cost for up to 48 clinical conditions for a duration that extends up to 90 days </w:t>
      </w:r>
      <w:r>
        <w:rPr>
          <w:rFonts w:ascii="arial" w:eastAsia="arial" w:hAnsi="arial" w:cs="arial"/>
          <w:b/>
          <w:i w:val="0"/>
          <w:strike w:val="0"/>
          <w:noProof w:val="0"/>
          <w:color w:val="000000"/>
          <w:position w:val="0"/>
          <w:sz w:val="20"/>
          <w:u w:val="none"/>
          <w:vertAlign w:val="baseline"/>
        </w:rPr>
        <w:t> [*220] </w:t>
      </w:r>
      <w:r>
        <w:rPr>
          <w:rFonts w:ascii="arial" w:eastAsia="arial" w:hAnsi="arial" w:cs="arial"/>
          <w:b w:val="0"/>
          <w:i w:val="0"/>
          <w:strike w:val="0"/>
          <w:noProof w:val="0"/>
          <w:color w:val="000000"/>
          <w:position w:val="0"/>
          <w:sz w:val="20"/>
          <w:u w:val="none"/>
          <w:vertAlign w:val="baseline"/>
        </w:rPr>
        <w:t xml:space="preserve"> following initiation of post-acute care following discharge from an inpatient hospitalization.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these circumstances, PGPs and post-acute care providers typically need to use health IT to assist them in effectively coordinating the care of BPCI beneficiaries across settings throughout the episodes. The risk-bearing entities participating in BPCI have expressed readiness to take on financial responsibility for episode cost, and they commonly rely upon health IT for assistance in managing the care for BPCI beneficiaries across settings for episodes that extend for a substantial period of time. However, a recent national survey of IT in nursing homes showed common use of IT for administrative activities but less use for clinical care. n37 Anecdotally, stakeholders have told us that accountable non-hospital providers and suppliers, especially those that are not integrated with health systems, may have less well-developed tools for following patients throughout episodes, potentially resulting in greater challenges in reducing the cost and improving the quality of episode care under the BPCI models. Therefore, we understand that limitations in the availability of health IT that can be used in beneficiary management across care settings may pose a significant barrier to the readiness of non-hospital providers and suppliers to assume financial responsibility for episodes in potential future episode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 Alexander, Gregory L. "An Analysis of Nursing Home Quality Measures and Staffing." Quality management in health care 17.3 (2008): 242-251. PMC. Web. 16 July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CJR model, acute care hospitals are financially responsible for cost and quality during LEJR episodes-of-care. CJR model participant hospitals may form partnerships with post-acute care providers such as skilled nursing facilities and home health agencies, as well as physicians and PGPs, to share financial risk and collaborate on care redesign strategies, as in BPCI. Although hospitals are the financially responsible entities under the CJR model, we recognize that partnerships with post-acute care providers could be a crucial driver of episode spending and quality, given that many beneficiaries in the CJR model receive post-acute care services after discharge from the hospital. We also recognize that tools such as health IT may be critical for certain care management and quality strategies targeted toward the goal of lower cost and higher quality episode care. Limitations in the availability of health IT may pose a barrier to effective post-acute care provider collaboration and sharing of financial risk in episode payment models even when hospitals are the financially responsible entities under such models, such as the CJR model and the three new EPMs in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there is wide variation in the readiness of other providers and suppliers to bear financial responsibility for episodes, either directly or indirectly through sharing arrangements with the directly responsible entities where those arrangements may include upside and downside risk. For instance, adoption of health IT among providers in the post-acute care market, such as skilled nursing facilities, continues to lag behind hospitals and providers of ambulatory care services. In addition to facing significant resource constraints, post-acute care providers were not included as an eligible provider type under the Medicare and Medicaid Electronic Health Record (EHR) Incentive Programs. The recent extension of Medicaid 90/10 funding offers new opportunities for states to include post-acute care providers in projects focused on infrastructure development, but will not address the cost of health IT adoption among post-acute care providers. n38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 </w:t>
      </w:r>
      <w:hyperlink r:id="rId27" w:history="1">
        <w:r>
          <w:rPr>
            <w:rFonts w:ascii="arial" w:eastAsia="arial" w:hAnsi="arial" w:cs="arial"/>
            <w:b w:val="0"/>
            <w:i/>
            <w:strike w:val="0"/>
            <w:noProof w:val="0"/>
            <w:color w:val="0077CC"/>
            <w:position w:val="0"/>
            <w:sz w:val="20"/>
            <w:u w:val="single"/>
            <w:vertAlign w:val="baseline"/>
          </w:rPr>
          <w:t>https://www.medicaid.gov/federal-policy-guidance/downloads/SMD16003.pdf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that post-acute care providers and other types of providers and suppliers can succeed under future episode payment models, either as the directly financially responsible entity or as collaborators with other directly financially responsible entities, we are interested in opportunities to increase provider readiness as part of the design of potential future episode payment models and the potential refinement of current episode payment models. Specifically, we would like to explore: Incentives to encourage post-acute care providers, as well as other providers and suppliers that furnish services to episode payment model beneficiaries, to make necessary investments in health IT infrastructure; payment mechanisms that could leverage savings achieved under episode payment models to contribute to these investments; and any other strategies to enhance the adoption, implementation, and upgrading of certified health IT. We sought comment on these ideas, as well as the following questions:</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are key challenges associated with the inclusion of post-acute care providers as the financially responsible entity or as collaborators with other financially responsible entities in episode payment models today?</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would be a sufficient financial incentive or bonus to enhance the adoption, implementation, and upgrading of certified health IT in post-acute care settings?</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else can episode payment models encourage the use of certified health IT and information sharing among providers and suppliers caring for episode payment model beneficiaries to improve care coordination and patient outcomes?</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the existing CJR model, are there additional opportunities to encourage investment in adoption, implementation, and upgrading of certified health IT among post-acute care providers to support improvements in care coordination and patient outcomes? What CJR model refinements could enable direct investments to support these improvements, particularly among post-acute care providers who are unaffiliated with CJR model participant hospitals but who provide services to CJR model beneficiaries, including post-acute care providers who may enter into financial arrangements with CJR model participant hospitals as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recognized the importance that health IT plays in the modern health care landscape, and overall supported the implementation of a more robust health IT system, as such a system may improve the ability to convey quick, accurate information from acute care hospitals related to the discharge MS-DRG and identification of patients who are under a bundled payment program. Many commenters expressed a need for future episode payment models to align with EHR incentive payments, and several commenters expressed concern that post-acute care providers were largely disadvantaged for health IT readiness relative to their inpatient counterparts. For example, commenters stated that post-acute care providers and nonphysician clinicians were marginalized by the Medicare and Medicaid EHR Incentive Programs. Some commenters believe this population represents a significant portion of the health care provider community without the technical and financial support necessary to adopt and implement EHRs in a meaningful way. As many of the measures used under meaningful use, such as e-prescribing, are not applicable to nonphysician practitioners, commenters suggested these and other clinicians have not had the benefit of experience with EHRs at the same rate as their peers who work </w:t>
      </w:r>
      <w:r>
        <w:rPr>
          <w:rFonts w:ascii="arial" w:eastAsia="arial" w:hAnsi="arial" w:cs="arial"/>
          <w:b/>
          <w:i w:val="0"/>
          <w:strike w:val="0"/>
          <w:noProof w:val="0"/>
          <w:color w:val="000000"/>
          <w:position w:val="0"/>
          <w:sz w:val="20"/>
          <w:u w:val="none"/>
          <w:vertAlign w:val="baseline"/>
        </w:rPr>
        <w:t> [*221] </w:t>
      </w:r>
      <w:r>
        <w:rPr>
          <w:rFonts w:ascii="arial" w:eastAsia="arial" w:hAnsi="arial" w:cs="arial"/>
          <w:b w:val="0"/>
          <w:i w:val="0"/>
          <w:strike w:val="0"/>
          <w:noProof w:val="0"/>
          <w:color w:val="000000"/>
          <w:position w:val="0"/>
          <w:sz w:val="20"/>
          <w:u w:val="none"/>
          <w:vertAlign w:val="baseline"/>
        </w:rPr>
        <w:t xml:space="preserve"> in hospitals. As a result, one commenter noted that small practices who may face financial responsibility, such as physical therapists, would face considerable challenges implementing health IT systems in their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recommended that CMS to consider all possible approaches to address this specific concern. One commenter, for example, recommended an approach similar to the ACO Investment Model program whereby participants could receive supplemental payments to offset their upfront investment. Other commenters preferred not to provide specific approaches as the sufficiency of financial incentives or bonus payments may differ for example among Skilled Nursing Facilities (SNFs), Home Health Agencies (HHAs), and institutional or hospital-based post-acute care providers, but highlighted the need for CMS to otherwise incentivize health IT adopters within future models. To effectively implement any such expansion, one commenter further stressed the need for health IT interoperability to be considered, while another commenter stressed instead that CMS should specifically cite the availability of the safe harbors of the Stark and Physician Self-Referral rules, through which health care organizations could choose to assist post-acute, or other providers, in making available EHRs meeting certain requirements in any potential approach. One commenter recommended that CMS continue to engage the long-term and post-acute care community to explore in more detail potential strategies to help overcome challenges providers face, such as the high costs of participating in health information exchange or the operational investment of an EHR system. Other comments on ways to incentivize health IT investment by post-acute care providers included: quicker or premium reimbursement for health IT adoption or upgrade, returning savings to post-acute care providers to offset health IT costs and incentive grants for training staff in health 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will consider these and other possible approaches to address the concerns and challenges associated with implementing health IT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believe we have a better understanding of the issues related to readiness of providers and suppliers that are not hospitals to take achieve interoperability through CEHRT in potential future episode payment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Definition of the Episode Initiator and Selected Geographic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EPMs will complement the current CJR model and continue efforts to move Medicare towards paying providers based on quality and value. As discussed during rulemaking for the CJR model and in the EPMs proposed rule, CMS is interested in testing and evaluating the impact of an episode payment approach for a broad range of episodes in a variety of other circumstances. In addition to including hospitals that have not chosen to voluntarily participate in earlier models, we also are interested in expanding the range of episodes included beyond elective surgical procedures such that the impact on a broader range of beneficiaries, hospitals, and circumstances may be tested. We also are interested in evaluating the impact on hospitals when an increasing percentage of care to Medicare beneficiaries is paid for through alternative payment models.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with CJR, we proposed in § 512.105(c) that the hospital be the accountable financial entity and that these episode payment models be implemented in all IPPS hospitals in the geographic areas selected, subject to exclusions as specified in §§ 512.230 and 512.240 of the proposed rule. While these are considered new episode payment models and do not reflect an expansion or extension of any previous models, they do intentionally build significantly upon the work of BPCI and, most significantly, the framework established for CJR under 42 CFR part 510 published on November 24, 2015 </w:t>
      </w:r>
      <w:hyperlink r:id="rId21" w:history="1">
        <w:r>
          <w:rPr>
            <w:rFonts w:ascii="arial" w:eastAsia="arial" w:hAnsi="arial" w:cs="arial"/>
            <w:b w:val="0"/>
            <w:i/>
            <w:strike w:val="0"/>
            <w:noProof w:val="0"/>
            <w:color w:val="0077CC"/>
            <w:position w:val="0"/>
            <w:sz w:val="20"/>
            <w:u w:val="single"/>
            <w:vertAlign w:val="baseline"/>
          </w:rPr>
          <w:t>(80 FR 73274).</w:t>
        </w:r>
      </w:hyperlink>
      <w:r>
        <w:rPr>
          <w:rFonts w:ascii="arial" w:eastAsia="arial" w:hAnsi="arial" w:cs="arial"/>
          <w:b w:val="0"/>
          <w:i w:val="0"/>
          <w:strike w:val="0"/>
          <w:noProof w:val="0"/>
          <w:color w:val="000000"/>
          <w:position w:val="0"/>
          <w:sz w:val="20"/>
          <w:u w:val="none"/>
          <w:vertAlign w:val="baseline"/>
        </w:rPr>
        <w:t xml:space="preserve"> Given the extensive consideration given to many of these issues during the CJR model planning and rulemaking periods, we believe this is important as we seek to build a model that is scalable across all providers and episode types. We also seek to limit the burden for hospitals and other providers that may be participating across multiple episode types. Therefore, to the extent applicable and appropriate, we have sought consistency with rules established for the CJR model. We sought comment on those areas where alternative options were proposed or should be considered that would not add additional operational burden or complexity. A summary of comments received and CMS' response to those comments are included in the following sections.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Definition of Episode Initiator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proposed EPMs, consistent with our episode initiator definition under the CJR model, we proposed that episodes would begin with the admission to an IPPS acute-care hospital that triggers an AMI, CABG or SHFFT episode as specified in section III.C.4.a. of the proposed rule </w:t>
      </w:r>
      <w:hyperlink r:id="rId9" w:history="1">
        <w:r>
          <w:rPr>
            <w:rFonts w:ascii="arial" w:eastAsia="arial" w:hAnsi="arial" w:cs="arial"/>
            <w:b w:val="0"/>
            <w:i/>
            <w:strike w:val="0"/>
            <w:noProof w:val="0"/>
            <w:color w:val="0077CC"/>
            <w:position w:val="0"/>
            <w:sz w:val="20"/>
            <w:u w:val="single"/>
            <w:vertAlign w:val="baseline"/>
          </w:rPr>
          <w:t>(81 FR 50834).</w:t>
        </w:r>
      </w:hyperlink>
      <w:r>
        <w:rPr>
          <w:rFonts w:ascii="arial" w:eastAsia="arial" w:hAnsi="arial" w:cs="arial"/>
          <w:b w:val="0"/>
          <w:i w:val="0"/>
          <w:strike w:val="0"/>
          <w:noProof w:val="0"/>
          <w:color w:val="000000"/>
          <w:position w:val="0"/>
          <w:sz w:val="20"/>
          <w:u w:val="none"/>
          <w:vertAlign w:val="baseline"/>
        </w:rPr>
        <w:t xml:space="preserve"> As with the CJR model, we proposed that hospitals would be the only episode initiators in these episode payment models. For purposes of these episodes payment models. The term "hospital" means a hospital as defined in section 1886(d)(1)(B) of the Act. This statutory definition of hospital includes only acute care hospitals paid under the IPPS. Under this proposal, all acute care hospitals in Maryland would be excluded and payments to Maryland hospitals would be excluded in the regional pricing calculations as described in section III.D.4. of the proposed rule </w:t>
      </w:r>
      <w:hyperlink r:id="rId9" w:history="1">
        <w:r>
          <w:rPr>
            <w:rFonts w:ascii="arial" w:eastAsia="arial" w:hAnsi="arial" w:cs="arial"/>
            <w:b w:val="0"/>
            <w:i/>
            <w:strike w:val="0"/>
            <w:noProof w:val="0"/>
            <w:color w:val="0077CC"/>
            <w:position w:val="0"/>
            <w:sz w:val="20"/>
            <w:u w:val="single"/>
            <w:vertAlign w:val="baseline"/>
          </w:rPr>
          <w:t>(81 FR 50847).</w:t>
        </w:r>
      </w:hyperlink>
      <w:r>
        <w:rPr>
          <w:rFonts w:ascii="arial" w:eastAsia="arial" w:hAnsi="arial" w:cs="arial"/>
          <w:b w:val="0"/>
          <w:i w:val="0"/>
          <w:strike w:val="0"/>
          <w:noProof w:val="0"/>
          <w:color w:val="000000"/>
          <w:position w:val="0"/>
          <w:sz w:val="20"/>
          <w:u w:val="none"/>
          <w:vertAlign w:val="baseline"/>
        </w:rPr>
        <w:t xml:space="preserve"> This is the same policy that is being followed with the CJR model. In addition, we also proposed to exclude other all-payer state models which may be implemented in the future. We welcomed comments on this proposal and sought comment on potential approaches for including Maryland acute-care hospitals or, potentially, other hospitals in future all-payer state models in these episode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implemented with the CJR model, we proposed to designate IPPS hospitals as the episode initiators to ensure that all services covered under FFS Medicare and furnished by EPM participant hospitals in selected geographic areas to beneficiaries who do not meet the exclusion criteria specified in section III.C.4. of the proposed rule </w:t>
      </w:r>
      <w:hyperlink r:id="rId9" w:history="1">
        <w:r>
          <w:rPr>
            <w:rFonts w:ascii="arial" w:eastAsia="arial" w:hAnsi="arial" w:cs="arial"/>
            <w:b w:val="0"/>
            <w:i/>
            <w:strike w:val="0"/>
            <w:noProof w:val="0"/>
            <w:color w:val="0077CC"/>
            <w:position w:val="0"/>
            <w:sz w:val="20"/>
            <w:u w:val="single"/>
            <w:vertAlign w:val="baseline"/>
          </w:rPr>
          <w:t>(81 FR 50834)</w:t>
        </w:r>
      </w:hyperlink>
      <w:r>
        <w:rPr>
          <w:rFonts w:ascii="arial" w:eastAsia="arial" w:hAnsi="arial" w:cs="arial"/>
          <w:b w:val="0"/>
          <w:i w:val="0"/>
          <w:strike w:val="0"/>
          <w:noProof w:val="0"/>
          <w:color w:val="000000"/>
          <w:position w:val="0"/>
          <w:sz w:val="20"/>
          <w:u w:val="none"/>
          <w:vertAlign w:val="baseline"/>
        </w:rPr>
        <w:t xml:space="preserve"> are included. In addition, the episodes must not be BPCI episodes that we are proposing to exclude as outlined in this section and in section III.C.4. of the proposed rule. We believe that utilizing the hospital admission as the episode initiator is a straightforward approach for these models because patients covered under these DRGs and diagnoses require hospital admission for these services, whether provided on an emergent or planned basis. Under these new models covering medical admissions and services that are not necessarily elective, as stated in the proposed rule, we will be able to expand our testing of a more generalized bundled payment model. Finally, as described in section III.B.4. of the proposed rule </w:t>
      </w:r>
      <w:hyperlink r:id="rId9" w:history="1">
        <w:r>
          <w:rPr>
            <w:rFonts w:ascii="arial" w:eastAsia="arial" w:hAnsi="arial" w:cs="arial"/>
            <w:b w:val="0"/>
            <w:i/>
            <w:strike w:val="0"/>
            <w:noProof w:val="0"/>
            <w:color w:val="0077CC"/>
            <w:position w:val="0"/>
            <w:sz w:val="20"/>
            <w:u w:val="single"/>
            <w:vertAlign w:val="baseline"/>
          </w:rPr>
          <w:t>(81 FR 50815)</w:t>
        </w:r>
      </w:hyperlink>
      <w:r>
        <w:rPr>
          <w:rFonts w:ascii="arial" w:eastAsia="arial" w:hAnsi="arial" w:cs="arial"/>
          <w:b w:val="0"/>
          <w:i w:val="0"/>
          <w:strike w:val="0"/>
          <w:noProof w:val="0"/>
          <w:color w:val="000000"/>
          <w:position w:val="0"/>
          <w:sz w:val="20"/>
          <w:u w:val="none"/>
          <w:vertAlign w:val="baseline"/>
        </w:rPr>
        <w:t xml:space="preserve"> our proposed geographic area selection approach relied upon our definition of hospitals as the entities that initiate episodes. </w:t>
      </w:r>
      <w:r>
        <w:rPr>
          <w:rFonts w:ascii="arial" w:eastAsia="arial" w:hAnsi="arial" w:cs="arial"/>
          <w:b/>
          <w:i w:val="0"/>
          <w:strike w:val="0"/>
          <w:noProof w:val="0"/>
          <w:color w:val="000000"/>
          <w:position w:val="0"/>
          <w:sz w:val="20"/>
          <w:u w:val="none"/>
          <w:vertAlign w:val="baseline"/>
        </w:rPr>
        <w:t> [*222]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on our proposed episode definition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many comments supporting our proposal to initiate these EPM episodes of care with the inpatient hospital admission. However, we also received multiple comments noting the important role that physicians play in managing patient care throughout the episode period including after discharge from the hospital. These same commenters expressed support for more physician based payment models so that physicians can have a more substantial role in managing episodes.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commenters expressed for initiating the EPM episodes with the inpatient hospital admission. While we acknowledge and understand that inpatient initiated episodes represent only one of many potential models for improving the quality of care while restraining the growth in costs, we continue to believe that the appropriate initiating point for the episodes in these EPMs is the inpatient admission. Hospitals play a central role in coordinating episode-related care and ensuring smooth transitions for beneficiaries undergoing services related to these episodes and a large portion of a beneficiary's recovery trajectory from an AMI or CABG or SHFFT begins during the hospital stay which is why we are finalizing the inpatient admission as the initiating event in the episode definition. We also note that CMS has supported and is supporting other voluntary demonstrations and models that focus on providing financial support for care coordination services as recommended by these commenters. In addition, in recent years, the range of services eligible for payment under the Medicare physician fee schedule has expanded to include care transition and chronic care management codes. For further discussion of future models, we refer the reader to section III.A.3. of this final rule, "Future Directions for Episode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any comments related to our exclusion of Maryland nor on the potential inclusion or exclusion of future all-payer state models. Therefore we are finalizing our proposal to exclude Maryland providers from this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Subsequent to the publication of this final rule CMS announced on October 26, 2016 the implementation of the Vermont All Payer ACO Model which will begin on January 1, 2017. Since this new Vermont model is an all payer model and since we proposed to exclude all of the all payer state models from the EPM we are also finalizing the exclusion of Vermont providers from selection for participation in the EPMs. We note that currently none of the MSAs in Vermont are participating in the CJR model and would, therefore, not have been selected to participate in the SHFFT EPM.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proposed episode definition, without modification, such that these EPM episodes will be initiated with the admission to an IPPS acute-care hospital that triggers an AMI, CABG or SHFFT episode as specified in section III.C.4.a. of this final rule. We are also finalizing the exclusion of hospitals in Maryland and Vermont from participation in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Financial Responsibility for the Episode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the CJR model, and as discussed in the proposed rule, we continue to believe it is most appropriate to identify a single type of provider to bear financial responsibility for making repayment, if any, to CMS under the model. Therefore, we proposed to make hospitals, as the episode initiators, financially responsible for the episode of care for the following several reasons:</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Hospitals play a central role in coordinating episode-related care and ensuring smooth transitions for beneficiaries undergoing services related to SHFFT, AMI and CABG episodes. A large portion of a beneficiary's recovery trajectory from an AMI, CABG, or SHFFT begins during the hospital stay.</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Most hospitals already have some infrastructure related to health IT, patient and family education, and care management and discharge planning. This includes post-acute care coordination infrastructure and resources such as case managers, which hospitals can build upon to achieve efficiencies under these EPMs.</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definition, these episodes always begin with an acute care hospital stay. While often preceded by an emergency room visit and possible transfer from another hospital's emergency room, or followed by post-acute care, these parties are not necessarily always present and would not be appropriate to target as the financially responsible party for this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EPM episodes may be associated with multiple hospitalizations through transfers. When multiple hospitalizations occur, we proposed that the financial responsibility be given to the hospital to which the episode is attributed, as described in section III.C.4 of the proposed rule. We recognize that, particularly where the admission may be preceded by an emergency room visit and subsequent transfer to a tertiary or other regional hospital facility, patients often wish to return home to their local area for post-acute care. Many hospitals have recently heightened their focus on aligning their efforts with those of community providers, both those in the immediate area as well as more outlying areas from which they receive transfers and referrals, to provide an improved continuum of care. In many cases, this is due to the incentives under other CMS models and programs, including ACO initiatives such as the Shared Savings Program, the Hospital Readmissions Reduction Program (HRRP), and the CJR model. By focusing on the hospital as the accountable or financially responsible entity, we hope to continue encouraging this coordination across providers and sought comment on ways we can best encourage these relationships within the scope of these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support of our proposal that hospitals be the episode initiators under these EPMs, we believe that hospitals are more likely than other providers to have an adequate number of episode cases to justify an investment in episode management for these EPMs. We also believe that hospitals are most likely to have access to resources that would allow them to appropriately manage and coordinate care throughout these episodes. Finally, the hospital staff is already involved in discharge planning and placement recommendations for Medicare beneficiaries, and more efficient post-acute care service delivery provides substantial opportunities for improving quality and reducing costs under EPMs. For those hospitals that are already participating in CJR, we believe the efforts that have been put in place to support patients receiving LEJR will be supportive of the new EPMs proposed under this rule, particularly for SHFFT episodes which we proposed to implement in the same geographic areas as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as noted when planning for the CJR model, although the BPCI initiative includes the possibility of a physician group practice as a type of episode initiating participant, the physician groups electing to participate in BPCI have done so because their practice structure supports care redesign and other infrastructure necessary to bear financial responsibility for episodes. These physician groups are not necessarily representative of the typical group practice. As with the CJR </w:t>
      </w:r>
      <w:r>
        <w:rPr>
          <w:rFonts w:ascii="arial" w:eastAsia="arial" w:hAnsi="arial" w:cs="arial"/>
          <w:b/>
          <w:i w:val="0"/>
          <w:strike w:val="0"/>
          <w:noProof w:val="0"/>
          <w:color w:val="000000"/>
          <w:position w:val="0"/>
          <w:sz w:val="20"/>
          <w:u w:val="none"/>
          <w:vertAlign w:val="baseline"/>
        </w:rPr>
        <w:t> [*223] </w:t>
      </w:r>
      <w:r>
        <w:rPr>
          <w:rFonts w:ascii="arial" w:eastAsia="arial" w:hAnsi="arial" w:cs="arial"/>
          <w:b w:val="0"/>
          <w:i w:val="0"/>
          <w:strike w:val="0"/>
          <w:noProof w:val="0"/>
          <w:color w:val="000000"/>
          <w:position w:val="0"/>
          <w:sz w:val="20"/>
          <w:u w:val="none"/>
          <w:vertAlign w:val="baseline"/>
        </w:rPr>
        <w:t xml:space="preserve"> model, the infrastructure necessary to accept financial responsibility for episodes is not present across all physician group practices, and thus, as we stated in the proposed rule, we do not believe it would be appropriate to designate physician group practices to bear the financial responsibility for making repayments to CMS under the proposed EPMs. We sought comment on our proposal to establish financial responsibility and accountability under the AMI, CABG, and SHFFT EPMs consistent with our implementation of the CJR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there are SHFFT, AMI, and CABG episodes being tested in BPCI Models 2, 3 or 4. The last remaining BPCI Model 1 hospital will end December 31, 2016 and will, therefore, not overlap with EPM. In addition, under BPCI, there are episodes for PCI, which, if an AMI were also involved, would fall under the AMI model proposed. We proposed that IPPS hospitals located in an area selected for any one of the episode payment models proposed in the proposed rule </w:t>
      </w:r>
      <w:hyperlink r:id="rId9" w:history="1">
        <w:r>
          <w:rPr>
            <w:rFonts w:ascii="arial" w:eastAsia="arial" w:hAnsi="arial" w:cs="arial"/>
            <w:b w:val="0"/>
            <w:i/>
            <w:strike w:val="0"/>
            <w:noProof w:val="0"/>
            <w:color w:val="0077CC"/>
            <w:position w:val="0"/>
            <w:sz w:val="20"/>
            <w:u w:val="single"/>
            <w:vertAlign w:val="baseline"/>
          </w:rPr>
          <w:t>(81 FR 50834)</w:t>
        </w:r>
      </w:hyperlink>
      <w:r>
        <w:rPr>
          <w:rFonts w:ascii="arial" w:eastAsia="arial" w:hAnsi="arial" w:cs="arial"/>
          <w:b w:val="0"/>
          <w:i w:val="0"/>
          <w:strike w:val="0"/>
          <w:noProof w:val="0"/>
          <w:color w:val="000000"/>
          <w:position w:val="0"/>
          <w:sz w:val="20"/>
          <w:u w:val="none"/>
          <w:vertAlign w:val="baseline"/>
        </w:rPr>
        <w:t xml:space="preserve"> that also are episode initiators for episodes in the risk-bearing phase of BPCI Models 2 or 4 be excluded from participating in the AMI, CABG, or SHFFT EPMs if the applicable episode otherwise would qualify to be covered under BPCI. This exclusion would be in effect only during the time that the relevant qualifying episodes are included in one of the BPCI models. Likewise, we proposed that if the EPM participant is not an episode initiator for overlapping episodes under BPCI Models 2 or 4, but these same episodes are initiated during the anchor hospitalization by a physician group practice (PGP) under BPCI Model 2 (where the services are provided at the episode initiating hospital) then the episode also shall be covered under BPCI and be excluded from the EPMs proposed under the proposed rule </w:t>
      </w:r>
      <w:hyperlink r:id="rId9" w:history="1">
        <w:r>
          <w:rPr>
            <w:rFonts w:ascii="arial" w:eastAsia="arial" w:hAnsi="arial" w:cs="arial"/>
            <w:b w:val="0"/>
            <w:i/>
            <w:strike w:val="0"/>
            <w:noProof w:val="0"/>
            <w:color w:val="0077CC"/>
            <w:position w:val="0"/>
            <w:sz w:val="20"/>
            <w:u w:val="single"/>
            <w:vertAlign w:val="baseline"/>
          </w:rPr>
          <w:t>(81 FR 50834).</w:t>
        </w:r>
      </w:hyperlink>
      <w:r>
        <w:rPr>
          <w:rFonts w:ascii="arial" w:eastAsia="arial" w:hAnsi="arial" w:cs="arial"/>
          <w:b w:val="0"/>
          <w:i w:val="0"/>
          <w:strike w:val="0"/>
          <w:noProof w:val="0"/>
          <w:color w:val="000000"/>
          <w:position w:val="0"/>
          <w:sz w:val="20"/>
          <w:u w:val="none"/>
          <w:vertAlign w:val="baseline"/>
        </w:rPr>
        <w:t xml:space="preserve"> Otherwise qualifying EPM episodes (that is, those that are not part of an overlapping BPCI AMI, CABG, PCI or SHFFT episode) at the participant hospital would be included in these new EPMs. However, because BPCI participation is voluntary and participating providers may select which episodes to participate in, we proposed that a BPCI participating provider will participate in any of the proposed AMI, CABG, or SHFFT EPMs for any episodes not otherwise preempted under their BPCI participation. For example, a BPCI Model 2 hospital in an AMI episode model geographic area participating in BPCI only for CABGs will be an EPM participant in the AMI model. Similarly, an acute care hospital participating in BPCI for LEJR but not SHFFT episodes would be exempt from participation in the CJR model in a CJR model geographic area but would participate in the SHFFT model for SHFFT episodes. In addition, providers participating in BPCI may also collaborate with an EPM participant for episodes not covered under BPCI. It should be noted that due to differences in how the AMI episode is defined under the AMI model versus BPCI and the inclusion of PCI MS-DRGs under the latter, a patient with the same discharge MS-DRG and diagnoses may qualify for a PCI episode under BPCI and an AMI episode under the AMI model. As stated in the proposed rule, our intent is to give precedence to BPCI regardless of which episode a patient qualifies for if the patient would be covered under BPCI.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III.D.6. of the proposed rule we discussed in more detail how we proposed to handle situations when a beneficiary receives services that would qualify for inclusion in more than one CMS payment model during the same or overlapping periods of time. We welcomed input on how these overlaps should be handled to best encourage ongoing care coordination while minimizing the impact on other models and limiting confusion and operational burden for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proposed that the EPM participant be financially responsible for the episode of care under these EPMs, we also stated that we believe that effective care redesign requires meaningful collaboration among acute care hospitals, post-acute care providers, physicians, and other providers and suppliers within communities to achieve the highest value care for Medicare beneficiaries. We continue to believe it is essential for key providers to be aligned and engaged, financially and otherwise, with the EPM participants, with the potential to share financial responsibility with those EPM participants. We noted that all relationships between and among providers and suppliers must comply with all relevant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 and all Medicare payment and coverage requirements unless otherwise specified further in this section and in sections III.I. and III.J. of the proposed rule. Depending on a hospital's current degree of clinical integration, new and different contractual relationships among hospitals and other health care providers may be important, although not necessarily required, for EPM success in a community. We acknowledge that financial incentives for other providers may be important aspects of the model in order for EPM participants to partner with these providers and incentivize certain strategies to improve episode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acknowledged the important role of conveners in the BPCI model, and that AMI, CABG, and SHFFT model participants may wish to enter into relationships with EPM collaborators and other entities in order to manage the episode of care or distribute risk, we proposed that the ultimate financial responsibility of the episode would remain with the EPM participant. Exceptions to this general rule for beneficiaries covered under certain risk bearing ACO arrangements are outlined in section III.D.6. of this final rule. As with the CJR model, we did not intend to restrict the ability of EPM participants to enter into administrative or risk sharing arrangements related to these EPMs, except to the extent that such arrangements are already restricted or prohibited by existing law. We referred readers to section III.I. of the final rule for further discussion of model design elements that may outline financial arrangements between EPM participants and other providers and suppliers.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numerous comments related to our proposal to have the hospital be the single accountable entity for the EPM episodes. Many commenters were supportive of this policy and, while not ignoring the importance of other providers, agreed that hospitals were best positioned to assume risk for these episodes. Other commenters were less supportive of this proposal, noting that hospitals could be disadvantaged if physicians and post-acute care providers were not also at risk or if conflicting interests hindered their willingness to collaborate. A few commenters expressed concern that while hospitals would bear the risk, hospitals might be limited in their ability to control that same risk. For example, one commenter referenced the penalty that hospitals already face for readmissions which may not be correlated to inpatient care. One commenter stated that post-acute care providers would be more motivated if they were required to share in even a small percentage of the incentives or risk directly. Another commenter noted that the current per-diem payment system for SNFs put SNF providers at particular risk. Although SNFs will invest resources to reduce/shorten SNF stays, which can create significant savings for the EPM participant, the </w:t>
      </w:r>
      <w:r>
        <w:rPr>
          <w:rFonts w:ascii="arial" w:eastAsia="arial" w:hAnsi="arial" w:cs="arial"/>
          <w:b/>
          <w:i w:val="0"/>
          <w:strike w:val="0"/>
          <w:noProof w:val="0"/>
          <w:color w:val="000000"/>
          <w:position w:val="0"/>
          <w:sz w:val="20"/>
          <w:u w:val="none"/>
          <w:vertAlign w:val="baseline"/>
        </w:rPr>
        <w:t> [*224] </w:t>
      </w:r>
      <w:r>
        <w:rPr>
          <w:rFonts w:ascii="arial" w:eastAsia="arial" w:hAnsi="arial" w:cs="arial"/>
          <w:b w:val="0"/>
          <w:i w:val="0"/>
          <w:strike w:val="0"/>
          <w:noProof w:val="0"/>
          <w:color w:val="000000"/>
          <w:position w:val="0"/>
          <w:sz w:val="20"/>
          <w:u w:val="none"/>
          <w:vertAlign w:val="baseline"/>
        </w:rPr>
        <w:t xml:space="preserve"> commenter stated SNF providers will be disadvantaged/harmed as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require proportional sharing of reconciliation payments by the EPM participant with post-acute care providers and requested that we amend the language to more clearly outline how reconciliation payments should be shared proportionally among all EPM collaborators, noting that this change would also likely require these same providers to share in downside risk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objected to the hospital holding sole financial accountability for the models as they believe that physicians, including hospitalists, surgeons, and internal medicine subspecialists are best positioned to impact the process of care. These commenters stated that CMS should be giving priority to physician-centered alternative payment models. One commenter believes that having the hospital in charge of the bundle could give the hospital inappropriate leverage over other participants and or lead to the exclusion of providers if they failed to agree to the hospital's terms. Other commenters wanted the flexibility for conveners to assume risk and organize groups of providers, as is allowed under BPCI.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specifically stated that determination of the accountable entity should be based not only on the ability to accept risk but also the ability to change care delivery patterns. While one commenter explicitly stated that "only physicians can make the determination as to what types of care could effectively address patients' needs," that commenter also wanted payment to physicians to be predictable and physician financial accountability limited to "costs that are within their control." The perspective that physicians were best positioned to manage the episode of care and desire for them to have the opportunity to bear risk, particularly as it might pertain to eligibility for advanced alternative payment model status, was expressed by a number of commenters although the focus in such comments was on voluntary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expressed by certain commenters for our proposed policy to hold the initiating hospital as the financially accountable entity for the EPM episodes. While we acknowledge the critical importance of physicians and other providers, in particular those providing post-acute care, in managing episodes which extend 90 days beyond discharge from the anchor hospitalization, we continue to believe the hospital should be the financially accountable entity for these models. For hospitals to be successful in managing EPMs, we firmly believe that they will need to actively solicit the support of physicians, post-acute care providers, and other clinical care providers in order to provide the best quality of care in a cost effective manner. In many, if not most situations, this may involve establishing collaborative agreements with a risk sharing arrangement. We support other types of providers assuming risk where they are financially able to do so and agree that providers that have a share in the risk, both positive and negative, may be more motivated to establish collaborative agreements. However, we do not believe that in a model with required participation, any other provider group is consistently as financially positioned to assume risk as is the hospital to which the episode is attributed. We also do not want to mandate a specific division of risk between providers or to direct the specific terms of any collaborator agreements that may be established. We disagree that the current proposal to make hospitals the financially accountable entity undermines the role of the physician, and in providing for a range of collaborator agreements, we hope that EPM participants will actively engage in gainsharing with others. We refer readers to section III.I of this final rule for a fuller discussion of allowable collaborator relationships. We believe that in order to be most successful, hospitals will reach out to other providers to establish agreements with collaborators, although we acknowledge that it may take time to negotiate and establish such arrangements. While some physician groups and post-acute care providers are in a position to take on risk, we continue to believe that many, particularly those in smaller groups and those in more rural areas, are not and, in fact, no commenter suggested that this was the case. Even where the focus of a comment was on providing more opportunities for physicians to assume risk, it was in the context of voluntary models such as BPCI. We appreciate those comments and, in fact, will give precedence to BPCI participants where there is such overlap. Readers are referred to section III.D.6. of this final rule, "Adjustments for Overlaps with Other Innovation Center Models and CMS Programs," which addresses in more detail how situations where there is an overlap between EPMs and other episode based models will be handled. We address in section III.D.6.b.(2). of this final rule, how patients attributed to other physician-centric episode models will be attributed. We also note in section III.A.3 of this final rule opportunities for future alternative payment models which may be more physician-centric. We are committed to testing a number of alternative payment models, many of which may be voluntary and more appropriate for physicians or other providers to assume risk.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a few comments that not only advocated for more flexibility in which entity would be allowed to assume risk for the episode but also suggested that CMS more actively encourage collaboration by providing more specific operational guidance regarding how risk should be shared among different providers. A few commenters noted that financial agreements may not always be feasible. One commenter noted that in markets where physicians, hospitals and post-acute care providers already work well together, the foundation for effective gainsharing arrangements are more likely to be in place. Others noted that some organizations may be willing to share in any savings but not be willing to accept downside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that CMS require that EPM participants execute gainsharing arrangements with providers to establish a third party entity to receive and distribute reconciliation payments in accordance with the terms of such sharing agreements.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the challenges that some EPM participants may have in establishing effective collaborative agreements. Similarly, we acknowledge the potential challenges that non-hospital providers such as physicians and post-acute care providers may have in getting EPM participants to share risk in a manner that is believed to be equitable to all. However, we do not believe it is appropriate for CMS to either require or establish specific criteria for the terms of such agreements nor to specify how they should be operationalized. We continue to believe, however, that the most successful EPMs will be motivated to engage other providers so that interests and incentives are aligned. We refer readers to section III.I. of this final rule, "Financial Arrangements under EPM," for a full discussion of EPM financial arrangements.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make hospitals the episode initiators and financially responsible for the episode of care. </w:t>
      </w:r>
      <w:r>
        <w:rPr>
          <w:rFonts w:ascii="arial" w:eastAsia="arial" w:hAnsi="arial" w:cs="arial"/>
          <w:b/>
          <w:i w:val="0"/>
          <w:strike w:val="0"/>
          <w:noProof w:val="0"/>
          <w:color w:val="000000"/>
          <w:position w:val="0"/>
          <w:sz w:val="20"/>
          <w:u w:val="none"/>
          <w:vertAlign w:val="baseline"/>
        </w:rPr>
        <w:t> [*225]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Geographic Unit of Selection and Exclusion of Selected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determine the geographic unit of selection for these episode payment models, we conducted an analysis similar to that used for the CJR model. For the CJR model, we considered using a stratified random sampling methodology to select: (1) Certain counties based on their Core-Based Statistical Area (CBSA) status; (2) certain zip codes based on their Hospital Referral Regions (HRR) status or (3) certain states. We concluded that selection based on MSAs provided the best balance between choosing smaller geographic units while still capturing the impact of market patterns reflecting the mobility of patients and providers and limiting the potential risk for patient shifting and steerage between MSAs. HRRs are based on where patients receive selected tertiary care services, which do not include orthopedic services. Therefore, HRRs may not be representative of where patients receive specialty orthopedic care or more routine orthopedic services such as hip and knee arthroplasty. Selection of states rather than MSAs would have greatly reduced the number of independent geographic areas subject to selection and, therefore, the statistical power of the evaluation. For similar reasons and to maintain consistency with the CJR model, we proposed implementation at the MSA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similarly considered whether these new models should be limited to hospitals where a high volume of these episodes occur, which would result in a more narrow test on the effects of an episode-based payment, or whether to include all hospitals in particular geographic areas, which would result in testing the effects of an episode-based payment approach more broadly across an accountable care community seeking to coordinate care longitudinally across settings. However, as with the CJR model, if we were to limit participation based on volume, there would be more potential for behavioral changes that could include patient shifting and steering between hospitals in a given geographic area that could impact the test. Additionally, this approach would provide less information on testing payments for these episodes across a wide variety of hospitals with different characteristics. Selecting geographic areas and including all IPPS hospitals in those areas not otherwise excluded due to BPCI overlap as previously described and in section III.D.6. of the proposed rule as model participants would help to minimize the risk of participant hospitals shifting higher cost cases out of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determining where to implement these EPMs, we also considered whether implementation of the CJR model in the same geographic area should be a factor. We realize that there is likely to be considerable overlap in the selection criteria between MSAs where the SHFFT EPM might be appropriate and those MSAs where the CJR model is now being implemented. While limiting burden on hospitals is an important consideration, we also believe that the infrastructure being put in place as a result of the CJR model presents significant advantages for implementation of the SHFFT model. For similar reasons, and in order to minimize patient steerage and/or transfer for reasons due solely to the implementation of these new payment models, we believe that it is appropriate to implement the AMI model and CABG model together in the same geographic areas, albeit not necessarily in the same areas as the CJR and SHFFT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given the authority in section 1115A(a)(5) of the Act, which allows the Secretary to elect to limit testing of a model to certain geographic areas, we proposed that the SHFFT model be implemented in those MSAs where the CJR model is being implemented.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proposed that the AMI and CABG models be implemented in MSAs selected independently based on the criteria discussed in the proposed rule </w:t>
      </w:r>
      <w:hyperlink r:id="rId9" w:history="1">
        <w:r>
          <w:rPr>
            <w:rFonts w:ascii="arial" w:eastAsia="arial" w:hAnsi="arial" w:cs="arial"/>
            <w:b w:val="0"/>
            <w:i/>
            <w:strike w:val="0"/>
            <w:noProof w:val="0"/>
            <w:color w:val="0077CC"/>
            <w:position w:val="0"/>
            <w:sz w:val="20"/>
            <w:u w:val="single"/>
            <w:vertAlign w:val="baseline"/>
          </w:rPr>
          <w:t>(81 FR 50815).</w:t>
        </w:r>
      </w:hyperlink>
      <w:r>
        <w:rPr>
          <w:rFonts w:ascii="arial" w:eastAsia="arial" w:hAnsi="arial" w:cs="arial"/>
          <w:b w:val="0"/>
          <w:i w:val="0"/>
          <w:strike w:val="0"/>
          <w:noProof w:val="0"/>
          <w:color w:val="000000"/>
          <w:position w:val="0"/>
          <w:sz w:val="20"/>
          <w:u w:val="none"/>
          <w:vertAlign w:val="baseline"/>
        </w:rPr>
        <w:t xml:space="preserve"> This would result in four separate categories of MSAs: (1) MSAs where only the CJR and SHFFT model episodes are being implemented; (2) MSAs where only the CABG model and AMI model episodes are being implemented; (3) MSAs where the CJR as well as the AMI, CABG, and SHFFT models are being implemented; and (4) MSAs where neither CJR nor any of the new episode payment models are being implemented. We believe this will provide an opportunity to test the impact of implementing EPMs across not only a greater diversity of episodes but also as an increasing percentage of hospital discharges. We sought comment on our proposal to implement the SHFFT model in the same geographic region as the CJR model and to implement both the AMI model and the CABG model in the same MSAs, some of which may overlap with MSAs where the CJR and SHFFT models also are being implemented.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While several commenters explicitly noted concurrence with our proposed method for selecting the MSAs where these models will be implemented, we did receive a few comments related to the selection of areas based on MSAs vs. other geographic units such as CBSAs as well as other recommended criteria upon which to base our selection. We address some of the specific factors in the comments located in this section. Independent of the selection methodology, several commenters requested that CMS publish a list of the hospitals CMS believed were in the selected MSAs and allow hospitals 60 days to comment. Other commenters requested that CMS publish the list of MSAs selected as soon as possible to allow those hospitals impacted additional preparatory time prior to the initial effective date of EPMs. Other commenters emphasized the importance of maintaining beneficiary freedom of choice in selecting where and how to receive care regardless of the beneficiary's geographic residence or the MSAs selected for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With regard to MSAs as the geographic unit of selection, we continue to believe, consistent with CJR, that MSAs allow us to observe the impact of the model in a variety of circumstances and provide the best balance between choosing smaller geographic units while still capturing the impact of market patterns reflecting the mobility of patients and providers. We also believe that MSAs limit the potential risk for patient shifting and steerage. As such, we see no reason to change the unit of selection or to be inconsistent with what has already been implemented with CJR. For an in depth discussion of this, we refer the reader to the final CJR rule (42 CFR part 510, </w:t>
      </w:r>
      <w:hyperlink r:id="rId21" w:history="1">
        <w:r>
          <w:rPr>
            <w:rFonts w:ascii="arial" w:eastAsia="arial" w:hAnsi="arial" w:cs="arial"/>
            <w:b w:val="0"/>
            <w:i/>
            <w:strike w:val="0"/>
            <w:noProof w:val="0"/>
            <w:color w:val="0077CC"/>
            <w:position w:val="0"/>
            <w:sz w:val="20"/>
            <w:u w:val="single"/>
            <w:vertAlign w:val="baseline"/>
          </w:rPr>
          <w:t>80 FR 73288).</w:t>
        </w:r>
      </w:hyperlink>
      <w:r>
        <w:rPr>
          <w:rFonts w:ascii="arial" w:eastAsia="arial" w:hAnsi="arial" w:cs="arial"/>
          <w:b w:val="0"/>
          <w:i w:val="0"/>
          <w:strike w:val="0"/>
          <w:noProof w:val="0"/>
          <w:color w:val="000000"/>
          <w:position w:val="0"/>
          <w:sz w:val="20"/>
          <w:u w:val="none"/>
          <w:vertAlign w:val="baseline"/>
        </w:rPr>
        <w:t xml:space="preserve"> We concur that it is important that all participants clearly understand which hospitals will be impacted. Prior to implementation and in conjunction with the publication of this final rule, CMS will publish a list of hospitals that, based on the geographic location associated with the hospital's CMS Certification Number (CCN), we believe are located in the selected MSAs and will be subject to participation in these EPMs. Hospitals identified using this method will have the opportunity to correct any information CMS has on file that may impact whether they are or are not in a selected MSA by contacting </w:t>
      </w:r>
      <w:hyperlink r:id="rId28" w:history="1">
        <w:r>
          <w:rPr>
            <w:rFonts w:ascii="arial" w:eastAsia="arial" w:hAnsi="arial" w:cs="arial"/>
            <w:b w:val="0"/>
            <w:i/>
            <w:strike w:val="0"/>
            <w:noProof w:val="0"/>
            <w:color w:val="0077CC"/>
            <w:position w:val="0"/>
            <w:sz w:val="20"/>
            <w:u w:val="single"/>
            <w:vertAlign w:val="baseline"/>
          </w:rPr>
          <w:t>epm@cms.hhs.gov</w:t>
        </w:r>
      </w:hyperlink>
      <w:r>
        <w:rPr>
          <w:rFonts w:ascii="arial" w:eastAsia="arial" w:hAnsi="arial" w:cs="arial"/>
          <w:b w:val="0"/>
          <w:i w:val="0"/>
          <w:strike w:val="0"/>
          <w:noProof w:val="0"/>
          <w:color w:val="000000"/>
          <w:position w:val="0"/>
          <w:sz w:val="20"/>
          <w:u w:val="none"/>
          <w:vertAlign w:val="baseline"/>
        </w:rPr>
        <w:t xml:space="preserve"> within 45 days after the publication of the Final Rule. Finally, we concur that beneficiaries continue to have the freedom to choose where they will receive services, regardless of the payment model in place in a particular geographic area. We refer readers to </w:t>
      </w:r>
      <w:r>
        <w:rPr>
          <w:rFonts w:ascii="arial" w:eastAsia="arial" w:hAnsi="arial" w:cs="arial"/>
          <w:b/>
          <w:i w:val="0"/>
          <w:strike w:val="0"/>
          <w:noProof w:val="0"/>
          <w:color w:val="000000"/>
          <w:position w:val="0"/>
          <w:sz w:val="20"/>
          <w:u w:val="none"/>
          <w:vertAlign w:val="baseline"/>
        </w:rPr>
        <w:t> [*226] </w:t>
      </w:r>
      <w:r>
        <w:rPr>
          <w:rFonts w:ascii="arial" w:eastAsia="arial" w:hAnsi="arial" w:cs="arial"/>
          <w:b w:val="0"/>
          <w:i w:val="0"/>
          <w:strike w:val="0"/>
          <w:noProof w:val="0"/>
          <w:color w:val="000000"/>
          <w:position w:val="0"/>
          <w:sz w:val="20"/>
          <w:u w:val="none"/>
          <w:vertAlign w:val="baseline"/>
        </w:rPr>
        <w:t xml:space="preserve"> section III.G. of this final rule, "Monitoring and Beneficiary Protection," for a discussion of these issues.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number of commenters expressed concern about implementing the SHFFT EPMs in those MSAs where the CJR model is being implemented. Some commenters expressed concern that we were adding the SHFFT model to the existing CJR model. Other commenters expressed concern that sufficient time had not elapsed to allow hospitals or CMS to learn from their experience. Many believe they needed more time to be able to analyze the results from at least the first year of CJR as well as incorporating findings from the BPCI experience before adding the additional burden of implementing a new model with required participation. While both CJR and SHFFT involve some of the same providers and specialties, some commenters noted that the SHFFT patient population was distinctly different requiring different care pathways and resources. Because of the concern about additional burden on those MSAs where the CJR model has been implemented, some commenters believe that those same MSAs should, therefore, be exempt from implementing the additional cardiac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To clarify for commenters, the SHFFT model is separate and distinct from the CJR model although it is designed to run in the same MSAs in which the CJR model is currently operational. We acknowledge the challenges that hospitals implementing CJR may have in order to implement the SHFFT EPM. While recognizing that the patients covered under the SHFFT EPM may be frailer and potentially require different and/or a more intensive level of care, we also continue to believe that SHFFT is similar to CJR in that it involves many of the same specialties and provider types. While there may be different care pathways, we hope that much of the infrastructure and collaborator agreements put in place will provide a solid base upon which to build for SHFFT. As CMS seeks to move away from fee for service payment systems to more value based purchasing, we believe that SHFFT represents a reasonable next step in this transition.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acknowledge that in those MSAs where the cardiac EPMs will be alongside CJR and now SHFFT, EPM participants will face additional burdens and challenges. However, we do not believe that it is appropriate to exclude those MSAs where CJR and SHFFT will be implemented from eligibility for selection for the cardiac EPMs. Exclusion of these MSAs would result in a comparative over representation in the cardiac EPMs of lower cost and lower population MSAs due to the manner in which the CJR MSAs were selected. For a full discussion of the criteria for selecting cardiac EPMs, we refer readers to section III.B.5. of this final rule, "Overview and Options for Geographic Area Selection for AMI and CABG Episodes". As we move towards more inpatient care being covered under these types of models, we will monitor and evaluate the impact on different types of hospitals implementing multiple EPMs so as to minimize operational burden and improve outcomes.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did not disagree with the use of MSAs specifically, but did note the potential for negative impact on certain hospitals in a model where all hospitals in the MSA providing the covered services are required to participate. This included concern for both high performing regional and national referral centers which may already be providing high quality care at a lower cost as well as hospitals with more limited numbers of eligible discharges and/or those serving at risk populations which often have lower operating margins and thus may be at greater financial risk. These commenters suggested that demographic factors such as age, race, and poverty levels could be used to limit which MSAs were selected.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that some hospitals may face particular challenges in implementing EPMs whether it be due to demographic factors related to their patient base, a lower number of potential EPMs each year, or other factors. A key reason for doing a model with required participation is, in fact, to examine and better understand the impact of a model on a broader range of facility types and communities than are usually included in a voluntary model. Although we do not believe that using specific demographic factors in MSA selection is appropriate, in response to comments on other sections of this rule around risk-adjustment, we are finalizing a timeframe for the implementation of downside risk that allows us time to look carefully at different approaches for recognizing and adjusting for risk in these models which we will discuss via notice and comment rulemaking for FY 2019 and we believe that these actions will help to resolve concerns expressed regarding greater financial risk for high performing regional and national referral centers.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key rationale for conducting a model with required participation is the ability to examine variations in the impact of the model on a broad range of hospitals in a variety of different market conditions in order to better understand how the model operates in a variety of circumstances. Although demographic factors are not proposed to be part of the selection process for MSAs, we do consider, as noted in the proposed and this final rule, these factors to be important to the proper understanding of the impact of the models and where is more or less successful. The evaluation will consider the suggested demographic domains and other measures in determining which MSAs are appropriate comparison markets as well as for possible subgroup analyses.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suggested eliminating those MSAs that had a higher penetration of Medicare Advantage plans or suggested that we select MSAs that will minimize overlap with BPCI and ACO participating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in this rule the reasons for aligning the MSAs where the SHFFT EPM will be implemented with those MSAs where the CJR model has already been implemented. In doing so, we accept the exclusion of those MSAs that were excluded from the CJR model due to the limited volume of LEJR procedures performed there.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similarly proposed elimination of some MSAs from selection for the cardiac EPMs due to having lower numbers of episodes and having a higher number of episodes covered under the BPCI models. We refer readers to section III.B.5. of this final rule for a full discussion of the selection criteria for MSAs where the cardiac episodes will be implemented.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implement the SHFFT EPM in those MSAs where the CJR model is being implemented. Further, we are finalizing the proposal to implement the cardiac EPMs in randomly selected MSAs from among all those in the country meeting the criteria specified in section III.B.5.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Overview and Options for Geographic Area Selection for AMI and CABG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AMI and CABG EPMs be implemented together in the same MSAs. These AMI/CABG-participating MSAs may or may not also be CJR/SHFFT-EPM participating MSAs. The selection of MSAs for AMI/CABG EPMs would occur through a random selection of eligible MSAs.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require participation in the AMI and CABG models of all hospitals, with limited exceptions as </w:t>
      </w:r>
      <w:r>
        <w:rPr>
          <w:rFonts w:ascii="arial" w:eastAsia="arial" w:hAnsi="arial" w:cs="arial"/>
          <w:b/>
          <w:i w:val="0"/>
          <w:strike w:val="0"/>
          <w:noProof w:val="0"/>
          <w:color w:val="000000"/>
          <w:position w:val="0"/>
          <w:sz w:val="20"/>
          <w:u w:val="none"/>
          <w:vertAlign w:val="baseline"/>
        </w:rPr>
        <w:t> [*227] </w:t>
      </w:r>
      <w:r>
        <w:rPr>
          <w:rFonts w:ascii="arial" w:eastAsia="arial" w:hAnsi="arial" w:cs="arial"/>
          <w:b w:val="0"/>
          <w:i w:val="0"/>
          <w:strike w:val="0"/>
          <w:noProof w:val="0"/>
          <w:color w:val="000000"/>
          <w:position w:val="0"/>
          <w:sz w:val="20"/>
          <w:u w:val="none"/>
          <w:vertAlign w:val="baseline"/>
        </w:rPr>
        <w:t xml:space="preserve"> previously discussed in section III.B.4. of the proposed rule, paid under the IPPS that are physically located in a county in an MSA selected through the methodology outlined in section III.B.5.b. of the proposed rule </w:t>
      </w:r>
      <w:hyperlink r:id="rId9" w:history="1">
        <w:r>
          <w:rPr>
            <w:rFonts w:ascii="arial" w:eastAsia="arial" w:hAnsi="arial" w:cs="arial"/>
            <w:b w:val="0"/>
            <w:i/>
            <w:strike w:val="0"/>
            <w:noProof w:val="0"/>
            <w:color w:val="0077CC"/>
            <w:position w:val="0"/>
            <w:sz w:val="20"/>
            <w:u w:val="single"/>
            <w:vertAlign w:val="baseline"/>
          </w:rPr>
          <w:t>(81 FR 50815),</w:t>
        </w:r>
      </w:hyperlink>
      <w:r>
        <w:rPr>
          <w:rFonts w:ascii="arial" w:eastAsia="arial" w:hAnsi="arial" w:cs="arial"/>
          <w:b w:val="0"/>
          <w:i w:val="0"/>
          <w:strike w:val="0"/>
          <w:noProof w:val="0"/>
          <w:color w:val="000000"/>
          <w:position w:val="0"/>
          <w:sz w:val="20"/>
          <w:u w:val="none"/>
          <w:vertAlign w:val="baseline"/>
        </w:rPr>
        <w:t xml:space="preserve"> to test and evaluate the effects of an episode-based payment approach for the proposed EPMs. We proposed to determine that a hospital is located in an area selected if the hospital is physically located within the boundary of any of the counties in that MSA as of the date the selection is made.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MSAs are revised periodically, with counties added or removed from certain MSAs, we proposed to maintain the same cohort of selected hospitals throughout the 5-year performance periods of the EPMs with limited exceptions as described later in this section. Thus, we proposed neither to add hospitals to an EPM if after the start of such EPM new counties are added to one of the selected MSAs nor to remove hospitals from an EPM if counties are removed from one of the selected MSAs. We believe that this approach will best maintain the consistency of the participants in the EPMs, which is crucial for our ability to evaluate their respective results. However, we retain the possibility of adding a hospital that is opened or incorporated within one of the selected counties after the selection is made and during the period of performance. (See section III.D. of this final rule for discussion of how target prices will be determined for such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manner in which CMS tracks and identifies hospitals is through the CMS Certification Number (CCN). In keeping with this approach, these EPMs will administer model related activities at the CCN level including the determination of physical location. The physical location associated with the CCN at the time of an EPM's start will be used to determine whether that CCN is located in a selected MSA. For hospitals that share a CCN across various locations, all hospitals under that CCN would be required to participate in the applicable EPM if the physical address associated with the CCN is in the MSA selected, unless otherwise excluded. Similarly, all hospitals under the same CCN, even if some are physically located in the MSA selected for participation, would not participate in the applicable EPM if the physical address associated with the CCN is not in the MSA.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including hospitals in a given MSA based on whether the hospitals were classified into the MSA for IPPS wage index purposes. However, such a process would be more complicated, and we could not find any compelling reasons favoring such approach. For example, we could assign hospitals to metro divisions of MSAs when those divisions exist. In addition, there is the IPPS process of geographic reclassification by which a hospital's payments can be based on a geographic area other than the one where the hospital is physically located. For the purpose of the EPMs, it is simpler and more straightforward to use a hospital's physical location as the basis of its assignment to a geographic unit. This decision would have no impact on a hospital's payment under the IPPS. We sought comment on our proposal to include a hospital as an EPM participant based on the physical location associated with the CCN of the hospital in one of the counties included in a selected MSA.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that implementing the two cardiac EPMs, CABG and AMI, in the same geographic areas would overburden participant hospitals. They stated that the two cardiac conditions are characterized by clinically different populations and require distinct care teams and the opportunities for common care redesign approaches are limited.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understand the amount of effort required to redesign care processes and that often these are specific to a condition and not always immediately transferrable between conditions. In regards to implementing two cardiac episodes there is an expectation that some economies of scale will present themselves with the cardiac episode-based approaches even though the care teams and patient populations are distinct.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III.C. of this final rule, the AMI and CABG model episodes primarily include beneficiaries with cardiovascular disease, a chronic condition which likely contributed to the acute events or procedures that initiate the episodes. Beneficiaries experiencing an AMI can be treated by different clinical modalities including medical management and surgical intervention such as PCI and CABG. The decision as to which treatment is medically appropriate for a given beneficiary is both complex and subject to evolving medical knowledge and practice norms. Furthermore, approximately 30 percent of CABGs are performed during the care of AMIs. Because of the close connection between these two models, CMS believes that testing the AMI and the CABG EPMs in the same markets decreases the probability that clinical decision making regarding the course of treatments would be unduly influenced by inclusion or exclusion in one of the two cardiac EPMs. If the two cardiac EPMs were in different areas, the AMI EPM would be structured in such a way as to include AMIs treated with CABG. Thus, the separation of the two cardiac EPMs into different MSAs would not reduce the burdens associated with hospitals who are simultaneously needing to manage patients treated under a variety of modalities. It would, on the other hand, conceivably increase the complexity of management for participants who would be faced with the situation of having only the 30 percent of CABGs done in conjunction with an AMI included in a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that if a health system had member hospitals within MSAs selected for inclusion in a cardiac EPM that they be allowed to have their member hospitals in non-selected areas also be included in the model. They stated that the ability to have all of their member hospitals in one model would allow for care to be provided under a unified system and would result in increased coordination.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cardiac EPMs are structured as required models. As such, they will require hospitals within selected geographic areas to participate (unless otherwise excluded as set forth in this final rule). Hospitals who are not in a selected MSA but are part of a health system that includes selected included hospitals will not subject to the EPM rules and incentives structures. However, if a health system wishes to implement certain care coordination activities across their entire spectrum of hospitals they would not be precluded from doing so as long as they comply with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law. The inclusion of additional hospitals outside of these selected areas would constitute a major change to the model that was not considered in the proposed rule. CMS previously offered solicited participation in the BPCI initiative, a bundled payment model. Please refer to section III.A.3. of this final rule for a discussion of the possibility of future bundled payment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implement the CABG and the AMI EPMs in the same areas, and to administer model-related activities at the CCN level including the determination of physical location. The physical location associated with the CCN at the time of an EPM's start will </w:t>
      </w:r>
      <w:r>
        <w:rPr>
          <w:rFonts w:ascii="arial" w:eastAsia="arial" w:hAnsi="arial" w:cs="arial"/>
          <w:b/>
          <w:i w:val="0"/>
          <w:strike w:val="0"/>
          <w:noProof w:val="0"/>
          <w:color w:val="000000"/>
          <w:position w:val="0"/>
          <w:sz w:val="20"/>
          <w:u w:val="none"/>
          <w:vertAlign w:val="baseline"/>
        </w:rPr>
        <w:t> [*228] </w:t>
      </w:r>
      <w:r>
        <w:rPr>
          <w:rFonts w:ascii="arial" w:eastAsia="arial" w:hAnsi="arial" w:cs="arial"/>
          <w:b w:val="0"/>
          <w:i w:val="0"/>
          <w:strike w:val="0"/>
          <w:noProof w:val="0"/>
          <w:color w:val="000000"/>
          <w:position w:val="0"/>
          <w:sz w:val="20"/>
          <w:u w:val="none"/>
          <w:vertAlign w:val="baseline"/>
        </w:rPr>
        <w:t xml:space="preserve"> be used to determine whether that CCN is located in a selected MSA.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Exclusion of Certain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whether certain MSAs should be exempt from the possibility of selection for the AMI/CABG EPMs' implementation. We considered exclusions based on the anticipated number of AMI episodes and CABG episodes in the MSA. We also considered exclusions based on the degree to which such EPMs' episodes would be impacted by overlaps with other payment initiatives, including BPCI and ACOs.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considered the advisability of MSA exclusions based on the number of episodes in a year. We identified qualifying AMI and CABG episodes that initiated between January 1, 2014, and December 31, 2014. AMI and CABG episodes were attributed to an MSA based on the location of the CCN associated with the initiating hospital using the Provider of Service file. Due to the smaller number of relevant AMI and CABG episodes occurring in some MSAs, an exclusion rule that required a large number of episodes in each MSA would result in fewer MSAs eligible for selection than was necessary given the desired number of MSAs and the requirement to have 50 percent or more of MSAs remain in a pool of possible comparison MSAs. From the perspective of evaluating changes to utilization and spending under EPMs, there is no analytic need to eliminate MSAs with small numbers. In fact, including smaller MSAs has the analytic advantage of giving CMS more experience operating EPMs in the smaller-MSA contexts that will help us generalize our EPM-evaluation findings.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strong interest in being able to observe how well EPMs operate in areas with a lower volume of episodes, and, in particular, the consequences of the models for AMI episodes where CABG is not commonly performed or where standard practice is to refer all CABGs outside of the MSA. Given our desire to assess the operation of the AMI EPM in areas with little or no CABG episodes and the desire to have the two cardiac EPMs be administered together in the same MSAs, we proposed that the MSA exclusion rules be based on the number of AMI episodes only. This will allow for the inclusion of MSAs with no CABGs.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analytic requirement for a minimum number of cases and there are advantages to including smaller cities. At the same time, we acknowledge that areas with few AMI cases may believe that they will face challenges under the EPMs. Therefore, we proposed an exclusion rule that MSAs with fewer than 75 AMI episodes (determined as discussed in section III.C. of this final rule) will be removed from the possibility of selection. Cases in hospitals paid under either the CAH methodology or the Maryland All-Payer Model are not included in the count of eligible episodes. We examined a number of different minimum-episode-number cutoffs. The use of the 75 AMIs in a year was a designed to balance limiting the impact of outlier cases on the MSA average episode spending and the desire to retain a non-negligible representation of MSAs in the under 100,000 population and the 100,000 to 200,000 population ranges in our selection pool. The application of Exclusion Rule 1: "Less than 75 qualifying AMI episodes in the reference year" resulted in the removal of 49 MSAs from possible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assessed exclusion rules based on overlap with BPCI. We proposed Exclusion Rule 2 such that MSAs are removed from possible selection if there were fewer than 75 non-BPCI AMI episodes in the MSA in the reference year. For the purposes of this exclusion, the number of non-BPCI episodes was estimated by subtracting BPCI cases from the total number of cases used in Exclusion Rule 1. BPCI cases for this purpose are ones during the reference year associated with a hospital or a PGP BPCI Model 2 or 4 episode initiator participating in an AMI, PCI, or CABG episode as of January 1, 2016. Such criterion removed an additional 26 MSAs from potential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proposed to exclude MSAs from possible selection based on whether the number of non-BPCI AMI episodes calculated under Exclusion Rule 2 is less than 50 percent of the total number of AMI episodes calculated under Exclusion Rule 1. We anticipate that some degree of overlap in the BPCI and other EPMs will be mutually helpful. However, we acknowledge that some providers may have concerns that a BPCI Model 2 AMI and PCI participation rate of more than 50 percent may impair the ability of participants in either the EPMs or the BPCI models to succeed in the objectives of their respective initiatives. As a result of this third criterion, 13 additional MSAs were removed from possible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whether there should be an exclusion rule based on the anticipated degree of overlap between the AMI and CABG EPMs and patients who are aligned prospectively to ACOs that are taking two-sided risk, such as ACOs participating in the Next Generation ACO model or Track 3 of the Shared Savings Program. We examined numbers associated with ACOs meeting this status as of May 1, 2016, and this examination did not result in any additional MSAs falling below the threshold of 75 AMI episodes. Consequently, we did not propose any MSA exclusion rule based on the presence of ACOs.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refer to Table 1 for the status of each MSA based on these exclusion criteria, available at </w:t>
      </w:r>
      <w:hyperlink r:id="rId29" w:history="1">
        <w:r>
          <w:rPr>
            <w:rFonts w:ascii="arial" w:eastAsia="arial" w:hAnsi="arial" w:cs="arial"/>
            <w:b w:val="0"/>
            <w:i/>
            <w:strike w:val="0"/>
            <w:noProof w:val="0"/>
            <w:color w:val="0077CC"/>
            <w:position w:val="0"/>
            <w:sz w:val="20"/>
            <w:u w:val="single"/>
            <w:vertAlign w:val="baseline"/>
          </w:rPr>
          <w:t>http://innovation.cms.gov/initiatives/epm</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After applying these three exclusions, 294 MSAs out of 384 total MSAs are eligible for selection using our proposed selection methodology.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3000"/>
        <w:gridCol w:w="1200"/>
        <w:gridCol w:w="1200"/>
        <w:gridCol w:w="120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1--MSA Exclusion Rule Status and Eligibility for Selection</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Status for Inclusion in AMI and CABG EPMs in the Proposed Rule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30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CBSA--OMB</w:t>
            </w:r>
          </w:p>
        </w:tc>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MSA name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Rule 1:</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Rule 2:</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Rule 3:</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MSA</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75+ AMIs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75+ non-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&lt;50% BPCI</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BPCI AMI</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AMI</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selection</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Abilene, 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Aguadilla-Isabela, PR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Akron, OH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Albany, GA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Albany, OR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Albany-Schenectady-Troy,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NY</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10740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Albuquerque, NM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10780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Alexandria, LA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10900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Allentown-Bethlehem-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Easton, PA-NJ</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Altoona, PA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11100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Amarillo, 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11180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Ames, IA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Anchorage, AK</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11460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 Arbor, MI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Anniston-Oxford-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Jacksonville, AL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Appleton, WI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Arecibo, PR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Asheville, 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Athens-Clarke County, GA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Atlanta-Sandy Springs-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Roswell, GA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Atlantic City-Hammonton,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NJ</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Auburn-Opelika, 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Augusta-Richmond County,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GA-SC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12420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Austin-Round Rock, 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Bakersfield, CA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12620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Bangor, ME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12700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Barnstable Town, MA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12940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Baton Rouge, LA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12980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Battle Creek, MI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Bay City, MI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Beaumont-Port Arthur, 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13220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Beckley, WV</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13380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Bellingham, WA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Bend-Redmond, OR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13740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Billings, MT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13780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Binghamton, NY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Birmingham-Hoover, 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13900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Bismarck, ND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13980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Blacksburg-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Christiansburg-Radford,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14010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Bloomington, 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Bloomington, IN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Bloomsburg-Berwick, PA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14260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Boise City, ID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14460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Boston-Cambridge-Newton,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MA-NH</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14500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Boulder, CO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14540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Bowling Green, KY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14740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Bremerton-Silverdale, WA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14860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Bridgeport-Stamford-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Norwalk, CT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15180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Brownsville-Harlingen,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TX</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Brunswick, GA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Buffalo-Cheektowaga-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Niagara Falls, NY</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Burlington, 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Burlington-South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Burlington, VT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Canton-Massillon, OH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Cape Coral-Fort Myers,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Cape Girardeau, MO-IL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Carbondale-Marion, 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16180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Carson City, NV</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16220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Casper, WY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16300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Cedar Rapids, IA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16540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Chambersburg-Waynesboro,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16580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Champaign-Urbana, 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16620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Charleston, WV</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16700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Charleston-North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Charleston, SC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16740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Charlotte-Concord-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Gastonia, NC-SC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16820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Charlottesville, VA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16860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Chattanooga, TN-GA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16940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Cheyenne, WY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16980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Chicago-Naperville-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Elgin, IL-IN-WI</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Chico, CA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17140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Cincinnati, OH-KY-IN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17300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Clarksville, TN-KY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Cleveland, TN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Cleveland-Elyria, OH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17660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Coeur d'Alene, ID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17780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College Station-Bryan,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TX</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17820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Colorado Springs, CO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17860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Columbia, MO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17900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Columbia, SC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17980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Columbus, GA-AL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Columbus, IN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18140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Columbus, OH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18580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Corpus Christi, 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18700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Corvallis, OR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18880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Crestview-Fort Walton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Beach-Destin, FL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Dallas-Fort Worth-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TX</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Dalton, GA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Danville, 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19300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Daphne-Fairhope-Foley,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19340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Davenport-Moline-Rock</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Island, IA-IL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19380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Dayton, OH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19460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Decatur, 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19500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Decatur, 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19660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Deltona-Daytona Beach-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Ormond Beach, FL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19740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Denver-Aurora-Lakewood,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19780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 Moines-West Des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Moines, IA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19820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Detroit-Warren-Dearborn,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Dothan, 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Dover, DE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Dubuque, IA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Duluth, MN-WI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Durham-Chapel Hill, 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20700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East Stroudsburg, PA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20740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Eau Claire, WI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20940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 Centro, CA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21060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Elizabethtown-Fort Knox,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KY</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Elkhart-Goshen, IN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Elmira, NY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 Paso, 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21500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Erie, PA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21660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Eugene, OR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21780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Evansville, IN-KY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21820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Fairbanks, AK</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22020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Fargo, ND-MN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Farmington, NM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Fayetteville, 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Fayetteville-Springdale-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Rogers, AR-MO</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Flagstaff, AZ</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22420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Flint, MI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22500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Florence, SC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22520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Florence-Muscle Shoals,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22540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Fond du Lac, WI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22660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Fort Collins, CO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22900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Fort Smith, AR-OK</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23060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Fort Wayne, IN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23420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Fresno, CA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23460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Gadsden, 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23540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Gainesville, FL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23580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Gainesville, GA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23900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Gettysburg, PA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24020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Glens Falls, NY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24140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Goldsboro, 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Grand Forks, ND-MN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Grand Island, NE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24300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Grand Junction, CO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24340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Grand Rapids-Wyoming, MI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24420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Grants Pass, OR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24500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Great Falls, MT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24540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Greeley, CO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24580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Green Bay, WI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24660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Greensboro-High Point,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24780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Greenville, 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24860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Greenville-Anderson-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Mauldin, SC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Guayama, PR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Gulfport-Biloxi-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Pascagoula, MS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25180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Hagerstown-Martinsburg,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MD-WV</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25220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Hammond, LA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25260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Hanford-Corcoran, CA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25420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Harrisburg-Carlisle, PA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25500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Harrisonburg, VA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25540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Hartford-West Hartford-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East Hartford, CT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25620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Hattiesburg, MS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25860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Hickory-Lenoir-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Morganton, NC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25940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Hilton Head Island-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Bluffton-Beaufort, SC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26140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Homosassa Springs, FL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26300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Hot Springs, AR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26380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Houma-Thibodaux, LA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26420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Houston-The Woodlands-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Sugar Land, TX</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26580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Huntington-Ashland, WV-</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KY-OH</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26620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Huntsville, 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26820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Idaho Falls, ID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26900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Indianapolis-Carmel-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Anderson,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26980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Iowa City, IA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27060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Ithaca, NY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27100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Jackson, MI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27140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Jackson, MS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27180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Jackson, TN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27260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Jacksonville, FL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27340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Jacksonville, 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27500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Janesville-Beloit, WI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27620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Jefferson City, MO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27740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Johnson City, TN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27780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Johnstown, PA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27860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Jonesboro, AR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27900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Joplin, MO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27980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Kahului-Wailuku-Lahaina,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28020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Kalamazoo-Portage, MI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28100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Kankakee, 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28140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Kansas City, MO-KS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28420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Kennewick-Richland, WA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28660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Killeen-Temple, 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28700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Kingsport-Bristol-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Bristol, TN-VA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28740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Kingston, NY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28940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Knoxville, TN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29020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Kokomo, IN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29100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 Crosse-Onalaska, WI-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29180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Lafayette, LA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29200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Lafayette-West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Lafayette,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29340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Lake Charles, LA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29420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Lake Havasu City-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Kingman, AZ</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29460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Lakeland-Winter Haven,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29540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Lancaster, PA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29620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Lansing-East Lansing, MI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29700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Laredo, 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29740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Las Cruces, NM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29820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Las Vegas-Henderson-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Paradise, NV</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29940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Lawrence, KS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Lawton, OK</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Lebanon, PA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Lewiston, ID-WA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Lewiston-Auburn, ME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30460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Lexington-Fayette, KY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30620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Lima, OH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30700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Lincoln, NE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30780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Little Rock-North Little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Rock-Conway, AR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30860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Logan, UT-ID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30980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Longview, 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31020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Longview, WA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31080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Los Angeles-Long Beach-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Anaheim, CA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31140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Louisville/Jefferson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County, KY-IN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31180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Lubbock, 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31340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Lynchburg, VA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31420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Macon, GA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31460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Madera, CA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31540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Madison, WI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31700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Manchester-Nashua, NH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31740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Manhattan, KS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31860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Mankato-North Mankato,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31900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Mansfield, OH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32420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Mayagueez, PR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32580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McAllen-Edinburg-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Mission, TX</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32780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Medford, OR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32820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Memphis, TN-MS-AR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32900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Merced, CA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33100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Miami-Fort Lauderdale-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 Palm Beach, FL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33140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Michigan City-La Porte,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33220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Midland, MI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33260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Midland, 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33340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Milwaukee-Waukesha-West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Allis, WI</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33460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Minneapolis-St. Paul-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Bloomington, MN-WI</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33540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Missoula, MT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33660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Mobile, 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33700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Modesto, CA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33740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Monroe, LA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33780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Monroe, MI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33860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Montgomery, 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34060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Morgantown, WV</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34100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Morristown, TN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34580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Mount Vernon-Anacortes,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34620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Muncie, IN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34740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Muskegon, MI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34820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Myrtle Beach-Conway-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North Myrtle Beach, SC-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34900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Napa, CA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34940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Naples-Immokalee-Marco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Island, FL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34980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Nashville-Davidson--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Murfreesboro--Franklin,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35100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Bern, 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35300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Haven-Milford, CT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35380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Orleans-Metairie, LA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35620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York-Newark-Jersey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City, NY-NJ-PA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35660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Niles-Benton Harbor, MI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35840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North Port-Sarasota-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Bradenton, FL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35980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Norwich-New London, CT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36100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Ocala, FL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36140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Ocean City, NJ</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36220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Odessa, 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36260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Ogden-Clearfield, UT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36420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Oklahoma City, OK</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36500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Olympia-Tumwater, WA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36540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Omaha-Council Bluffs,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NE-IA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36740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Orlando-Kissimmee-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Sanford, FL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36780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Oshkosh-Neenah, WI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36980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Owensboro, KY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37100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Oxnard-Thousand Oaks-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Ventura, CA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37340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Palm Bay-Melbourne-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Titusville, FL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37460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Panama City, FL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37620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Parkersburg-Vienna, WV</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37860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Pensacola-Ferry 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Brent, FL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37900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Peoria, 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37980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Philadelphia-Camden-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Wilmington, PA-NJ-DE-MD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38060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Phoenix-Mesa-Scottsdale,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AZ</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38220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Pine Bluff, AR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38300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Pittsburgh, PA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38340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Pittsfield, MA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38540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Pocatello, ID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38660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Ponce, PR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38860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Portland-South Portland,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38900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Portland-Vancouver-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Hillsboro, OR-WA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38940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Port St. Lucie, FL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39140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Prescott, AZ</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39300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Providence-Warwick, RI-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39340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Provo-Orem, UT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39380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Pueblo, CO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39460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Punta Gorda, FL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39540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Racine, WI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39580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Raleigh, 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39660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Rapid City, SD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39740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Reading, PA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39820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Redding, CA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39900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Reno, NV</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40060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Richmond, VA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40140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Riverside-San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Bernardino-Ontario, CA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40220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Roanoke, VA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40340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Rochester, MN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40380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Rochester, NY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40420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Rockford, 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40580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Rocky Mount, 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40660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Rome, GA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40900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Sacramento--Roseville--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Arden-Arcade, CA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40980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Saginaw, MI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Cloud, MN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41100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George, UT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41140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Joseph, MO-KS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41180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Louis, MO-IL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41420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Salem, OR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41500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Salinas, CA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41540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Salisbury, MD-DE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41620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Salt Lake City, UT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41660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San Angelo, 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41700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San Antonio-New</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Braunfels, TX</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41740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San Diego-Carlsbad, CA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41860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San Francisco-Oakland-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Hayward, CA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41900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San German, PR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41940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San Jose-Sunnyvale-Santa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Clara, CA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41980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San Juan-Carolina-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Caguas, PR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42020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San Luis Obispo-Paso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Robles-Arroyo Grande, CA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42100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Santa Cruz-Watsonville,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42140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Santa Fe, NM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Santa Maria-Santa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Barbara, CA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Santa Rosa, CA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Savannah, GA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42540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Scranton--Wilkes-Barre--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Hazleton, PA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42660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Seattle-Tacoma-Bellevue,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42680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Sebastian-Vero Beach, FL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42700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Sebring, FL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43100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Sheboygan, WI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43300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Sherman-Denison, 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43340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Shreveport-Bossier City,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43420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Sierra Vista-Douglas, AZ</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43580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Sioux City, IA-NE-SD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43620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Sioux Falls, SD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43780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 Bend-Mishawaka,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IN-MI</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43900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Spartanburg, SC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44060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Spokane-Spokane Valley,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44100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Springfield, 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44140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Springfield, MA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44180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Springfield, MO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44220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Springfield, OH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44300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 College, PA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44420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Staunton-Waynesboro, VA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44700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Stockton-Lodi, CA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44940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Sumter, SC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45060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Syracuse, NY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45220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Tallahassee, FL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45300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Tampa-St. Petersburg-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Clearwater, FL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45460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Terre Haute, IN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45500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Texarkana, TX-AR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45540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Villages, FL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45780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Toledo, OH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45820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Topeka, KS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45940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Trenton, NJ</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46060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Tucson, AZ</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46140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Tulsa, OK</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46220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Tuscaloosa, 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46340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Tyler, 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46520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Urban Honolulu, HI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46540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Utica-Rome, NY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46660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Valdosta, GA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46700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Vallejo-Fairfield, CA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47020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Victoria, 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47220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Vineland-Bridgeton, NJ</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47260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Virginia Beach-Norfolk-</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Newport News, VA-NC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47300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Visalia-Porterville, CA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47380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Waco, 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47460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Walla Walla, WA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47580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Warner Robins, GA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47900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Washington-Arlington-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Alexandria, DC-VA-MD-WV</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47940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Waterloo-Cedar Falls, IA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48060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Watertown-Fort Drum, NY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48140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Wausau, WI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48260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Weirton-Steubenville,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WV-OH</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48300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Wenatchee, WA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48540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Wheeling, WV-OH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48620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Wichita, KS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48660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Wichita Falls, 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48700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Williamsport, PA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48900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Wilmington, 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49020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Winchester, VA-WV</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49180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Winston-Salem, 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49340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Worcester, MA-CT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49420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Yakima, WA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49620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York-Hanover, PA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49660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Youngstown-Warren-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Boardman, OH-PA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49700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Yuba City, CA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49740</w:t>
            </w:r>
          </w:p>
        </w:tc>
        <w:tc>
          <w:tcPr>
            <w:tcW w:w="30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Yuma, AZ</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w:t>
            </w:r>
          </w:p>
        </w:tc>
        <w:tc>
          <w:tcPr>
            <w:tcW w:w="15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The issue of MSA exclusions was a subject raised by a variety of commenters. Commenters expressed concerns with the possibility of the same MSAs being selected for inclusion in both the cardiac EPMs and in the CJR model. Commenters stated that the introduction of 3 new required models simultaneously in MSAs where CJR is still in the early stages of implementation would divert participants' focus from being able to successfully implement CJR and would pose resource allocation challenges. Commenters stated that hospitals have a limited capacity to successfully take on new models and that hospitals could best achieve success when they are allowed to focus on specific projects. Commenters stated that adding too many required models will result in diluted resources given to each model and increased administrative costs to the hospital. One commenter expressed concern that implementing too many models can compromise both the success of the models and patient care. Commenters requested that CMS add an exclusion rule that removes the CJR MSAs from the possibility of selection as a cardiac EPM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acknowledges the concern of CJR participant hospitals with respect to having the capacity and ability to take on the new cardiac and SHFFT episodes in addition to their current model participation. While recognizing the logistical and resource challenges of implementing multiple models simultaneously, CMS believes that there are commonalities between the models that would result in some efficiencies. For example, experiences in CJR with creating gainsharing approaches, analyzing claims feeds, and understanding reconciliation methodologies will be directly transferable to managing the cardiac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considered the exclusion of CJR MSAs from the possibility of selection as a cardiac EPM. The effect of removing the CJR MSAs was considered relative to a variety of other considerations including the impact of this removal on the remaining MSAs and whether it would create a biased pool due to the disproportionate removal of areas with high episode payments as well as areas with a larger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determining which areas were eligible for selection for CJR, MSAs were required to have at least 400 LEJRs in the reference year. In contrast, the equivalent exclusion rule for the cardiac EPMs requires at least 75 AMI episodes. These two different rules means that the pool of MSAs eligible for selection as a cardiac EPM contains many smaller MSAs who were not eligible for selection in CJR. Removing the CJR MSA would disproportionately remove larger cities from the selection pool and the pool would be artificially weighted towards MSAs with lower numbers of </w:t>
      </w:r>
      <w:r>
        <w:rPr>
          <w:rFonts w:ascii="arial" w:eastAsia="arial" w:hAnsi="arial" w:cs="arial"/>
          <w:b/>
          <w:i w:val="0"/>
          <w:strike w:val="0"/>
          <w:noProof w:val="0"/>
          <w:color w:val="000000"/>
          <w:position w:val="0"/>
          <w:sz w:val="20"/>
          <w:u w:val="none"/>
          <w:vertAlign w:val="baseline"/>
        </w:rPr>
        <w:t> [*235] </w:t>
      </w:r>
      <w:r>
        <w:rPr>
          <w:rFonts w:ascii="arial" w:eastAsia="arial" w:hAnsi="arial" w:cs="arial"/>
          <w:b w:val="0"/>
          <w:i w:val="0"/>
          <w:strike w:val="0"/>
          <w:noProof w:val="0"/>
          <w:color w:val="000000"/>
          <w:position w:val="0"/>
          <w:sz w:val="20"/>
          <w:u w:val="none"/>
          <w:vertAlign w:val="baseline"/>
        </w:rPr>
        <w:t xml:space="preserve"> cases. The resulting random selection in this pool would similarly be over-weighted to select smaller areas with lower numbers of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MSAs were selected for inclusion in CJR by dividing MSAs into quartiles based on the MSA average LEJR episode spending. The likelihood of being selected as a CJR area differed between the quartiles such that MSAs in the least expensive quartile had a 30% chance of selection and MSAs in the most expensive quartile had a 45% chance of selection. Thus, the removal of the CJR MSAs from the cardiac EPM selection pool would disproportionately leave relatively more efficient MSAs eligible for selection and remove relatively inefficient areas. In order to quantify the extent of this potential bias, the impact of removing the CJR areas was examined relative to the average MSA spending for AMI episodes. CJR MSAs represented just 12% of MSAs in the least expensive quartile (9 of 74) but represented 26% of the MSAs in the most expensive quartile (19 of 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because the CJR MSAs were proportionately underweighted for more efficient MSAs, and over weighted for more expensive MSAs with higher LEJR episode payments, their removal resulted in introducing bias which would result in the selection of more small cities as well as more efficient cities. This bias to disproportionally select relatively more efficient MSAs is counter to the overall orientation that these models are most likely to result in cost savings in inefficient areas. Furthermore, CMS anticipates that an increase in the probability of selection in smaller cities may also be problematic to commenters, many of whom expressed concern with the ability of hospitals with few cases to succeed under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CMS further notes that a variety of models and efforts are currently underway with the goal of controlling health care costs. While this presents an operationally challenging situation, CMS hopes to be able to assess the extent to which these different models interact and complement (or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one another. The evaluation of CJR and the EPMs will include a systematic look at hospital experiences in regard to model uptake given their range of prior experience, capabilities, and circumstances.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the exclusion of MSAs with less than 20 CABG episodes per quarter rather than basing the exclusionary criteria only on AMI volume episode volume.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continue to have a strong interest in being able to observe how well EPMs operate in areas with a lower volume of episodes, and, in particular, the consequences of the model for AMI episodes where CABG is not commonly performed or where standard practice is to refer all CABGs outside of the MSA, and consequently, does not find it appropriate to exclude MSAs on the basis of CABG volume.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suggested that MSAs with significant penetration of Medicare Advantage Plans and considerable ACO activity be excluded from the possibility of selection. They stated that the models should be implemented in markets with more limited alternative payment and/or managed care activity. They suggested that the selection of MSAs believed to be fully invested in care design efforts would make it challenging to evaluate whether improvements in efficiency were related to the EPMs or associated with these other efforts. The commenter stated that restricting to MSAs with minimal involvement with other APM would ease both administrative burden and allow for better results and more accurate reconciliation.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including MSAs with experience in APMs may pose challenges to the evaluation in its effort to assess causation, CMS believes that the exclusion of MSAs who may be relatively more experienced in care redesign and thus more likely to be able to achieve success in the models would be undesirable. It would be considered a positive if participant hospitals are able to leverage the knowledge and experience of experts in their areas in order to successfully reduce episode spending in eligible patients. Experience with care management under managed care or within APMs might be one source of expertise from which participant hospitals may wish to draw. The evaluation of EPMs will include an examination of market characteristics and model activity, so as to explore how the overlapping nature of these two factors impacts 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the concern that some hospitals act as regional referral centers or may otherwise have a large proportion of the beneficiaries they treat who reside outside of the MSA where the hospital is located. They expressed concern that it would be difficult to manage care for these beneficiaries in the post hospital episode period due to this distance. They requested that MSAs with a significant percent of cases coming from out of the state be excluded from the possibility of selection.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recognize that many hospitals treat patients from a wide catchment area and that this catchment area may possibly extend beyond the MSA. This situation is particularly relevant to the CABG EPM. The management of the beneficiary's recovery in the post hospital period may be a challenge for some providers. Multiple patient characteristics, including the physical distance between the beneficiary and the hospital, will influence both what type of care redesign approach will be most appropriate and the likelihood that the approach taken will result in improved efficiency and quality. While distance may pose a challenge to improving patient coordination, it is one that many providers have successfully undertaken. Many providers, including regional referral centers, have been able to form and maintain relationships with providers outside their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holds that regional referral centers are a critical component of how CAGB episodes are treated and, as such, are an important part of the cardiac EPM and to gaining an understanding of the ability of such participants to manage patient episodes.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expressed concern that low-volume hospitals are included in the models and requested that thresholds be added to remove low-volume providers from the model. Commenters stated that lower volume providers are subject to issues of random variation and that the cost and quality experiences observed in these hospitals may not be due to efficiencies and care coordination. They stated that smaller hospitals will be at a disadvantage due to the inability to achieve stability or predictability due to this variation.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 commenter noted that they believed that minimum number of applicable cases is necessary for a hospitals to perform internal analyses to determine the appropriate strategies to use to successfully re-engineer care. They stated that having a minimum number of cases is a key factor in whether or not a facility can be ready for undertaking bundled payments. Minimal numbers are necessary for generating adequate levels of involvement in potential partners such as physicians and post-acute care providers. The commenter proposed that the definitions of minimal volume used in the payment methodology be used instead as minimal requirements for hospitals to be required to participate in the cardiac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the fact that hospitals, particularly low-volume hospitals, may have limited resources to fully engage in care re-design efforts and, due to the low volume, they are </w:t>
      </w:r>
      <w:r>
        <w:rPr>
          <w:rFonts w:ascii="arial" w:eastAsia="arial" w:hAnsi="arial" w:cs="arial"/>
          <w:b/>
          <w:i w:val="0"/>
          <w:strike w:val="0"/>
          <w:noProof w:val="0"/>
          <w:color w:val="000000"/>
          <w:position w:val="0"/>
          <w:sz w:val="20"/>
          <w:u w:val="none"/>
          <w:vertAlign w:val="baseline"/>
        </w:rPr>
        <w:t> [*236] </w:t>
      </w:r>
      <w:r>
        <w:rPr>
          <w:rFonts w:ascii="arial" w:eastAsia="arial" w:hAnsi="arial" w:cs="arial"/>
          <w:b w:val="0"/>
          <w:i w:val="0"/>
          <w:strike w:val="0"/>
          <w:noProof w:val="0"/>
          <w:color w:val="000000"/>
          <w:position w:val="0"/>
          <w:sz w:val="20"/>
          <w:u w:val="none"/>
          <w:vertAlign w:val="baseline"/>
        </w:rPr>
        <w:t xml:space="preserve"> much more susceptible to wider episode cost fluctuations. We refer readers to the following sections of this final rule III.D.4.b.(9). of this final rule for a discussion of how target prices for hospitals with low volume are determined and to III.D.7.c.(1). of this final rule for a discussion of low volume hospital protections under the cardiac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inclusion of low-volume hospitals in the EPMs is consistent with the goal of evaluating the impact of bundled payment and care redesign across a broad spectrum of hospitals with varying levels of infrastructure, care redesign experience, market position, and other considerations, and circumstances. We are interested in evaluating the experience of these hospitals in the models as part of our overall desire to see the impact of an episode payment model in providers who would not otherwise choose to participate in a model. We would be concerned that setting a threshold for low volume could result in hospital gaming in order to be below that threshold and thus be excluded from the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the CJR model, the design of the EPMs and the inclusion of low-volume providers within the models reflects our interest in testing and evaluating the impact of a bundled payment approach for these procedures in a variety of circumstances, especially among those hospitals that may not otherwise participate in such a test. The inclusion of these providers allows CMS to better appreciate and understand how the models operate as a general payment approach and its impact across a wide range of hospitals. The impact of EPMs on low-volume hospitals is of great interest to the evaluation of these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that providers with low volumes of AMI, CABG, or CJR cases may not find it advantageous to engage in an active way with the EPMs. We expect that low volume providers may decide that their resources are better targeted to other efforts because they do not find the financial incentive present in the EPMs sufficiently strong to cause them to shift their practice patterns. We believe this choice is similar in nature to that made as hospitals decide their overall business strategies and where to focus their attentions.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exclude MSAs that fail one or more of the following rules: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Exclusion Rule 1:</w:t>
      </w:r>
      <w:r>
        <w:rPr>
          <w:rFonts w:ascii="arial" w:eastAsia="arial" w:hAnsi="arial" w:cs="arial"/>
          <w:b w:val="0"/>
          <w:i w:val="0"/>
          <w:strike w:val="0"/>
          <w:noProof w:val="0"/>
          <w:color w:val="000000"/>
          <w:position w:val="0"/>
          <w:sz w:val="20"/>
          <w:u w:val="none"/>
          <w:vertAlign w:val="baseline"/>
        </w:rPr>
        <w:t xml:space="preserve"> Exclude MSAs with fewer than 75 AMI episodes (determined as discussed in section III.C.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Exclusion Rule 2:</w:t>
      </w:r>
      <w:r>
        <w:rPr>
          <w:rFonts w:ascii="arial" w:eastAsia="arial" w:hAnsi="arial" w:cs="arial"/>
          <w:b w:val="0"/>
          <w:i w:val="0"/>
          <w:strike w:val="0"/>
          <w:noProof w:val="0"/>
          <w:color w:val="000000"/>
          <w:position w:val="0"/>
          <w:sz w:val="20"/>
          <w:u w:val="none"/>
          <w:vertAlign w:val="baseline"/>
        </w:rPr>
        <w:t xml:space="preserve"> Exclude MSAs with fewer than 75 non-BPCI AMI episodes in the MSA in the reference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Exclusion Rule 3:</w:t>
      </w:r>
      <w:r>
        <w:rPr>
          <w:rFonts w:ascii="arial" w:eastAsia="arial" w:hAnsi="arial" w:cs="arial"/>
          <w:b w:val="0"/>
          <w:i w:val="0"/>
          <w:strike w:val="0"/>
          <w:noProof w:val="0"/>
          <w:color w:val="000000"/>
          <w:position w:val="0"/>
          <w:sz w:val="20"/>
          <w:u w:val="none"/>
          <w:vertAlign w:val="baseline"/>
        </w:rPr>
        <w:t xml:space="preserve"> Exclude MSAs if the number of non-BPCI AMI episodes calculated under Exclusion Rule 2 is less than 50 percent of the total number of AMI episodes calculated under Exclusion Rule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III.B.2. of this final rule, the Burlington Vermont MSA was found to no longer be eligible for possible selection because of the Vermont All-Payer ACO Model. Thus, 293 MSAs out of 384 total MSAs are eligible for the possibility of selection as a cardiac EPM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Selection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selection of 98 MSAs for the cardiac EPMs through the use of simple random selection from the 294 (now 293) eligible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Simple random selection is often considered to be an appropriate default approach to experimental design unless there is a compelling reason to depart from it. One common alternative approach is to perform random selection separately within subgroups. Selection within subgroups can be a useful approach to limiting differences between intervention and control groups to improve statistical power or for facilitating over or under sampling to allow the evaluation to examine effects of the intervention on particular types of MSAs or because those types of MSAs are of particular interest for policy reasons.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CJR, we used a stratified random assignment approach in which we organized MSAs into strata based on MSA population size and historic LEJR episode payments. Under the CJR model, we believed a stratified approach was appropriate due to wide regional variation in prices, primarily associated with the use of post-acute services. The stratified approach served as a means to oversample in higher-expense MSAs as these areas have both the most need for and the most opportunity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assessing whether stratification would be proposed for the EPMs, we assessed a variety of factors described later in this section. Absent stratification, the rate at which a particular type of MSA will appear in the sample will be proportional to how often in appears among eligible MSAs. If a particular type of MSA is relatively common, it is likely to occur often enough that we do not need to deliberately over-sample for it. In the end, our analyses did not provide sufficient evidence that it is necessary to create selection subgroups of MSAs to guide the selection approach. As a result, we are proposing to use simple random selection from the entire pool of eligible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Factors Considered but Not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a variety of possible MSA characteristics for possible use in classifying sub-groups. Though we did consider many of these variables important, we believe that a simple random selection, where warranted, is preferable.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factors we considered that we are not proposing to use in the selection methodology include the following:</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Measures associated with AMI-episode and CABG episode wage-adjusted spending, respectively. In considering how to operationalize such measures, we considered a number of alternatives including average total episode spending payments in an MSA, average episode spending associated with the initial hospital stay(s) and average episode spending occurring in the period after discharge from the initial hospital.</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Measures associated with variation in practice patterns associated with AMI and CABG episodes. In considering how to operationalize this measure, we considered a number of alternatives including the extent to which both an AMI and a CABG episode are associated with having a transfer hospital stay at the beginning of the episode, and the extent to which CABG hospitalizations occur following a hospital transfer from either within or from outside the same MSA.</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Measures associated with relative market share of providers with respect to AMI and/or CABG episodes, including the presence or absence of regional referral centers and the number of providers with the capacity to perform CABGs or otherwise treat complex cardiac patients.</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Health care supply measures of providers in the MSA including acute or post-acute bed counts, and number of relevant physician specialties such as cardiologists and cardiothoracic surgeons.</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MSA-level demographic measures such as: (1) Average income; (2) distributions of population by age, gender or race; (3) percent dually eligible; and (4) percent with specific health conditions or other demographic composition measures.</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Measures associated with the degree to which a market might be more capable or ready to implement care-redesign activities. Examples of market- </w:t>
      </w:r>
      <w:r>
        <w:rPr>
          <w:rFonts w:ascii="arial" w:eastAsia="arial" w:hAnsi="arial" w:cs="arial"/>
          <w:b/>
          <w:i w:val="0"/>
          <w:strike w:val="0"/>
          <w:noProof w:val="0"/>
          <w:color w:val="000000"/>
          <w:position w:val="0"/>
          <w:sz w:val="20"/>
          <w:u w:val="none"/>
          <w:vertAlign w:val="baseline"/>
        </w:rPr>
        <w:t> [*237] </w:t>
      </w:r>
      <w:r>
        <w:rPr>
          <w:rFonts w:ascii="arial" w:eastAsia="arial" w:hAnsi="arial" w:cs="arial"/>
          <w:b w:val="0"/>
          <w:i w:val="0"/>
          <w:strike w:val="0"/>
          <w:noProof w:val="0"/>
          <w:color w:val="000000"/>
          <w:position w:val="0"/>
          <w:sz w:val="20"/>
          <w:u w:val="none"/>
          <w:vertAlign w:val="baseline"/>
        </w:rPr>
        <w:t xml:space="preserve"> level characteristics that might be associated with anticipated ease of implementation include the MSA-level EHR meaningful-use levels, managed-care penetration, ACO penetration, and experience with other bundling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these measures were not proposed to be part of the selection process, we acknowledge that these and other market-level factors may be important to the proper understanding of the evaluation of the impact of EPMs. We intend to consider these and other measures in determining which MSAs are appropriate comparison markets for the evaluation and for possible subgroup analysis or risk-adjustment purposes. The evaluations will include beneficiary-, provider-, and market-level characteristics in how they will examine the performance of the proposed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expressed general support for the selection approach. Several commenters identified considerations that they believed would increase the likelihood of success in these models and believed that those factors should influence the likelihood of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believed that the selection methodology used should instead select MSAs where there is unwanted clinical or fiscal variation in care. They stated that the implementation of the cardiac EPMs in these MSAs would be most likely to target patients who would benefit from novel care delivery initiatives. In contrast, another commenter noted that the implementation of the cardiac EPMs in a variety of markets, including those who are relatively more efficient, could help with improving care management/coordination overall.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mentioned that CMS did not incorporate any MSA-level demographic measures in its selection process, such as distributions of population by age, gender, or race; percent of population dually eligible for Medicare and Medicaid; percent of population with specific health conditions; and other demographic composition measures. They believed these factors vary not only between MSAs, but also by hospitals within an MSA, and could affect a hospital's chances of success in the proposed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suggestions of alternative MSA selection criteria and note that we considered whether to disproportionately select higher cost areas. As discussed above, the range of average episode costs between MSAs was relatively narrow and even relatively efficient MSAs would have opportunity for care redesign and increased efficiency under these models. The examination of the distribution of expenses did not seem to indicate that there are substantial pattern of care differences between MSAs that needed to be recognized in the selection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that demographic factors may indeed influence the ability of hospitals to succeed under the models. However, in creating the EPMs, we are seeking to understand how the models impact costs and quality under a variety of circumstances. We seek to understand if the models work in both more and less challenging circumstances in order to be able to gain an understanding of successes and failures of the episodic payment approach in all types of initiating participants. We did not choose to incorporate MSA level demographics in our selection methodology but instead we are relying on random selection to include MSAs with a variety of circumstances. We did not believe it was necessary to preemptively over-sample areas with a larger percent of vulnerable patients.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select MSAs for inclusion in the cardiac EPMs by simple random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Sample-Size Calculations and the Number of Selected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analyses of the necessary sample size led us to propose the selection of 98 MSAs, to participate in both the AMI and CABG EPMs. At the time of the proposed rule 294 MSAs were eligible for selection out of a total of 384 MSAs. In this section, we discuss the assumptions and modeling that went into our proposal to test these EPMs in 98 MSAs. The discussion of the method of selection of these 98 MSAs is addressed in the following section. In coming to the decision to target 98 MSAs, we are proposing an approach that limits the size of the intervention to the greatest degree possible, while still ensuring that we have sufficient statistical power to reliably evaluate the effects of the EPMs. Going below this threshold would jeopardize our ability to be confident in our results and to be able to generalize from the EPMs to the larger national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calculating the necessary size of the AMI and CABG EPMs, a key consideration was to have sufficient power to be able to detect the desired size impact. The larger the anticipated size of the impact, the fewer MSAs we would have to sample in order to observe it. However, a model sized to be able to only detect large impacts runs the risk of not being able to draw conclusions if the size of the change is less than anticipated. The measure of interest used in estimating sample size requirements for the both the AMI and the CABG EPMs was wage-adjusted total episode spending. The data used for the wage-adjusted total episode spending is the 3-year data pull previously described that covers AMI and CABG episodes with admission dates from July 1, 2012, through December 31, 2014. For the purposes of the sample-size calculation, we aim to be able to reliably identify between a 2-percent and 3-percent reduction in wage-adjusted episode spending after 1 year of experience. We chose this range because those numbers represent the anticipated amount of the discount proposed to apply under various conditions of the AMI and CABG EPMs'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consideration in calculating the necessary sample size is the degree of certainty we will need for the statistical tests that will be performed. In selecting the right sample size, there are two types of errors that need to be considered: "false positives" and "false negatives." A false positive occurs if a statistical test concludes that a model was successful (that is, saved money) when it in fact was not. A false negative occurs if a statistical test fails to find statistically-significant evidence that the model was successful, when it in fact was successful. In considering the minimum sample size needs of the AMI and CABG EPMs, a standard guideline in the statistical literature suggests calibrating statistical tests to generate no more than a 5-percent chance of a false positive and selecting the sample size to ensure no more than a 20-percent chance of a false negative. In contrast, the proposed sample size for this project was based on a 10-percent chance of a false positive and no more than a 30-percent chance of a false negative in order to minimize reduce sample size requirements to the greatest degree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third consideration in the sample-size calculation was the appropriate unit of selection and whether it is necessary to base the calculation on the number of MSAs, the number of hospitals, or the number of episodes. We proposed to base the sample size calculation at the MSA level. The proposed EPMs are an example of what is known as a "nested comparative study." Under a nested comparative study, assignment to an intervention or comparison arms of the study is based on membership in a pre-existing, identifiable group where the groups are </w:t>
      </w:r>
      <w:r>
        <w:rPr>
          <w:rFonts w:ascii="arial" w:eastAsia="arial" w:hAnsi="arial" w:cs="arial"/>
          <w:b/>
          <w:i w:val="0"/>
          <w:strike w:val="0"/>
          <w:noProof w:val="0"/>
          <w:color w:val="000000"/>
          <w:position w:val="0"/>
          <w:sz w:val="20"/>
          <w:u w:val="none"/>
          <w:vertAlign w:val="baseline"/>
        </w:rPr>
        <w:t> [*238] </w:t>
      </w:r>
      <w:r>
        <w:rPr>
          <w:rFonts w:ascii="arial" w:eastAsia="arial" w:hAnsi="arial" w:cs="arial"/>
          <w:b w:val="0"/>
          <w:i w:val="0"/>
          <w:strike w:val="0"/>
          <w:noProof w:val="0"/>
          <w:color w:val="000000"/>
          <w:position w:val="0"/>
          <w:sz w:val="20"/>
          <w:u w:val="none"/>
          <w:vertAlign w:val="baseline"/>
        </w:rPr>
        <w:t xml:space="preserve"> not formed at random, but rather through some physical, social, geographic, or other connection among their members. Because these groups are not formed at random, individual members of each group are likely to share important commonalities. In the context of the proposed EPMs, spending and outcomes for patients cared for within a given MSA are relatively similar to one another due to such factors as the existence of common practice or referral patterns, the underlying health in the population, and the availability of providers in an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statistical terms, these commonalities create a positive correlation (called an intra-class correlation) among hospitals or beneficiaries in the same MSA. Due to that intra-class correlation, the variability of any aggregate statistic--such as the estimated difference in outcomes between the intervention and comparison arms of the study--has two components--(1) variability attributable to variation among hospitals or beneficiaries in a given MSA; and (2) variability attributable to differences between MSAs. An accurate power analysis must account for both components of variability.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determining the necessary sample size, we take into consideration the degree to which commonalities within MSAs exist and the number of independent beneficiaries and hospitals expected to be included in the EPMs within each MSA. As part of this process, we empirically examined the number of beneficiaries, the number of hospitals, and the number of MSAs, as well as the level of correlation in episode payments between each level. Based on this empirical examination, we determined that the correlation was high enough that the degree of variability would be primarily driven by the number of MSAs in the model, indicating that the MSA is the appropriate unit of analysis for the power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previously mentioned assumptions, a power calculation for AMI was run which indicated that at 98 MSAs we would be able to reliably detect a 3-percent reduction in wage-adjusted episode spending after 1 year with a false-positive rate of 10 percent and a false-negative rate of between 20 percent and 40 percent. We are targeting a false-negative rate of 30 percent. The extent to which this rate can be lowered will depend on the ability of evaluation models to substantially reduce variation through risk adjustment and modeling. We believe it is prudent to choose a sample size where the targeted amount is in the middle of this expected band.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separately assessed the sample-size needs associated with CABG episodes. At 98 MSAs, we anticipate being able to detect a 2.25-percent reduction in wage-adjusted episode expenditures after 1 year with a false-positive rate of 10 percent and a false-negative rate of between 20-40 percent. The effective number of MSAs where the CABG EPM will be tested will be reduced because approximately 6 percent of eligible MSAs had no CABG episodes in the reference year. However, our power calculations do not lead us to believe we need to increase the sample size based on this fact. The number of CABG MSAs can experience this reduction and maintain equivalent levels of power to the AMI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the opinion that the models should be tested in 5 to 10 MSAs rather than be done as a large scale test.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stated in the proposed rule, we believe that the evidence base related to episode payments is sufficient enough to justify a large scale test and we believe that it is appropriate to size the models so as to be able to generate statistically reliable estimates of the impact as well as to be able to understand how well the models operate in a variety of circumstances.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select 98 MSAs to participate in the cardiac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Method of Selecting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discussed, we are sought to choose 98 MSAs from our pool of eligible MSAs through simple random selection. We proposed to make the selection in the proposed rule using SAS Enterprise Guide 7.1 software to run a computer algorithm SAS Enterprise Guide 7.1 and the computer algorithm used to conduct selection represents an industry-standard for generating advanced analytics and provides a rigorous, standardized tool by which to satisfy the requirements of randomized selection. The key SAS commands employed include a "PROC SURVEYSELECT" statement coupled with the "METHOD=SRS" option used to specify simple random sampling as the sample selection method. A random number seed will be generated using the birthdate of the person executing the program. n39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 For more information on this procedure and the underlying statistical methodology, please reference SAS support documentation at: </w:t>
      </w:r>
      <w:hyperlink r:id="rId30" w:history="1">
        <w:r>
          <w:rPr>
            <w:rFonts w:ascii="arial" w:eastAsia="arial" w:hAnsi="arial" w:cs="arial"/>
            <w:b w:val="0"/>
            <w:i/>
            <w:strike w:val="0"/>
            <w:noProof w:val="0"/>
            <w:color w:val="0077CC"/>
            <w:position w:val="0"/>
            <w:sz w:val="20"/>
            <w:u w:val="single"/>
            <w:vertAlign w:val="baseline"/>
          </w:rPr>
          <w:t>http://support.sas.com/documentation/cdl/en/statug/63033/HTML/default/viewer.htm#statug_surveyselect_sect003.htm/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proposal to implement the AMI and CABG models in the selected MSAs, some of which may overlap with MSAs where the CJR and SHFFT models also are being implemented.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Comments were received from multiple sources that expressed that the list of selected MSAs be published as soon as possible to allow for better preparation for the start of the models. One commenter requested that the list of hospitals in the selected areas also be published and that hospitals be given 60 days to comment on its accuracy. Commenters expressed a preference that, in future rule making of a similar nature, the list of selected MSAs be displayed in the proposed rule rather than the final rule to allow for comment by the impacted MSAs and additional preparation time.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suggestion that MSAs and affected providers be published at the time of rulemaking, and will take it under advisement in any future rule. One of the reasons for not selecting MSAs at the time of the proposed rule was to encourage all potentially impacted providers to comment. In addition, we wished to be able to maintain flexibility that would allow for the creation of new exclusion rules to be suggested in the comment period without necessitating the need to re-select MSAs between the proposed and final rules. In order to accommodate the later announcement of impacted MSAs, we proposed a July 1, 2017 model start. This represents a similar amount of time between the CJR MSA announcement and the start of that model as for the announcement of the cardiac EPM MSAs and the finalization of the SHFFT MSAs and the start of those models.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list of MSAs selected for the cardiac EPM is included in TABLE 2. The list of hospitals identified as in the MSAs selected for the cardiac EPMs can be found at </w:t>
      </w:r>
      <w:hyperlink r:id="rId31" w:history="1">
        <w:r>
          <w:rPr>
            <w:rFonts w:ascii="arial" w:eastAsia="arial" w:hAnsi="arial" w:cs="arial"/>
            <w:b w:val="0"/>
            <w:i/>
            <w:strike w:val="0"/>
            <w:noProof w:val="0"/>
            <w:color w:val="0077CC"/>
            <w:position w:val="0"/>
            <w:sz w:val="20"/>
            <w:u w:val="single"/>
            <w:vertAlign w:val="baseline"/>
          </w:rPr>
          <w:t>https://innovation.cms.gov/initiatives/epm/</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Hospitals believing that they have erroneously been identified as being in a selected area should send an email to </w:t>
      </w:r>
      <w:hyperlink r:id="rId28" w:history="1">
        <w:r>
          <w:rPr>
            <w:rFonts w:ascii="arial" w:eastAsia="arial" w:hAnsi="arial" w:cs="arial"/>
            <w:b w:val="0"/>
            <w:i/>
            <w:strike w:val="0"/>
            <w:noProof w:val="0"/>
            <w:color w:val="0077CC"/>
            <w:position w:val="0"/>
            <w:sz w:val="20"/>
            <w:u w:val="single"/>
            <w:vertAlign w:val="baseline"/>
          </w:rPr>
          <w:t>epm@cms.hhs.gov</w:t>
        </w:r>
      </w:hyperlink>
      <w:r>
        <w:rPr>
          <w:rFonts w:ascii="arial" w:eastAsia="arial" w:hAnsi="arial" w:cs="arial"/>
          <w:b w:val="0"/>
          <w:i w:val="0"/>
          <w:strike w:val="0"/>
          <w:noProof w:val="0"/>
          <w:color w:val="000000"/>
          <w:position w:val="0"/>
          <w:sz w:val="20"/>
          <w:u w:val="none"/>
          <w:vertAlign w:val="baseline"/>
        </w:rPr>
        <w:t xml:space="preserve"> within 45 days of the publication of the final rule. Hospitals should include identifying information including the hospital CCN. CMS will periodically review and revise the list of hospitals that meet the requirements for participation in the cardiac EPMs and </w:t>
      </w:r>
      <w:r>
        <w:rPr>
          <w:rFonts w:ascii="arial" w:eastAsia="arial" w:hAnsi="arial" w:cs="arial"/>
          <w:b/>
          <w:i w:val="0"/>
          <w:strike w:val="0"/>
          <w:noProof w:val="0"/>
          <w:color w:val="000000"/>
          <w:position w:val="0"/>
          <w:sz w:val="20"/>
          <w:u w:val="none"/>
          <w:vertAlign w:val="baseline"/>
        </w:rPr>
        <w:t> [*239] </w:t>
      </w:r>
      <w:r>
        <w:rPr>
          <w:rFonts w:ascii="arial" w:eastAsia="arial" w:hAnsi="arial" w:cs="arial"/>
          <w:b w:val="0"/>
          <w:i w:val="0"/>
          <w:strike w:val="0"/>
          <w:noProof w:val="0"/>
          <w:color w:val="000000"/>
          <w:position w:val="0"/>
          <w:sz w:val="20"/>
          <w:u w:val="none"/>
          <w:vertAlign w:val="baseline"/>
        </w:rPr>
        <w:t xml:space="preserve"> will update this information on </w:t>
      </w:r>
      <w:hyperlink r:id="rId31" w:history="1">
        <w:r>
          <w:rPr>
            <w:rFonts w:ascii="arial" w:eastAsia="arial" w:hAnsi="arial" w:cs="arial"/>
            <w:b w:val="0"/>
            <w:i/>
            <w:strike w:val="0"/>
            <w:noProof w:val="0"/>
            <w:color w:val="0077CC"/>
            <w:position w:val="0"/>
            <w:sz w:val="20"/>
            <w:u w:val="single"/>
            <w:vertAlign w:val="baseline"/>
          </w:rPr>
          <w:t>https://innovation.cms.gov/initiatives/epm/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We selected the participating MSAs for the CABG and AMI EPMs through simple random selection. SAS for Windows Version 9.4 software was used to run a computer algorithm designed to randomly select MSAs. SAS for Windows Version 9.4 and the computer algorithm used to conduct selection represents an industry standard for generating advanced analytics and provides a rigorous, standardized tool by which to satisfy the requirements of randomized selection. The key SAS commands employed include a "PROC SURVEYSELECT" statement coupled with the "METHOD=SRS" option used to specify simple random sampling as the sample selection method. The random number seed utilized was 19730609.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MSAs selected for inclusion are shown in TABLE 2.</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600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2--MSAS Selected To Participate in the Cardiac EPMS</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6000" w:type="dxa"/>
            <w:tcBorders>
              <w:bottom w:val="nil"/>
              <w:right w:val="nil"/>
            </w:tcBorders>
          </w:tcPr>
          <w:p/>
        </w:tc>
        <w:tc>
          <w:tcPr>
            <w:tcW w:w="19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CBSA--OMB</w:t>
            </w:r>
          </w:p>
        </w:tc>
        <w:tc>
          <w:tcPr>
            <w:tcW w:w="6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MSA name</w:t>
            </w: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CJR</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600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selected MSA?</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10180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Abilene, TX</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10420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Akron, OH</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10780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Alexandria, LA</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10900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Allentown-Bethlehem-Easton, PA-NJ</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11260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Anchorage, AK</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Atlantic City-Hammonton, NJ</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12220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Auburn-Opelika, AL</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12420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Austin-Round Rock, TX</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13380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Bellingham, WA</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13460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Bend-Redmond, OR</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14020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Bloomington, IN</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14260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Boise City, ID</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14460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Boston-Cambridge-Newton, MA-NH</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15940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Canton-Massillon, OH</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15980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Cape Coral-Fort Myers, FL</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16020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Cape Girardeau, MO-IL</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16300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Cedar Rapids, IA</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16700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Charleston-North Charleston, SC</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16860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Chattanooga, TN-GA</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16980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Chicago-Naperville-Elgin, IL-IN-WI</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17020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Chico, CA</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17660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Coeur d'Alene, ID</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17860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Columbia, MO</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17900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Columbia, SC</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17980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Columbus, GA-AL</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18880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Crestview-Fort Walton Beach-Destin, FL</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Dallas-Fort Worth-Arlington, TX</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19300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Daphne-Fairhope-Foley, AL</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19740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Denver-Aurora-Lakewood, CO</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19780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 Moines-West Des Moines, IA</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Dover, DE</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Durham-Chapel Hill, NC</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21060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Elizabethtown-Fort Knox, KY</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21500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Erie, PA</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21660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Eugene, OR</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22520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Florence-Muscle Shoals, AL</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22660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Fort Collins, CO</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23060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Fort Wayne, IN</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23580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Gainesville, GA</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24300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Grand Junction, CO</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24860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Greenville-Anderson-Mauldin, SC</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25940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Hilton Head Island-Bluffton-Beaufort, SC</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26580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Huntington-Ashland, WV-KY-OH</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26820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Idaho Falls, ID</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26900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Indianapolis-Carmel-Anderson, IN</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26980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Iowa City, IA</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27620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Jefferson City, MO</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27860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Jonesboro, AR</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27900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Joplin, MO</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28020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Kalamazoo-Portage, MI</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28140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Kansas City, MO-KS</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28420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Kennewick-Richland, WA</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29100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 Crosse-Onalaska, WI-MN</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29420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Lake Havasu City-Kingman, AZ</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29460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Lakeland-Winter Haven, FL</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29620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Lansing-East Lansing, MI</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30460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Lexington-Fayette, KY</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30620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Lima, OH</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30780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Little Rock-North Little Rock-Conway, AR</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31540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Madison, WI</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31700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Manchester-Nashua, NH</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32780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Medford, OR</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32820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Memphis, TN-MS-AR</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33340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Milwaukee-Waukesha-West Allis, WI</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33540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Missoula, MT</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34820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Myrtle Beach-Conway-North Myrtle Beach, SC-NC</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34980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Nashville-Davidson-Murfreesboro-Franklin, TN</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35100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Bern, NC</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35660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Niles-Benton Harbor, MI</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36420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Oklahoma City, OK</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36540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Omaha-Council Bluffs, NE-IA</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39140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Prescott, AZ</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39380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Pueblo, CO</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39580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Raleigh, NC</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39660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Rapid City, SD</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39740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Reading, PA</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39900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Reno, NV</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40060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Richmond, VA</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40220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Roanoke, VA</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41100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George, UT</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41140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Joseph, MO-KS</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41420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Salem, OR</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41500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Salinas, CA</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42340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Savannah, GA</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43300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Sherman-Denison, TX</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44060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Spokane-Spokane Valley, WA</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44100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Springfield, IL</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46060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Tucson, AZ</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46140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Tulsa, OK</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46220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Tuscaloosa, AL</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46540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Utica-Rome, NY</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47940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Waterloo-Cedar Falls, IA</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48300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Wenatchee, WA</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48620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Wichita, KS</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48900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Wilmington, NC</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49180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Winston-Salem, NC</w:t>
            </w:r>
          </w:p>
        </w:tc>
        <w:tc>
          <w:tcPr>
            <w:tcW w:w="19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49660</w:t>
            </w:r>
          </w:p>
        </w:tc>
        <w:tc>
          <w:tcPr>
            <w:tcW w:w="6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Youngstown-Warren-Boardman, OH-PA</w:t>
            </w:r>
          </w:p>
        </w:tc>
        <w:tc>
          <w:tcPr>
            <w:tcW w:w="1920" w:type="dxa"/>
          </w:tcP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49740</w:t>
            </w:r>
          </w:p>
        </w:tc>
        <w:tc>
          <w:tcPr>
            <w:tcW w:w="60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Yuma, AZ</w:t>
            </w:r>
          </w:p>
        </w:tc>
        <w:tc>
          <w:tcPr>
            <w:tcW w:w="1920" w:type="dxa"/>
          </w:tcP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Episode Definition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Episode payment models incentivize improvement in the coordination and quality of care experienced by a Medicare beneficiary, as well as episode efficiency, by bundling payment for services furnished to the beneficiary for specific clinical conditions over a defined period of time. A key model design feature is the definition of the episodes included in the model. The definition of episodes has two significant dimensions--(1) a clinical dimension that describes which clinical conditions and associated services are included in the episode; and (2) a time dimension that describes the beginning, middle, and end of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Overview of Three Episode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three new EPMs--AMI, CABG, and SHFFT--that each begin with a hospitalization and extend 90 days after hospital discharge. The proposed AMI model includes beneficiaries discharged under an AMI MS-DRG (280-282), representing admission to an IPPS hospital for AMI that is treated with medical management, or an IPPS admission for a PCI MS-DRG (246-251) with an International Classification of Diseases (ICD)--Clinical Modification (CM) AMI diagnosis code describing an initial AMI diagnosis in the principal or a secondary diagnosis code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CABG model includes beneficiaries discharged under a CABG MS-DRG (231-236), representing an IPPS admission for this coronary revascularization procedure irrespective of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SHFFT model includes beneficiaries discharged under hip and femur procedures except major joint MS-DRG (480-482), representing an IPPS admission for a hip fixation procedure in the setting of a hip fracture.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reason these particular episodes were chosen for the proposed EPMs is that the initiation of treatment for each of the three clinical conditions included in an episode occurs almost exclusively during a hospitalization, which we believe would minimize the possibility of shifting beneficiaries in or out of the EPM based on the site-of-service where treatment is initiated. The majority of evaluation and treatment for AMI is performed in the inpatient hospital setting, commonly beginning when beneficiaries present with symptoms to the emergency department of a hospital. Patients experiencing an AMI are almost uniformly admitted to the hospital for further evaluation and management. n40 Although PCIs can be performed and </w:t>
      </w:r>
      <w:r>
        <w:rPr>
          <w:rFonts w:ascii="arial" w:eastAsia="arial" w:hAnsi="arial" w:cs="arial"/>
          <w:b/>
          <w:i w:val="0"/>
          <w:strike w:val="0"/>
          <w:noProof w:val="0"/>
          <w:color w:val="000000"/>
          <w:position w:val="0"/>
          <w:sz w:val="20"/>
          <w:u w:val="none"/>
          <w:vertAlign w:val="baseline"/>
        </w:rPr>
        <w:t> [*241] </w:t>
      </w:r>
      <w:r>
        <w:rPr>
          <w:rFonts w:ascii="arial" w:eastAsia="arial" w:hAnsi="arial" w:cs="arial"/>
          <w:b w:val="0"/>
          <w:i w:val="0"/>
          <w:strike w:val="0"/>
          <w:noProof w:val="0"/>
          <w:color w:val="000000"/>
          <w:position w:val="0"/>
          <w:sz w:val="20"/>
          <w:u w:val="none"/>
          <w:vertAlign w:val="baseline"/>
        </w:rPr>
        <w:t xml:space="preserve"> may be paid by Medicare in the hospital outpatient setting in addition to being performed during a hospitalization, the majority of patients experiencing an AMI who are candidates for procedural revascularization receive PCI procedures during the initial hospitalization for AMI where evaluation also occurs. n41 CABG procedures are furnished exclusively in the inpatient hospital setting. We note that all of the Current Procedural Terminology (CPT) codes that physicians report for CABG are listed on the hospital Outpatient Prospective Payment System (OPPS) inpatient-only list in Addendum E of the 2017 OPPS final rule with comment period that is posted on the CMS Web site. n42 The hip fixation procedures performed in the SHFFT model also are predominantly furnished in the inpatient hospital setting, and we further note that almost all of the CPT codes that describe these procedures also are on the OPPS inpatient-only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 Amsterdam et al. 2014 AHA/ACC Guideline for the Management of Patients with Non-ST-Elevation Acute Coronary Syndromes. Circulation. 2014; 130:e344-e426.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 Episodes for beneficiaries with AMI initiated by all U.S. IPPS hospitals not in Maryland and constructed using standardized Medicare FFS Parts A and B claims, as proposed in the proposed rule, that end in CY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 </w:t>
      </w:r>
      <w:hyperlink r:id="rId32" w:history="1">
        <w:r>
          <w:rPr>
            <w:rFonts w:ascii="arial" w:eastAsia="arial" w:hAnsi="arial" w:cs="arial"/>
            <w:b w:val="0"/>
            <w:i/>
            <w:strike w:val="0"/>
            <w:noProof w:val="0"/>
            <w:color w:val="0077CC"/>
            <w:position w:val="0"/>
            <w:sz w:val="20"/>
            <w:u w:val="single"/>
            <w:vertAlign w:val="baseline"/>
          </w:rPr>
          <w:t>https://www.cms.gov/Medicare/Medicare-Fee-for-Service-Payment/HospitalOutpatientPPS/Hospital-Outpatient-</w:t>
        </w:r>
      </w:hyperlink>
      <w:hyperlink r:id="rId32" w:history="1">
        <w:r>
          <w:rPr>
            <w:rFonts w:ascii="arial" w:eastAsia="arial" w:hAnsi="arial" w:cs="arial"/>
            <w:b/>
            <w:i/>
            <w:strike w:val="0"/>
            <w:noProof w:val="0"/>
            <w:color w:val="0077CC"/>
            <w:position w:val="0"/>
            <w:sz w:val="20"/>
            <w:u w:val="single"/>
            <w:vertAlign w:val="baseline"/>
          </w:rPr>
          <w:t>Regulations</w:t>
        </w:r>
      </w:hyperlink>
      <w:hyperlink r:id="rId32" w:history="1">
        <w:r>
          <w:rPr>
            <w:rFonts w:ascii="arial" w:eastAsia="arial" w:hAnsi="arial" w:cs="arial"/>
            <w:b w:val="0"/>
            <w:i/>
            <w:strike w:val="0"/>
            <w:noProof w:val="0"/>
            <w:color w:val="0077CC"/>
            <w:position w:val="0"/>
            <w:sz w:val="20"/>
            <w:u w:val="single"/>
            <w:vertAlign w:val="baseline"/>
          </w:rPr>
          <w:t>-and-Notices-Items/CMS-1656-FC.html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Hospitals' ability to identify EPM beneficiaries during the hospitalization that begins the episode (hereinafter the anchor hospitalization) also is an important consideration in developing episode payment models that, like the CJR model, rely upon MS-DRG assignment for IPPS claims following their submission in order to identify beneficiaries for model inclusion. This is especially important for medical management of conditions for which the predictability of the ultimate MS-DRG for the hospitalization is less certain than for surgical or procedural MS-DRGs. AMI represents a relative exception among medical conditions as it is associated with specific clinical and laboratory features that enable hospitals to identify beneficiaries with AMI during the anchor hospitalization whom would likely be included in an AMI episode through their ultimate discharge under an AMI MS-DRG. We note that ICD-CM coding rules allow AMI diagnosis codes in both the primary and secondary position to map to AMI MS-DRGs. n43 In the case of procedural episodes such as CABG, SHFFT, and AMI episodes for beneficiaries treated with PCI, the MS-DRG for the procedure performed would determine the ultimate MS-DRG assignment for the hospitalization unless additional surgeries higher in the MS-DRG hierarchy also are reported. n44 Therefore, we proposed these three EPMs for clinical conditions where MS-DRG assignment is likely to be certain and known during the anchor hospitalization, even though treatment for AMI may involve only medical management. We believe hospitals participating in the proposed EPMs would be able to identify beneficiaries in EPM episodes through their AMI, CABG, and SHFFT episode MS-DRGs during the anchor hospitalization, allowing active coordination of EPM beneficiary care during and after hospitalization.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 Medical Severity Diagnosis Related Groups (MS-DRGs): Definitions Manual. Version 33.0A. 3M Health Information Systems. (October 1, 2015). </w:t>
      </w:r>
      <w:hyperlink r:id="rId33" w:history="1">
        <w:r>
          <w:rPr>
            <w:rFonts w:ascii="arial" w:eastAsia="arial" w:hAnsi="arial" w:cs="arial"/>
            <w:b w:val="0"/>
            <w:i/>
            <w:strike w:val="0"/>
            <w:noProof w:val="0"/>
            <w:color w:val="0077CC"/>
            <w:position w:val="0"/>
            <w:sz w:val="20"/>
            <w:u w:val="single"/>
            <w:vertAlign w:val="baseline"/>
          </w:rPr>
          <w:t>https://www.cms.gov/Medicare/Medicare-Fee-for-Service-Payment/AcuteInpatientPPS/FY2016-IPPS-Final-Rule-Home-Page-Items/FY2016-IPPS-Final-Rule-Data-Files.html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 Medical Severity Diagnosis Related Groups (MS-DRGs): Definitions Manual. Version 33.0A. 3M Health Information Systems. (October 1, 2015). </w:t>
      </w:r>
      <w:hyperlink r:id="rId33" w:history="1">
        <w:r>
          <w:rPr>
            <w:rFonts w:ascii="arial" w:eastAsia="arial" w:hAnsi="arial" w:cs="arial"/>
            <w:b w:val="0"/>
            <w:i/>
            <w:strike w:val="0"/>
            <w:noProof w:val="0"/>
            <w:color w:val="0077CC"/>
            <w:position w:val="0"/>
            <w:sz w:val="20"/>
            <w:u w:val="single"/>
            <w:vertAlign w:val="baseline"/>
          </w:rPr>
          <w:t>https://www.cms.gov/Medicare/Medicare-Fee-for-Service-Payment/AcuteInpatientPPS/FY2016-IPPS-Final-Rule-Home-Page-Items/FY2016-IPPS-Final-Rule-Data-Files.html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Clinical Dimensions of AMI, CABG, and SHFFT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stated in the CJR Final Rule, we believe that a straightforward approach for hospitals and other providers to identify Medicare beneficiaries in these episode payment models would be important for the care redesign that is required for EPM success, as well as for operationalization of the proposed payment and other EPM policies </w:t>
      </w:r>
      <w:hyperlink r:id="rId21" w:history="1">
        <w:r>
          <w:rPr>
            <w:rFonts w:ascii="arial" w:eastAsia="arial" w:hAnsi="arial" w:cs="arial"/>
            <w:b w:val="0"/>
            <w:i/>
            <w:strike w:val="0"/>
            <w:noProof w:val="0"/>
            <w:color w:val="0077CC"/>
            <w:position w:val="0"/>
            <w:sz w:val="20"/>
            <w:u w:val="single"/>
            <w:vertAlign w:val="baseline"/>
          </w:rPr>
          <w:t>(80 FR 73299).</w:t>
        </w:r>
      </w:hyperlink>
      <w:r>
        <w:rPr>
          <w:rFonts w:ascii="arial" w:eastAsia="arial" w:hAnsi="arial" w:cs="arial"/>
          <w:b w:val="0"/>
          <w:i w:val="0"/>
          <w:strike w:val="0"/>
          <w:noProof w:val="0"/>
          <w:color w:val="000000"/>
          <w:position w:val="0"/>
          <w:sz w:val="20"/>
          <w:u w:val="none"/>
          <w:vertAlign w:val="baseline"/>
        </w:rPr>
        <w:t xml:space="preserve"> Therefore, as in the CJR model, we proposed that an EPM episode would be initiated by an admission to an acute care hospital for an anchor hospitalization paid under EPM-specific MS-DRGs under the IPPS </w:t>
      </w:r>
      <w:hyperlink r:id="rId21" w:history="1">
        <w:r>
          <w:rPr>
            <w:rFonts w:ascii="arial" w:eastAsia="arial" w:hAnsi="arial" w:cs="arial"/>
            <w:b w:val="0"/>
            <w:i/>
            <w:strike w:val="0"/>
            <w:noProof w:val="0"/>
            <w:color w:val="0077CC"/>
            <w:position w:val="0"/>
            <w:sz w:val="20"/>
            <w:u w:val="single"/>
            <w:vertAlign w:val="baseline"/>
          </w:rPr>
          <w:t>(80 FR 73300).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support for CMS' proposal to use many of the BPCI Model 2 and CJR episode parameters to define EPM episodes because of the provider experience to date with these design features and their applicability to the clinical conditions that are the basis of the EPMs. Several commenters specifically recommended that CMS begin EPM episodes with emergency department care because including beneficiaries with emergency department care and observation status would include all beneficiaries with the clinical conditions that were included in the proposed EPMs. While the commenters acknowledged that many beneficiaries with the clinical conditions in the EPMs would be admitted to the hospital, they believe there is a subset of beneficiaries for whom care could solely be furnished through emergency department and observation care. Other commenters requested clarification on how a beneficiary treated in observation status and then transferred to another hospital would be handled under the EPMs because the beneficiary would never be assigned to an MS-DRG at the initial treating hospital. The commenters believe that a hospital could use this strategy to avoid including high-cost beneficiaries in the EPMs. The commenters stated that patient stabilization is critical and the resources needed to care for the beneficiary should not dictate observation status versus inpatient status due to a hospital participation in an EPM. Several commenters encouraged CMS to provide additional guidance on instances when the beneficiary is never admitted at the initial hospital, but rather transferred from the emergency department or observation status to another hospital for AMI or CABG.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that CMS modify the Episode Grouper for Medicare (EGM) which, to date, has only been considered for resource-use measurement, to implement advanced APMs designed around EPMs to correct problems the commenter believes would be present in the proposed EPMs that would rely on MS-DRGs, including limited severity adjustment, the limits on who can bear risk, and the inadequate incentives against complications. The commenter claimed that an acute care bundle in the hospital setting is important, but so is managing chronic conditions in an outpatient setting (which often lead to acute inpatient episodes). While contracting for condition episodes and procedure episodes separately is feasible and creates a different level of accountability, the commenter stated that it is even more desirable to consider contracting for the whole patient; that is, procedure episodes should be considered downstream events deeply tied to the effective management of condition episodes. The commenter stated that the nested construction logic of the EGM was designed with this in mind.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contended that the proposed structure for the new EPM episodes would continue to reward providers for complications. Payments would be based on the beneficiary's assigned MS-DRG, so a complication of care could move a low risk patient from a lower paying MS-DRG to a higher paying MS-DRG that could result in a </w:t>
      </w:r>
      <w:r>
        <w:rPr>
          <w:rFonts w:ascii="arial" w:eastAsia="arial" w:hAnsi="arial" w:cs="arial"/>
          <w:b/>
          <w:i w:val="0"/>
          <w:strike w:val="0"/>
          <w:noProof w:val="0"/>
          <w:color w:val="000000"/>
          <w:position w:val="0"/>
          <w:sz w:val="20"/>
          <w:u w:val="none"/>
          <w:vertAlign w:val="baseline"/>
        </w:rPr>
        <w:t> [*242] </w:t>
      </w:r>
      <w:r>
        <w:rPr>
          <w:rFonts w:ascii="arial" w:eastAsia="arial" w:hAnsi="arial" w:cs="arial"/>
          <w:b w:val="0"/>
          <w:i w:val="0"/>
          <w:strike w:val="0"/>
          <w:noProof w:val="0"/>
          <w:color w:val="000000"/>
          <w:position w:val="0"/>
          <w:sz w:val="20"/>
          <w:u w:val="none"/>
          <w:vertAlign w:val="baseline"/>
        </w:rPr>
        <w:t xml:space="preserve"> significant increase in revenue. The commenter believes the problem is further compounded because it penalizes providers who invest in quality improvement. Providers that invest time and resources into care redesign that successfully reduces complications that influence MS-DRG assignment do not share in the savings that they generate through their efforts. The commenter stated that the MS-DRG payment categorization creates a substantial financial incentive to avoid quality improvement in favor of focusing on improving the management of adverse events after they occur. The commenters stated that the benefit of using MS-DRG assignment in the EPMs could be preserved without the perverse incentive if the payment group for the episode were assigned based on an MS-DRG assignment that depended only on diagnosis codes that were present on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claimed that MS-DRGs do not map well to care delivered in post-acute care settings, especially for chronically ill beneficiaries. MS-DRGs, in identifying diagnoses and procedures delivered in the acute care hospital setting, often do not relate to the skilled nursing needs, functional limitations, or therapy/rehabilitation focused on in post-acute care settings after hospital discharge. Additionally, the commenter pointed out that MS-DRGs do not take into account a patient's functional status, which is an important indicator for determining a patient's post-acute care needs. The commenter recommended CMS to develop a more robust risk adjustment methodology under the EPMs, because MS-DRGs alone are not sufficient for medically complex patients. For those providers caring for the sickest beneficiaries, the commenter recommended that CMS create separate bundled payments for seriously ill beneficiaries, as defined by something other than MS-DRG.</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that many commenters expressed for our proposal to identify Medicare beneficiaries included in the proposed EPMs by their admission to an acute care hospital for a hospitalization paid under EPM-specific MS-DRGs under the IPPS. We and many stakeholders have gained substantial experience with bundled payment models of a similar design under BPCI Model 2 and the CJR model. We agree with the many commenters who stressed the importance of EPM participants being able to identify EPM beneficiaries on a timely basis as early as possible during the episodes in order to maximize the opportunities for care redesign to improve EPM episode quality and reduce costs. As we discussed in the proposed rule </w:t>
      </w:r>
      <w:hyperlink r:id="rId9" w:history="1">
        <w:r>
          <w:rPr>
            <w:rFonts w:ascii="arial" w:eastAsia="arial" w:hAnsi="arial" w:cs="arial"/>
            <w:b w:val="0"/>
            <w:i/>
            <w:strike w:val="0"/>
            <w:noProof w:val="0"/>
            <w:color w:val="0077CC"/>
            <w:position w:val="0"/>
            <w:sz w:val="20"/>
            <w:u w:val="single"/>
            <w:vertAlign w:val="baseline"/>
          </w:rPr>
          <w:t>(81 FR 50813),</w:t>
        </w:r>
      </w:hyperlink>
      <w:r>
        <w:rPr>
          <w:rFonts w:ascii="arial" w:eastAsia="arial" w:hAnsi="arial" w:cs="arial"/>
          <w:b w:val="0"/>
          <w:i w:val="0"/>
          <w:strike w:val="0"/>
          <w:noProof w:val="0"/>
          <w:color w:val="000000"/>
          <w:position w:val="0"/>
          <w:sz w:val="20"/>
          <w:u w:val="none"/>
          <w:vertAlign w:val="baseline"/>
        </w:rPr>
        <w:t xml:space="preserve"> we believe that a straightforward approach to EPM model design that would allow hospitals and other providers to identify Medicare beneficiaries in these episode payment models would be important for the care redesign that is required for EPM success, as well as for operationalization of the proposed payment and other EPM policies, and agree with many commenters that our proposed design of the EPMs meets these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acknowledge the perspective of some commenters that a small number of beneficiaries with clinical conditions that are the focus of the EPMs, especially AMI, may be appropriately treated in the emergency department with observation status without hospital admission, we believe it is infeasible to include these beneficiaries in the EPMs due to complex operational challenges for CMS and EPM participants and model design parameters, such as appropriate pricing in the context of varied hospital cardiac care capabilities. We refer to section III.C.4.a.(1) of this final rule for further discussion of comments on outpatient treatment scenarios and our responses. We refer to section III.C.4.a.(5) of this final rule for discussion of outpatient-to-inpatient (o-i) transfer scenarios for beneficiaries with AMI, including when AMI episodes would begin and to which hospital the episode would be attributed. We agree with the commenters that patient stabilization of serious conditions such as AMI in the emergency department of a hospital is critical and the resources needed to care for the beneficiary should not dictate observation status versus inpatient status due to a hospital participation in an EPM. We believe our final EPM policies, including our AMI model transfer policies, reflect our commitment to ensuring that the initial care of beneficiaries with urgent conditions such as those targeted by the EPMs is not influenced by hospital participation in an EPM. We also refer to sections III.G.4. through 6. of this final rule for discussion of our monitoring plans to detect changing patterns of care under the EPMs, including practices that could indicate that medically complex beneficiaries who otherwise would be expected to be in high-cost EPM episodes do not initiate EPM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have an interest in future condition-specific episode payment models and sought public comment on this topic in the proposed rule </w:t>
      </w:r>
      <w:hyperlink r:id="rId9" w:history="1">
        <w:r>
          <w:rPr>
            <w:rFonts w:ascii="arial" w:eastAsia="arial" w:hAnsi="arial" w:cs="arial"/>
            <w:b w:val="0"/>
            <w:i/>
            <w:strike w:val="0"/>
            <w:noProof w:val="0"/>
            <w:color w:val="0077CC"/>
            <w:position w:val="0"/>
            <w:sz w:val="20"/>
            <w:u w:val="single"/>
            <w:vertAlign w:val="baseline"/>
          </w:rPr>
          <w:t>(81 FR 50810</w:t>
        </w:r>
      </w:hyperlink>
      <w:r>
        <w:rPr>
          <w:rFonts w:ascii="arial" w:eastAsia="arial" w:hAnsi="arial" w:cs="arial"/>
          <w:b w:val="0"/>
          <w:i w:val="0"/>
          <w:strike w:val="0"/>
          <w:noProof w:val="0"/>
          <w:color w:val="000000"/>
          <w:position w:val="0"/>
          <w:sz w:val="20"/>
          <w:u w:val="none"/>
          <w:vertAlign w:val="baseline"/>
        </w:rPr>
        <w:t xml:space="preserve"> through 50811), we have not identified long-term management of beneficiaries with chronic disease as the focus of these EPMs, which are proposed to extend 90 days post-hospital discharge from an anchor hospitalization for beneficiaries who have cardiac or orthopedic surgery or a cardiac 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one commenter pointed out, MS-DRGs currently provide higher payments for beneficiaries who experience complications during the inpatient hospitalization and we appreciate the interest of the commenter in EPMs that encourage improvement in quality of care during the anchor hospitalization for which hospitals would be rewarded. However, given the operational challenges that EPMs that require participation present for EPM participants and CMS, it would be infeasible in models like the EPMs to regroup beneficiaries to different MS-DRGs for setting EPM episode prices based only on their diagnoses that were present on admission to address underlying payment incentives under the IPPS. Instead, the EPMs focus EPM participants on care redesign to improve the quality of care for EPM beneficiaries that may achieve internal hospital cost savings for the anchor hospitalization and/or savings to Medicare in the post-hospital discharge period. We expect that some of those care redesign strategies that improve care coordination for EPM beneficiaries may have spill-over effects that result in reduced in-hospital complications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refer to section III.D.4.b.(2) of this final rule for a discussion of risk adjustment under the EPMs. Because all EPM participants care for some seriously ill beneficiaries, some hospitals may disproportionately care for such beneficiaries due to their service area, referral patterns, and/or specialized hospital capacity. We believe appropriate risk adjustment of EPM episode prices, particularly by performance year 3 when the pricing blend shifts to reflect predominantly regional pricing, addresses the commenter's concern that led them to recommend that CMS create separate bundled payments for seriously ill beneficiaries as defined by something other than MS-DRG for those providers caring for the sickest patients. While we agree with the commenter that MS-DRGs only reflect the resources for the anchor hospitalization and, therefore, do not necessarily reflect the post-acute care resources required by a beneficiary, we note that the IPPS payment for the anchor hospitalization is included in the EPM episode and constitutes, on average, a significant percentage of the EPM episode spending, specifically 33 </w:t>
      </w:r>
      <w:r>
        <w:rPr>
          <w:rFonts w:ascii="arial" w:eastAsia="arial" w:hAnsi="arial" w:cs="arial"/>
          <w:b/>
          <w:i w:val="0"/>
          <w:strike w:val="0"/>
          <w:noProof w:val="0"/>
          <w:color w:val="000000"/>
          <w:position w:val="0"/>
          <w:sz w:val="20"/>
          <w:u w:val="none"/>
          <w:vertAlign w:val="baseline"/>
        </w:rPr>
        <w:t> [*243] </w:t>
      </w:r>
      <w:r>
        <w:rPr>
          <w:rFonts w:ascii="arial" w:eastAsia="arial" w:hAnsi="arial" w:cs="arial"/>
          <w:b w:val="0"/>
          <w:i w:val="0"/>
          <w:strike w:val="0"/>
          <w:noProof w:val="0"/>
          <w:color w:val="000000"/>
          <w:position w:val="0"/>
          <w:sz w:val="20"/>
          <w:u w:val="none"/>
          <w:vertAlign w:val="baseline"/>
        </w:rPr>
        <w:t xml:space="preserve"> percent of AMI episode spending for episodes anchored by AMI MS-DRGs; 58 percent of AMI episode spending for episodes anchored by PCI MS-DRGs; 63 percent of CABG episode spending; and 27 percent of SHFFT episode spending. n45 Thus, we do not believe it is necessary or appropriate to create separate bundled payments for seriously ill beneficiaries defined by a grouping other than MS-DRG, because the specific MS-DRG of the anchor hospitalization determines a significant percentage of spending for the episode for EPM beneficiaries, including seriously ill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 Episodes for AMI, CABG, and SHFFT beneficiaries initiated by all U.S. IPPS hospitals not in Maryland and constructed using standardized Medicare FFS Parts A and B claims, as proposed in the proposed rule that began in CYs 2012-2014.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 about EPM participants' ability to identify EPM beneficiaries on a timely basis. The commenters explained that the final MS-DRGs assigned to the beneficiary's hospitalization is not generated until several days post-discharge, thus impacting the EPM participant's ability to predict whether a beneficiary is in or out of an EPM episode at the time the beneficiary is in the hospital. One commenter added that because the MS-DRG is assigned to a patient's case upon discharge, it may not be predictable during a patient's treatment prior to discharge, making it difficult for providers to implement care redesign targeted to a patient population identified by MS-DRGs. This commenter believes that the MS-DRGs assigned to a patient's stay are often inaccurate or otherwise inappropriate for the patient's diagnosis, making the classification an inappropriate basis for episode triggers, budgets, quality measurement and adjusting for underlying patient illnesses. Another commenter reported on their BPCI Model 2 experience where 70 percent of model beneficiaries were elective admissions, and 30 percent presented to the hospital through the emergency department. Given that the proposed EPMs would be more similar to the commenter's experience with emergency department admissions, the commenter expressed concern that the EPMs would limit an EPM participant's ability to intervene with the beneficiary prior to admission and skepticism that the participant could even identify the beneficiary as being eligible for the EPM prior to hospital discharge. The commenter added that with very sick patients, hospitals often must wait for the appropriate coding to confirm which MS-DRG the patient ultimately is assigned to prior to billing.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further stated that precedence rules among different models and programs can touch the same beneficiary, and stated that hospital case managers, nurses, and administrators cannot know at admission or even before discharge which model the beneficiary may already be enrolled in or attributed to based on prior utilization.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of the commenters in the timely identification of EPM beneficiaries that would allow EPM participants the most significant opportunity to influence the care of these beneficiaries to improve the quality and reduce the cost of EPM episodes. While we appreciate that many EPM beneficiaries would be admitted to the hospital on an emergency basis for treatment of hip fracture, AMI, or CABG surgery under circumstances that would not allow EPM participants to engage these beneficiaries prior to hospital admission, we believe that our proposals for the clinical conditions in the EPMs make identification of most EPM beneficiaries unambiguous while they are still in the hospital, without a need for hospitals to wait for coding following discharge to confirm which MS-DRG the patient ultimately is assigned to for the hospitalization.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stated in the proposed rule </w:t>
      </w:r>
      <w:hyperlink r:id="rId9" w:history="1">
        <w:r>
          <w:rPr>
            <w:rFonts w:ascii="arial" w:eastAsia="arial" w:hAnsi="arial" w:cs="arial"/>
            <w:b w:val="0"/>
            <w:i/>
            <w:strike w:val="0"/>
            <w:noProof w:val="0"/>
            <w:color w:val="0077CC"/>
            <w:position w:val="0"/>
            <w:sz w:val="20"/>
            <w:u w:val="single"/>
            <w:vertAlign w:val="baseline"/>
          </w:rPr>
          <w:t>(81 FR 50829),</w:t>
        </w:r>
      </w:hyperlink>
      <w:r>
        <w:rPr>
          <w:rFonts w:ascii="arial" w:eastAsia="arial" w:hAnsi="arial" w:cs="arial"/>
          <w:b w:val="0"/>
          <w:i w:val="0"/>
          <w:strike w:val="0"/>
          <w:noProof w:val="0"/>
          <w:color w:val="000000"/>
          <w:position w:val="0"/>
          <w:sz w:val="20"/>
          <w:u w:val="none"/>
          <w:vertAlign w:val="baseline"/>
        </w:rPr>
        <w:t xml:space="preserve"> we agree with the commenters that hospitals' ability to identify EPM beneficiaries during the anchor hospitalization is an important consideration in developing episode payment models that rely upon MS-DRG assignment for IPPS claims following their submission in order to identify beneficiaries for model inclusion. We believe the identification of SHFFT and CABG model beneficiaries should be straightforward for EPM participants because the relevant MS-DRG assignments directly result from the surgical procedure performed during the hospitalization and would, therefore, be accurate. However, identification of beneficiaries for a model focused on medical management of conditions may be more challenging because the predictability of the ultimate MS-DRG for the hospitalization is less certain than for surgical or procedural MS-DRGs. We believe that AMI represents a relative exception among medical conditions as it is associated with specific clinical and laboratory features that should enable hospitals to identify beneficiaries with AMI during the anchor hospitalization who are treated medically or with PCI and who would likely be included in an AMI episode through their ultimate discharge under an AMI MS-DRG. Therefore, we proposed these three EPMs for clinical conditions where MS-DRG assignment is likely to be certain and known during the anchor hospitalization, even though treatment for AMI may involve only medical management. We believe hospitals participating in the proposed EPMs would generally be able to identify beneficiaries in EPM episodes through their AMI, CABG, and SHFFT episode MS-DRGs during the anchor hospitalization, allowing active coordination of EPM beneficiary care during and after hospitalization.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refer to section III.D.6.c. of this final rule for discussion of issues related to beneficiaries whose care could be included in the EPMs as well as other CMS models and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appreciation for CMS' intent to not have overlap between the same care for a beneficiary in episodes under more than one EPM. The commenter sought clarification about how CMS would attribute episodes that originate with one EPM and then cross over into another EPM. The commenter provided an example of a beneficiary with a surgical hip fracture who has an AMI during the hospitalization that is coded in a secondary position, yet the precipitating event for the hip fracture was through syncope and a fall.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When an IPPS claim is submitted to Medicare for payment of a beneficiary's hospitalization, the claim is grouped to an MS-DRG using the MS-DRG grouper, a software that uses ICD-10-CM diagnosis and procedures codes submitted on the hospital claim to assign an acute hospital stay to a particular MS-DRG. Claims are assigned to an MS-DRG using the grouper effective for the discharge date of the claim. Under the EPMs, regardless of the chronology and causality of events that led to the diagnoses and treatment during the hospitalization, we would rely upon the MS-DRG (and the presence of an ICD-10-CM AMI diagnosis code on the claim in the case of a PCI MS-DRG) assigned to the claim following hospital discharge to initiate an EPM episode and define the EPM to which the beneficiary's care would be attributed. In the commenter's example in which a patient is admitted to a hospital for surgical hip fracture fixation and has an AMI during the hospitalization, the MS-DRG grouper would assign a SHFFT MS-DRG to that hospitalization. Therefore, the beneficiary would initiate a SHFFT episode if the hospital is a SHFFT model participant. Regardless of </w:t>
      </w:r>
      <w:r>
        <w:rPr>
          <w:rFonts w:ascii="arial" w:eastAsia="arial" w:hAnsi="arial" w:cs="arial"/>
          <w:b/>
          <w:i w:val="0"/>
          <w:strike w:val="0"/>
          <w:noProof w:val="0"/>
          <w:color w:val="000000"/>
          <w:position w:val="0"/>
          <w:sz w:val="20"/>
          <w:u w:val="none"/>
          <w:vertAlign w:val="baseline"/>
        </w:rPr>
        <w:t> [*244] </w:t>
      </w:r>
      <w:r>
        <w:rPr>
          <w:rFonts w:ascii="arial" w:eastAsia="arial" w:hAnsi="arial" w:cs="arial"/>
          <w:b w:val="0"/>
          <w:i w:val="0"/>
          <w:strike w:val="0"/>
          <w:noProof w:val="0"/>
          <w:color w:val="000000"/>
          <w:position w:val="0"/>
          <w:sz w:val="20"/>
          <w:u w:val="none"/>
          <w:vertAlign w:val="baseline"/>
        </w:rPr>
        <w:t xml:space="preserve"> whether or not the hospital is an AMI model participant, no AMI episode would be initiated.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to initiate EPM episodes by an admission to an acute care hospital for an anchor hospitalization paid under EPM-specific MS-DRGs under the IPPS, without modification. We refer to section III.D.4.a.(5) of this final rule for a discussion of outpatient-to-inpatient and inpatient-to-inpatient transfers between hospitals under the AMI model. We refer to section III.D.6.c of this final rule for further discussion of issues related to overlap of beneficiaries in other Innovation Center models and CMS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Definition of the Clinical Conditions Included in AMI, CABG, and SHFFT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AMI (Medical Management and PCI)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AMI model to incentivize improvements in the coordination and quality of care, as well as episode efficiency, for beneficiaries treated for AMI with either medical management or coronary artery revascularization with PCI. We proposed to define beneficiary inclusion in the AMI model by discharge under an AMI MS-DRG (280-282), representing those individuals admitted with AMI who receive medical therapy but no revascularization, and discharge under a PCI MS-DRG (246-251) with an ICD-10-CM diagnosis code of AMI on the IPPS claim for the anchor hospitalization in the principal or secondary diagnosis code position. We note that we would use AMI International Classification of Diseases, 9th revision clinical modification (ICD-9-CM) diagnosis codes to identify historical episodes for setting AMI model-episode benchmark prices in the early performance years of the AMI model. The Uniform Hospital Discharge Data Set (UHDDS) defines the principal diagnosis for hospitalization as "that condition established after study to be chiefly responsible for occasioning the admission of the patient to the hospital for care" and other (secondary) diagnoses as "all conditions that coexist at the time of admission, that develop subsequently, or that affect the treatment received and/or the length of stay. Diagnoses that relate to an earlier episode which have no bearing on the current hospital stay are to be excluded." n46 We proposed to include those beneficiaries discharged under PCI MS-DRGs with an AMI ICD-10-CM diagnosis code in the principal or secondary diagnosis code position to ensure that beneficiaries with an AMI that is not chiefly responsible for occasioning the hospitalization are included in the AMI model because the AMI itself is likely to substantially influence the hospitalization and post-discharge recovery (and be responsible for leading to the PCI) even if an AMI ICD-10-CM diagnosis code is reported in a secondary diagnosis code position. For example, a beneficiary receiving a PCI with an ICD-10-CM diagnosis code of pneumonia in the principal position and an AMI ICD-10-CM diagnosis code in a secondary position would be included in the AMI model, which would be appropriate because the course of the beneficiary's recovery and management during the AMI episode would be primarily associated with the AMI and PCI. While pneumonia is typically an acute illness that may sometimes result in hospitalization, underlying chronic conditions may increase the likelihood that a beneficiary would be hospitalized for pneumonia, a condition that is more commonly treated on an outpatient basis. AMI in association with a hospitalization for pneumonia would represent a sentinel event for the beneficiary resulting from underlying CAD that signals a need for a heightened focus on medical management of CAD and other beneficiary risk factors for future cardiac events that may themselves have increased the beneficiary's risk for pneumonia. Thus, care coordination and management in the 90 days post-hospital discharge for these beneficiaries would be focused on managing CAD and the beneficiary's cardiac function after the AMI.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 </w:t>
      </w:r>
      <w:hyperlink r:id="rId34" w:history="1">
        <w:r>
          <w:rPr>
            <w:rFonts w:ascii="arial" w:eastAsia="arial" w:hAnsi="arial" w:cs="arial"/>
            <w:b w:val="0"/>
            <w:i/>
            <w:strike w:val="0"/>
            <w:noProof w:val="0"/>
            <w:color w:val="0077CC"/>
            <w:position w:val="0"/>
            <w:sz w:val="20"/>
            <w:u w:val="single"/>
            <w:vertAlign w:val="baseline"/>
          </w:rPr>
          <w:t>http://www.cdc.gov/nchs/data/icd/icd10cm_guidelines_2014.pdf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9" w:history="1">
        <w:r>
          <w:rPr>
            <w:rFonts w:ascii="arial" w:eastAsia="arial" w:hAnsi="arial" w:cs="arial"/>
            <w:b w:val="0"/>
            <w:i/>
            <w:strike w:val="0"/>
            <w:noProof w:val="0"/>
            <w:color w:val="0077CC"/>
            <w:position w:val="0"/>
            <w:sz w:val="20"/>
            <w:u w:val="single"/>
            <w:vertAlign w:val="baseline"/>
          </w:rPr>
          <w:t>(81 FR 50830),</w:t>
        </w:r>
      </w:hyperlink>
      <w:r>
        <w:rPr>
          <w:rFonts w:ascii="arial" w:eastAsia="arial" w:hAnsi="arial" w:cs="arial"/>
          <w:b w:val="0"/>
          <w:i w:val="0"/>
          <w:strike w:val="0"/>
          <w:noProof w:val="0"/>
          <w:color w:val="000000"/>
          <w:position w:val="0"/>
          <w:sz w:val="20"/>
          <w:u w:val="none"/>
          <w:vertAlign w:val="baseline"/>
        </w:rPr>
        <w:t xml:space="preserve"> we acknowledged that this proposal to identify beneficiaries included in the AMI model through a combination of MS-DRGs and AMI ICD-CM diagnosis codes represented a modification of the CJR episode definition methodology. The CJR model defined episodes based on MS-DRGs alone, specifically MS-DRG 469 (Major joint replacement or reattachment of lower extremity with Major Complications or Comorbidities (MCC)) and MS-DRG 470 (Major joint replacement or reattachment of lower extremity without MCC), because the anchor hospitalization for the CJR model was defined by admission for a surgical procedure alone </w:t>
      </w:r>
      <w:hyperlink r:id="rId21" w:history="1">
        <w:r>
          <w:rPr>
            <w:rFonts w:ascii="arial" w:eastAsia="arial" w:hAnsi="arial" w:cs="arial"/>
            <w:b w:val="0"/>
            <w:i/>
            <w:strike w:val="0"/>
            <w:noProof w:val="0"/>
            <w:color w:val="0077CC"/>
            <w:position w:val="0"/>
            <w:sz w:val="20"/>
            <w:u w:val="single"/>
            <w:vertAlign w:val="baseline"/>
          </w:rPr>
          <w:t>(80 FR 73280).</w:t>
        </w:r>
      </w:hyperlink>
      <w:r>
        <w:rPr>
          <w:rFonts w:ascii="arial" w:eastAsia="arial" w:hAnsi="arial" w:cs="arial"/>
          <w:b w:val="0"/>
          <w:i w:val="0"/>
          <w:strike w:val="0"/>
          <w:noProof w:val="0"/>
          <w:color w:val="000000"/>
          <w:position w:val="0"/>
          <w:sz w:val="20"/>
          <w:u w:val="none"/>
          <w:vertAlign w:val="baseline"/>
        </w:rPr>
        <w:t xml:space="preserve"> However, the proposed AMI episodes would be defined by admission for a medical condition that includes a range of treatment options, including medical treatment and PCI. Therefore, to identify beneficiaries admitted for AMI and treated with PCI requires ICD-CM diagnosis codes paired with MS-DRGs to identify the subset of PCI MS-DRG cases associated with AMI that would otherwise be excluded from an AMI model based solely on AMI MS-DRGs.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purposes of defining historical AMI episodes, we proposed to exclude beneficiaries discharged under PCI MS-DRGs with an AMI ICD-9-CM diagnosis code in the principal or secondary position if there was an intracardiac ICD-9-CM procedure code in any procedure code field. Intracardiac procedure codes do not represent PCI procedures indicated for the treatment of the coronary artery obstruction that results in AMI, but instead represent a group of procedures indicated for treating congenital cardiac malformations, cardiac valve disease, and cardiac arrhythmias. These intracardiac procedures are performed within the heart chambers rather than PCI procedures for AMI that are performed within the coronary blood vessels. To reflect this clinical distinction, the FY 2016 IPPS update removed intracardiac procedures from MS-DRGs 246-251 and assigned them to new MS-DRGs 273 and 274 </w:t>
      </w:r>
      <w:hyperlink r:id="rId35" w:history="1">
        <w:r>
          <w:rPr>
            <w:rFonts w:ascii="arial" w:eastAsia="arial" w:hAnsi="arial" w:cs="arial"/>
            <w:b w:val="0"/>
            <w:i/>
            <w:strike w:val="0"/>
            <w:noProof w:val="0"/>
            <w:color w:val="0077CC"/>
            <w:position w:val="0"/>
            <w:sz w:val="20"/>
            <w:u w:val="single"/>
            <w:vertAlign w:val="baseline"/>
          </w:rPr>
          <w:t>(80 FR 49367).</w:t>
        </w:r>
      </w:hyperlink>
      <w:r>
        <w:rPr>
          <w:rFonts w:ascii="arial" w:eastAsia="arial" w:hAnsi="arial" w:cs="arial"/>
          <w:b w:val="0"/>
          <w:i w:val="0"/>
          <w:strike w:val="0"/>
          <w:noProof w:val="0"/>
          <w:color w:val="000000"/>
          <w:position w:val="0"/>
          <w:sz w:val="20"/>
          <w:u w:val="none"/>
          <w:vertAlign w:val="baseline"/>
        </w:rPr>
        <w:t xml:space="preserve"> Therefore, to be consistent with our proposed definition of AMI episodes that initiate with PCI MS-DRGs 246-251 (not with MS-DRGs 273 and 274) and an AMI ICD-9-CM diagnosis code in the principal or secondary position, we proposed to define historical AMI episodes for beneficiaries discharged under PCI MS-DRGS 246-251 as those that do not include the ICD-9-CM procedure codes in Table 3. These codes were also posted on the CMS Web site at </w:t>
      </w:r>
      <w:hyperlink r:id="rId36" w:history="1">
        <w:r>
          <w:rPr>
            <w:rFonts w:ascii="arial" w:eastAsia="arial" w:hAnsi="arial" w:cs="arial"/>
            <w:b w:val="0"/>
            <w:i/>
            <w:strike w:val="0"/>
            <w:noProof w:val="0"/>
            <w:color w:val="0077CC"/>
            <w:position w:val="0"/>
            <w:sz w:val="20"/>
            <w:u w:val="single"/>
            <w:vertAlign w:val="baseline"/>
          </w:rPr>
          <w:t>https://innovation.cms.gov/initiatives/epm</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[*245]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5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3--Proposed ICD-9-CM Procedure Codes in any Position on the IPPS Claim</w:t>
            </w:r>
          </w:p>
        </w:tc>
      </w:tr>
      <w:tr>
        <w:tblPrEx>
          <w:tblW w:w="0" w:type="auto"/>
          <w:jc w:val="center"/>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PCI MS-DRGS (246-251) That Do Not Define Historical AMI Episodes</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5520" w:type="dxa"/>
          </w:tcP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ICD-9-CM procedure code</w:t>
            </w:r>
          </w:p>
        </w:tc>
        <w:tc>
          <w:tcPr>
            <w:tcW w:w="55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ICD-9-CM procedure code description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35.52</w:t>
            </w: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Repair of atrial septal defect with</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prosthesis, closed technique.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35.96</w:t>
            </w: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Percutaneous balloon valvuloplasty.</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35.97</w:t>
            </w: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Percutaneous mitral valve repair with</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implant.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37.26</w:t>
            </w: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Catheter based invasive electrophysiologic</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testing.</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37.27</w:t>
            </w: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Cardiac mapping.</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37.34</w:t>
            </w: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Excision or destruction of other lesion or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tissue of heart, endovascular approach.</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37.36</w:t>
            </w: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Excision, destruction, or exclusion of left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atrial appendage.</w:t>
            </w: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37.90</w:t>
            </w:r>
          </w:p>
        </w:tc>
        <w:tc>
          <w:tcPr>
            <w:tcW w:w="55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Insertion of left atrial appendage device.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FY 2014, there were approximately 395,000 beneficiaries discharged from a short-term acute care hospitalization (excluding Maryland) with an AMI ICD-9-CM diagnosis code in the principal or secondary position on the IPPS claim. Of these beneficiaries, 58 percent were discharged under MS-DRGs that would initiate an AMI episode, specifically an AMI MS-DRG (33 percent) and PCI MS-DRG (25 percent). Five percent of beneficiaries were discharged from CABG MS-DRGs and 3 percent were discharged from AMI MS-DRGs representing death during the hospitalization. The remaining 34 percent of beneficiaries with an AMI ICD-CM diagnosis code in the principal or secondary position were distributed across over approximately 300 other MS-DRGs, with the septicemia MS-DRGs accounting for 8 percent and the remainder accounting for 3 percent or less of beneficiaries with an AMI ICD-CM diagnosis code on the IPPS claim. n47 We note that the AMI ICD-9-CM diagnosis code was most commonly in a secondary position for discharges from these other MS-DRGs, likely representing beneficiaries hospitalized for another condition who experienced an AMI during that hospitalization. We further note that CMS' AMI quality measures used in the Hospital Inpatient Quality Reporting (HIQR) Program are based on all beneficiaries discharged under any MS-DRG who have an AMI ICD-CM diagnosis code only in the principal position, reflecting the measures' focus on the most homogeneous beneficiary population with AMI as the condition responsible for occasioning the hospital admission. This is in contrast with our proposed use of an AMI ICD-10-CM diagnosis code in the principal or a secondary position for the AMI model in order to identify those beneficiaries receiving a PCI whose hospitalization and post-discharge recovery and management would primarily be associated with the PCI and AMI.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 Inpatient claims from all U.S. IPPS hospitals not in Maryland were derived from the October 2013--September 2014 Inpatient Claims File located in the Chronic Conditions Warehouse.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specifications for AMI episodes, including ICD-9-CM AMI diagnosis codes for historical episodes used to set the initial AMI model-episode benchmark prices and ICD-10-CM AMI diagnosis codes for the performance years of the model, are displayed in Table 5. The proposed ICD-9-CM intracardiac procedure codes used to exclude inpatient claims with PCI MS-DRGs 246-251 from anchoring AMI model historical episodes used to set initial AMI model-episode benchmark prices are displayed in Table 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Medicare claims data for historical AMI episodes ending in CYs 2012-2014, the annual number of potentially eligible beneficiary discharges for the AMI model nationally was approximately 168,000. n48 This number was less than the approximately 229,000 discharges for beneficiaries with AMI discharged from AMI MS-DRGs 280-282 and PCI MS-DRGs 246-251 that could be expected to be included in the AMI model for several reasons. Discharges did not result in historical episodes when a beneficiary did not meet the beneficiary care inclusion criteria discussed in section III.C.4.a.(1) of the proposed rule </w:t>
      </w:r>
      <w:hyperlink r:id="rId9" w:history="1">
        <w:r>
          <w:rPr>
            <w:rFonts w:ascii="arial" w:eastAsia="arial" w:hAnsi="arial" w:cs="arial"/>
            <w:b w:val="0"/>
            <w:i/>
            <w:strike w:val="0"/>
            <w:noProof w:val="0"/>
            <w:color w:val="0077CC"/>
            <w:position w:val="0"/>
            <w:sz w:val="20"/>
            <w:u w:val="single"/>
            <w:vertAlign w:val="baseline"/>
          </w:rPr>
          <w:t>(81 FR 50834);</w:t>
        </w:r>
      </w:hyperlink>
      <w:r>
        <w:rPr>
          <w:rFonts w:ascii="arial" w:eastAsia="arial" w:hAnsi="arial" w:cs="arial"/>
          <w:b w:val="0"/>
          <w:i w:val="0"/>
          <w:strike w:val="0"/>
          <w:noProof w:val="0"/>
          <w:color w:val="000000"/>
          <w:position w:val="0"/>
          <w:sz w:val="20"/>
          <w:u w:val="none"/>
          <w:vertAlign w:val="baseline"/>
        </w:rPr>
        <w:t xml:space="preserve"> was not discharged alive from PCI MS-DRGs 246-251; was discharged from a transfer hospital during a chained anchor hospitalization; or was discharged from a readmission during an AMI episode that did not initiate new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 Episodes for AMI beneficiaries initiated by all U.S. IPPS hospitals not in Maryland and constructed using standardized Medicare FFS Parts A and B claims, as proposed in the proposed rule that began in CYs 2012-2014.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list of ICD-9-CM and ICD-10-CM AMI diagnosis codes used to identify beneficiaries discharged under a PCI MS-DRG (MS-DRGs 246-251) in historical episodes and during the performance years of the model that would be included in the AMI episodes were discussed in section III.C.4.a.(2) of the proposed rule </w:t>
      </w:r>
      <w:hyperlink r:id="rId9" w:history="1">
        <w:r>
          <w:rPr>
            <w:rFonts w:ascii="arial" w:eastAsia="arial" w:hAnsi="arial" w:cs="arial"/>
            <w:b w:val="0"/>
            <w:i/>
            <w:strike w:val="0"/>
            <w:noProof w:val="0"/>
            <w:color w:val="0077CC"/>
            <w:position w:val="0"/>
            <w:sz w:val="20"/>
            <w:u w:val="single"/>
            <w:vertAlign w:val="baseline"/>
          </w:rPr>
          <w:t>(81 FR 50834</w:t>
        </w:r>
      </w:hyperlink>
      <w:r>
        <w:rPr>
          <w:rFonts w:ascii="arial" w:eastAsia="arial" w:hAnsi="arial" w:cs="arial"/>
          <w:b w:val="0"/>
          <w:i w:val="0"/>
          <w:strike w:val="0"/>
          <w:noProof w:val="0"/>
          <w:color w:val="000000"/>
          <w:position w:val="0"/>
          <w:sz w:val="20"/>
          <w:u w:val="none"/>
          <w:vertAlign w:val="baseline"/>
        </w:rPr>
        <w:t xml:space="preserve"> through 50835). To make changes to this list as necessary based on annual ICD-10-CM coding changes or to address issues raised by the public throughout the EPM performance years, we proposed implementing the following sub-regulatory process, which mirrors the sub-regulatory process as described in the CJR Final Rule for updating hip fracture ICD-9-CM and ICD-10-CM diagnosis codes </w:t>
      </w:r>
      <w:hyperlink r:id="rId21" w:history="1">
        <w:r>
          <w:rPr>
            <w:rFonts w:ascii="arial" w:eastAsia="arial" w:hAnsi="arial" w:cs="arial"/>
            <w:b w:val="0"/>
            <w:i/>
            <w:strike w:val="0"/>
            <w:noProof w:val="0"/>
            <w:color w:val="0077CC"/>
            <w:position w:val="0"/>
            <w:sz w:val="20"/>
            <w:u w:val="single"/>
            <w:vertAlign w:val="baseline"/>
          </w:rPr>
          <w:t>(80 FR 73340)</w:t>
        </w:r>
      </w:hyperlink>
      <w:r>
        <w:rPr>
          <w:rFonts w:ascii="arial" w:eastAsia="arial" w:hAnsi="arial" w:cs="arial"/>
          <w:b w:val="0"/>
          <w:i w:val="0"/>
          <w:strike w:val="0"/>
          <w:noProof w:val="0"/>
          <w:color w:val="000000"/>
          <w:position w:val="0"/>
          <w:sz w:val="20"/>
          <w:u w:val="none"/>
          <w:vertAlign w:val="baseline"/>
        </w:rPr>
        <w:t xml:space="preserve"> and for updating the exclusion list </w:t>
      </w:r>
      <w:hyperlink r:id="rId21" w:history="1">
        <w:r>
          <w:rPr>
            <w:rFonts w:ascii="arial" w:eastAsia="arial" w:hAnsi="arial" w:cs="arial"/>
            <w:b w:val="0"/>
            <w:i/>
            <w:strike w:val="0"/>
            <w:noProof w:val="0"/>
            <w:color w:val="0077CC"/>
            <w:position w:val="0"/>
            <w:sz w:val="20"/>
            <w:u w:val="single"/>
            <w:vertAlign w:val="baseline"/>
          </w:rPr>
          <w:t>(80 FR 73305 and 73315).</w:t>
        </w:r>
      </w:hyperlink>
      <w:r>
        <w:rPr>
          <w:rFonts w:ascii="arial" w:eastAsia="arial" w:hAnsi="arial" w:cs="arial"/>
          <w:b w:val="0"/>
          <w:i w:val="0"/>
          <w:strike w:val="0"/>
          <w:noProof w:val="0"/>
          <w:color w:val="000000"/>
          <w:position w:val="0"/>
          <w:sz w:val="20"/>
          <w:u w:val="none"/>
          <w:vertAlign w:val="baseline"/>
        </w:rPr>
        <w:t xml:space="preserve"> We proposed to use this process on an annual, or more frequent, basis to update the AMI ICD-10-CM diagnosis code list and to address issues raised by the public. As part of this process, we proposed the following standard when revising the list of ICD-10-CM diagnosis codes representing AMI: The ICD-10-CM diagnosis code is sufficiently specific that it represents an AMI. We proposed to then post a list of potential AMI ICD-10-CM diagnosis codes to the CMS Web site at </w:t>
      </w:r>
      <w:hyperlink r:id="rId36" w:history="1">
        <w:r>
          <w:rPr>
            <w:rFonts w:ascii="arial" w:eastAsia="arial" w:hAnsi="arial" w:cs="arial"/>
            <w:b w:val="0"/>
            <w:i/>
            <w:strike w:val="0"/>
            <w:noProof w:val="0"/>
            <w:color w:val="0077CC"/>
            <w:position w:val="0"/>
            <w:sz w:val="20"/>
            <w:u w:val="single"/>
            <w:vertAlign w:val="baseline"/>
          </w:rPr>
          <w:t>https://innovation.cms.gov/initiatives/epm</w:t>
        </w:r>
      </w:hyperlink>
      <w:r>
        <w:rPr>
          <w:rFonts w:ascii="arial" w:eastAsia="arial" w:hAnsi="arial" w:cs="arial"/>
          <w:b w:val="0"/>
          <w:i w:val="0"/>
          <w:strike w:val="0"/>
          <w:noProof w:val="0"/>
          <w:color w:val="000000"/>
          <w:position w:val="0"/>
          <w:sz w:val="20"/>
          <w:u w:val="none"/>
          <w:vertAlign w:val="baseline"/>
        </w:rPr>
        <w:t xml:space="preserve"> to allow for public input on our planned application of these standards, and then adopt the AMI ICD-10-CM diagnosis code list with posting to the CMS Web site of the final AMI ICD-CM diagnosis code list after our consideration of the public input. We would provide sufficient time for public input based on the complexity of potential revisions under consideration, typically at least 30 days, and, while we would not respond to individual comments as would be required in a regulatory process, we could discuss the reasons for our decisions about changes in response to public input with interested stakeholders.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proposals for identifying the beneficiaries included in the AMI model and the sub-regulatory process for updating the AMI ICD-10-CM diagnosis code list were included in proposed § 512.100(c)(1) and (d), respectively. We sought comment on our proposals to identify beneficiaries included in the AMI model and the sub-regulatory process for updating the AMI ICD-10- </w:t>
      </w:r>
      <w:r>
        <w:rPr>
          <w:rFonts w:ascii="arial" w:eastAsia="arial" w:hAnsi="arial" w:cs="arial"/>
          <w:b/>
          <w:i w:val="0"/>
          <w:strike w:val="0"/>
          <w:noProof w:val="0"/>
          <w:color w:val="000000"/>
          <w:position w:val="0"/>
          <w:sz w:val="20"/>
          <w:u w:val="none"/>
          <w:vertAlign w:val="baseline"/>
        </w:rPr>
        <w:t> [*246] </w:t>
      </w:r>
      <w:r>
        <w:rPr>
          <w:rFonts w:ascii="arial" w:eastAsia="arial" w:hAnsi="arial" w:cs="arial"/>
          <w:b w:val="0"/>
          <w:i w:val="0"/>
          <w:strike w:val="0"/>
          <w:noProof w:val="0"/>
          <w:color w:val="000000"/>
          <w:position w:val="0"/>
          <w:sz w:val="20"/>
          <w:u w:val="none"/>
          <w:vertAlign w:val="baseline"/>
        </w:rPr>
        <w:t xml:space="preserve"> CM diagnosis code list. The proposal to exclude inpatient claims with PCI MS-DRGS 246-251 from anchoring AMI model historical episodes used to set initial AMI model-episode benchmark prices when there was an ICD-9-CM intracardiac procedure code on the claim was included in proposed § 512.100(d)(4). We sought comment on our proposal to exclude inpatient claims with PCI MS-DRGS 246-251 from anchoring AMI model historical episodes used to set initial AMI model-episode benchmark prices when there was an ICD-9-CM intracardiac procedure code on the claim.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comments on the proposed sub-regulatory process for updating the AMI ICD-10-CM diagnosis code list. The following is a summary of the comments received on the other AMI model proposals to define the included clinical conditions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 that the AMI model would be so heavily reliant upon coding that creates an artificial clinical population which is so heterogeneous as to make clinical care redesign efforts nonspecific and likely ineffective. They contended that while EPMs based on surgical MS-DRGs streamline patient identification and inclusion, the AMI model would depend on multiple levels of coding, both ICD-10-CM and MS-DRGs. One commenter explained that an important distinction between medical diagnosis and procedural-based episode-of-care models is that medical diagnosis models tend to involve a patient population of greater complexity, often with life-threating conditions. The commenter believes that, where appropriate, this awareness should be reflected in the design of the EPMs. The commenters were concerned that the proposed AMI model would put a greater emphasis on coding methodologies and increase the chance of disparities between cases identified by each responsible hospital for inclusion in the AMI model versus cases identified by CMS from historical claims data upon which quality-adjusted target prices would be based. The commenters stressed the need for CMS to establish clinical homogeneity in the AMI model, limiting ambiguity as much as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recommended CMS to use ICD-10-CM coding strategies to limit inclusion of AMI model beneficiaries to the most clinically similar subset of beneficiaries in order to allow for meaningful comparisons and ultimately provide CMS the opportunity to clearly evaluate the impact of the AMI model on patient care and outcomes. The commenters stated that with the move from ICD-9-CM to ICD-10-CM, the coding stages associated with AMI have changed, warranting additional considerations. Specifically, a number of commenters recommended that CMS limit the AMI model to beneficiaries with ST-elevation myocardial infarction (STEMI) discharged under AMI MS-DRGs and PCI MS-DRGs with an AMI ICD-10-CM code only in the principal diagnosis code position on the inpatient claim. The commenters claimed that while STEMIs occur due to an acute coronary artery occlusion, many non-ST elevation (NSTEMI) beneficiaries with AMI experience open coronary arteries but there is an imbalance between the oxygen demands of the heart and the coronary arteries' ability to meet them. The commenters added that due to these substantial differences in the underlying pathophysiology of STEMI and NSTEMI AMI patients that lead to more variation in clinical presentation in NSTEMI patients, in addition to the different approaches to their evaluation and management, the AMI model should only include STEMI beneficiaries which, when risk adjustment is applied, represent a more homogenous population compared to NSTEMI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commenters presented the most current consensus driven definition of AMI, the third universal definition, as: "Evidence of myocardial necrosis consistent with acute myocardial ischemia. Under these conditions, any one of the following criteria meets the diagnosis for MI:</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Detection of a rise and/or fall of cardiac biomarker values, preferably cardiac troponin with at least one value above the 99th percentile upper reference limit; and at least one of the following:</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Symptoms of new ischemia;</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or presumed new significant ST-segment-T wave (ST-T) changes or new left bundled branch block (LBBB);</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Development of pathological Q waves in the ECG;</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Imaging evidence of new loss of viable myocardium or new regional wall motion abnormality; and</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Identification of an intracoronary thrombus by angiography or autopsy." n49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 Thygesen K., Alpert J.S., Jaffe A.S., et al and the Writing Group on behalf of the Joint ESC/ACCF/AHA/WHF Task Force for the Universal Definition of Myocardial Infarction. Circulation. 2012;126:2020-2035.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recommended CMS to clearly define AMI for the EPM because they claimed that currently what is coded as AMI often only meets this definition in part and may be limited to abnormal biomarkers that can be detected without an acute occlusion of a coronary artery. Aligning coding with clinical reality is necessary for establishing clinical homogeneity in the AMI model. The commenters believe that including in the AMI model beneficiaries not only with a principal but a secondary diagnosis of AMI would make it difficult to establish a clearly defined clinically homogeneous population for the following reasons:</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Critically ill patients often receive a secondary diagnosis of AMI for what is more correctly characterized as supply-demand ischemia due to the routine and inaccurate coding of any troponin leak or elevation as an AMI, despite the absence of a clinical event suggestive of infarction. The commenters provided examples such as a beneficiary with metastatic breast cancer and internal bleeding who exhibits a slight cardiac troponin leak or a beneficiary with multi-organ failure, stating that the root cause of small elevation of troponin in these cases would be the underlying condition, not CAD. They also claimed that elderly patients with heart failure or rapid atrial fibrillation may have a secondary AMI ICD-CM diagnosis, yet the heart failure or atrial fibrillation would drive decisions about care, not the AMI.</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Outcomes and cost-of-care for critically ill patients with a secondary AMI diagnosis are likely driven more by the primary condition than by AMI resulting from possible CAD.</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Patterns of care are very different for patients with a secondary, as compared to a principal, diagnosis of AMI; and</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Including patients with a secondary diagnosis of AMI increases the variability within the AMI model, limiting opportunity to draw clear conclusions when testing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requested that CMS account for beneficiaries with AMI who do not have a traditional AMI but coding results in discharge under an AMI MS-DRG by specifying a concrete list of ICD-10-CM codes that, if included on a claim for a beneficiary discharged under an AMI MS-DRG from an AMI model participant, would exclude the beneficiary from the AMI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suggestions of the commenters that we include a more homogeneous group of beneficiaries in the AMI model by limiting the model to those beneficiaries with a STEMI ICD-CM diagnosis code in the principal position on the claim for the anchor hospitalization. Under our proposal to include all beneficiaries </w:t>
      </w:r>
      <w:r>
        <w:rPr>
          <w:rFonts w:ascii="arial" w:eastAsia="arial" w:hAnsi="arial" w:cs="arial"/>
          <w:b/>
          <w:i w:val="0"/>
          <w:strike w:val="0"/>
          <w:noProof w:val="0"/>
          <w:color w:val="000000"/>
          <w:position w:val="0"/>
          <w:sz w:val="20"/>
          <w:u w:val="none"/>
          <w:vertAlign w:val="baseline"/>
        </w:rPr>
        <w:t> [*247] </w:t>
      </w:r>
      <w:r>
        <w:rPr>
          <w:rFonts w:ascii="arial" w:eastAsia="arial" w:hAnsi="arial" w:cs="arial"/>
          <w:b w:val="0"/>
          <w:i w:val="0"/>
          <w:strike w:val="0"/>
          <w:noProof w:val="0"/>
          <w:color w:val="000000"/>
          <w:position w:val="0"/>
          <w:sz w:val="20"/>
          <w:u w:val="none"/>
          <w:vertAlign w:val="baseline"/>
        </w:rPr>
        <w:t xml:space="preserve"> in the AMI model discharged from AMI MS-DRGs and beneficiaries discharged from PCI MS-DRGs with an AMI ICD-CM diagnosis code listed in Table 3 (the codes we are finalizing are listed in Table 4) in the principal or a secondary position on the inpatient claim for the anchor hospitalization, all of the diagnosis codes except 410.71 (Subendocardial infarction, initial episode of care) in ICD-9-CM and 121.4 (Non-ST elevation (NSTEMI) myocardial infarction) and 122.2 (Subsequent non-ST elevation (NSTEMI) myocardial infarction) are for STEMI diagnoses. We analyzed historical AMI episodes from 2012-2014 and found that about 78 percent of episodes were for NSTEMI, while 22 percent were for STEMI. n50 There are well-established clinical guidelines for the management of beneficiaries with both NSTEMI and STEMI, and the clinical care pathways generally differ for these beneficiaries. n51 n52 However, to limit the AMI model to beneficiaries with STEMI only, the minority of beneficiaries with AMI whose care is less varied, and exclude beneficiaries with NSTEMI, the majority of beneficiaries with AMI whose care is more varied and highly dependent on the beneficiary's risk factors for adverse outcomes, would miss a substantial opportunity to test an EPM for a large proportion of Medicare beneficiaries with AMI. We believe there are substantial opportunities for care redesign under the AMI model to improve the quality and efficiency of episode care for both NSTEMI and STEMI patients so we will not limit the model to one subgroup of beneficiaries hospitalized for treatment of AMI. In response to the commenters who were concerned that including beneficiaries with NSTEMI and STEMI in the AMI model could interfere with CMS' ability to evaluate the impact of the AMI model on patient care and outcomes, we note that as discussed in section IV. of this final rule, we will examine the impact of the AMI model on subgroups of beneficiaries to better understand variations in payments and outcomes within and between hospitals. The identification of subgroups to be examined will include a variety of key clinical and demographic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 Episodes for AMI beneficiaries initiated by all U.S. IPPS hospitals not in Maryland and constructed using standardized Medicare FFS Parts A and B claims, as proposed in this rule that began in CYs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 Amsterdam EA, Wenger NK, Brindis RG, Casey DE Jr, Ganiats TG, Holmes DR Jr, Jaffe AS, Jneid H, Kelly RF, Kontos MC, Levine GN, Liebson PR, Mukherjee D, Peterson ED, Sabatine MS, Smalling RW, Zieman SJ. 2014 ACC/AHA guideline for the management of patients with non-ST-elevation acute coronary syndromes: a report of the American College of Cardiology/American Heart Association Task Force on Practice Guidelines. Circulation. 2014;130:e344-e426.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 O'Gara PT, Kushner FG, Ascheim DD, Casey DE Jr, Chung MK, de Lemos JA, Ettinger SM, Fang JC, Fesmire FM, Franklin BA, Granger CB, Krumholz HM, Linderbaum JA, Morrow DA, Newby LK, Ornato JP, Ou N, Radford MJ, Tamis-Holland JE, Tommaso CL, Tracy CM, Woo YJ, Zhao DX. 2013 ACCF/AHA guideline for the management of ST-elevation myocardial infarction: a report of the American College of Cardiology Foundation/American Heart Association Task Force on Practice Guidelines. Circulation. 2013;127.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analyzed the distribution of AMI ICD-9-CM diagnosis codes for FY 2014 discharges from AMI and PCI MS-DRGs (ICD-10-CM was not in use in that year) in the principal versus secondary position for beneficiaries who would be included in the AMI model under our proposal because of their assignment to an AMI MS-DRG or to a PCI MS-DRG. n53 We found that 94 percent of historical episodes assigned to PCI MS-DRGs had an AMI ICD-9-CM diagnosis code in the principal position. Of those episodes with an AMI ICD-9-CM diagnosis code in the secondary position, the most common principal diagnoses were 996.72 (Other complications due to other cardiac device, implant, and graft) and 414.01 (Coronary atherosclerosis of native coronary artery), which constituted 53 percent of cases with an AMI ICD-9-CM diagnosis code only in a secondary position, while the remaining episodes had one of over 200 different ICD-9-CM diagnoses codes in the principal position. In addition, we found that 86 percent of episodes assigned to AMI MS-DRGs had an AMI ICD-9-CM diagnosis code in the principal position. Of those cases with an AMI ICD-9-CM diagnosis code in the secondary position, the most common principal diagnoses in descending order of frequency were 428.23 (Acute on chronic systolic heart failure); 427.31 (Atrial fibrillation); 428.33 (Acute on chronic diastolic heart failure); 428.43 (Acute on chronic combined systolic and diastolic heart failure); 428.0 (Congestive heart failure, unspecified); and 428.21 (Acute systolic heart failure). These diagnoses constituted 62 percent of cases with an AMI ICD-9-CM code only in a secondary position, while the remaining episodes had one of over 200 different, but primarily cardiac, ICD-9-CM diagnoses codes in the principal position. We note that the diagnosis code patterns we observed did not confirm the views of some commenters that beneficiaries with underlying non-cardiac disease and a troponin leak, such as a metastatic breast cancer with internal bleeding, would be included in the AMI model based on our proposal. However, the AMI model would include some beneficiaries discharged from AMI MS-DRGs with significant underlying cardiac conditions such as heart failure and atrial fibrillation in the principal diagnosis code position, another example provided by some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 Inpatient claims from all U.S. IPPS hospitals not in Maryland were derived from the October 2013-September 2014 Inpatient Claims File located in the Chronic Conditions Warehouse.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ICD-CM diagnosis coding does not rely on clinical definitions; it is the physician who is responsible for documenting the patient's diagnosis. In other words, coders cannot determine if a patient suffered an AMI based on cardiac biomarkers. If the physician documents an AMI, then the coder is required to report the ICD-10-CM code describing the type of AMI. The coder does not interpret the troponin levels of a beneficiary.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analysis of historical claims and the established rules for medical coding, we believe that it is appropriate to include the small percentage of beneficiaries with an ICD-CM AMI diagnosis code only in the secondary position upon discharge from AMI and PCI MS-DRGs in the AMI model because the principal diagnoses on these claims generally represent beneficiaries with coronary obstruction. The secondary AMI diagnosis on the claim would have resulted from a physician diagnosis of AMI which, as the commenters stated, should be represented by changes in cardiac biomarker values and at least one other characteristic of a specified list. In addition to representing a reasonably homogeneous population, we believe this approach provides an unambiguous definition for AMI model participants to use to identify beneficiaries discharged from PCI MS-DRGs who would be in the AMI model. Because the model is focused on a condition, AMI, rather than a procedure, and some beneficiaries admitted for PCI will not have an AMI, it is necessary for PCI MS-DRGs to pair ICD-CM diagnosis codes with the MS-DRG to identify AMI model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observed that 14 percent of beneficiaries assigned to AMI MS-DRGs only had an AMI ICD-9-CM diagnosis code in the secondary position and most commonly another cardiac diagnosis in the principal position, this group is a small minority of beneficiaries discharged from AMI MS-DRGs. We do not believe that it is necessary to exclude these beneficiaries from the AMI model for purposes of clinical homogeneity because the beneficiaries should have had an AMI documented by a physician for an AMI diagnosis </w:t>
      </w:r>
      <w:r>
        <w:rPr>
          <w:rFonts w:ascii="arial" w:eastAsia="arial" w:hAnsi="arial" w:cs="arial"/>
          <w:b/>
          <w:i w:val="0"/>
          <w:strike w:val="0"/>
          <w:noProof w:val="0"/>
          <w:color w:val="000000"/>
          <w:position w:val="0"/>
          <w:sz w:val="20"/>
          <w:u w:val="none"/>
          <w:vertAlign w:val="baseline"/>
        </w:rPr>
        <w:t> [*248] </w:t>
      </w:r>
      <w:r>
        <w:rPr>
          <w:rFonts w:ascii="arial" w:eastAsia="arial" w:hAnsi="arial" w:cs="arial"/>
          <w:b w:val="0"/>
          <w:i w:val="0"/>
          <w:strike w:val="0"/>
          <w:noProof w:val="0"/>
          <w:color w:val="000000"/>
          <w:position w:val="0"/>
          <w:sz w:val="20"/>
          <w:u w:val="none"/>
          <w:vertAlign w:val="baseline"/>
        </w:rPr>
        <w:t xml:space="preserve"> code to be included in a secondary position on the hospital claim. We further observed from our analysis of FY 2014 claims for discharges from AMI MS-DRGs that those beneficiaries with an AMI ICD-9-CM code in the principal position commonly had similar cardiac diagnoses (for example, atrial fibrillation and heart failure) as those beneficiaries where the order of diagnosis coding was reversed. n54 Care coordination and management of other cardiac conditions which would be included in the AMI episode definition as discussed in section III.C.3.b. of this final rule would be common for beneficiaries discharged from AMI MS-DRGs, regardless of whether AMI is the principal or a secondary diagnosis on the hospital claim that led to the beneficiary's discharge from an AMI MS-DRG. Therefore, limiting the AMI model beneficiaries only to those assigned to AMI MS-DRGs based on a principal diagnosis code of AMI would not significantly increase clinical homogeneity of those AMI model beneficiaries discharged after medical treatment for AMI. Moreover, to exclude beneficiaries discharged from AMI MS-DRGs with an AMI ICD-9-CM diagnosis code only in a secondary position on the hospital claim from the model could substantially complicate timely EPM participant identification of the beneficiaries in the model by including only a subset of beneficiaries assigned to AMI MS-DRGs upon discharge. Thus, we do not believe it is necessary for AMI MS-DRGs to pair AMI ICD-CM diagnosis codes with the MS-DRG to identify AMI model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n54 Inpatient claims from all U.S. IPPS hospitals not in Maryland were derived from the October 2013-September 2014 Inpatient Claims File located in the Chronic Conditions Warehouse.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In addition to the commenters who recommended that CMS apply specific coding strategies to increase clinical homogeneity of beneficiaries in AMI episodes, other commenters recommended that CMS exclude a variety of beneficiaries who would otherwise meet the proposed AMI model criteria for inclusion. Some commenters further recommended CMS to make a pricing adjustment for AMI episodes for these beneficiaries if CMS does not exclude them from the model altogether. Suggestions included excluding beneficiaries who are in the following clinical scenarios:</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Cardiogenic shock or, at a minimum, the subset of beneficiaries with cardiogenic shock who are transferred from an AMI model participant or who are transferred to an AMI model participant, as the impact of the AMI model on transfer decisions could delay access to life-saving therapies at specialized centers.</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Sepsis who do not have clinically traditional AMI and would not be expected to follow a typical clinical pathway for AMI.</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Experiencing a second or greater AMI, who are more likely to have complex cardiac needs beyond immediate management of the AMI.</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Undergoing organ transplantation or ventricular assist device (VAD) implantation during the episode, because regional pricing could limit access to life-saving therapies only available at those few centers capable of caring for advanced heart failure patients and organ transplant candidates.</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Receiving outpatient inotropes for advanced heart failure during AMI episodes, because these therapies allow beneficiaries to avoid a surgical bridge to transplant with VAD implantation but are used in a group of beneficiaries who might otherwise receive a VAD. The commenters believes this would be consistent with excluding beneficiaries who receive VAD during AMI episodes from the AMI model.</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Undergoing CABG or other cardiac surgery within 90 days following discharge from the hospitalization for AMI because they must be medically optimized prior to surgery to ensure safe outcomes. This percentage of beneficiaries is higher for certain hospitals with complex patient populations, and the proposed payment methodology would not adequately account for these high-cost cases.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recommendations of the commenters regarding the exclusion of certain complex, potentially high-cost beneficiaries from the AMI model. We do not believe it would be appropriate to exclude beneficiaries experiencing cardiogenic shock or a second or subsequent AMI from the AMI model because there are significant opportunities for improving the quality and efficiency of care for these beneficiaries during episodes, despite their greater complexity and medical needs, and we believe it is important to include these beneficiaries in the test of the AMI model. In response to the commenters who recommended that we exclude beneficiaries with sepsis and atypical AMI from the AMI model, based on our proposed definition of the beneficiaries to be included in the AMI model and the ICD-CM diagnosis code analysis discussed in the response to the previous comment, we do not believe that beneficiaries with sepsis and clinically atypical AMI would generally be included in the AMI model because they would not be assigned to AMI or PCI MS-DRGs.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readmission for cardiac transplantation or VAD implantation would be excluded from AMI episodes based on our proposed AMI model exclusion list, these beneficiaries would otherwise initiate and remain in AMI episodes throughout the 90-day post-discharge period both before and following cardiac transplantation or VAD implantation that occurs during the 90-day period. Other readmissions and Part B services furnished to these beneficiaries would be included in the episodes based on the proposed exclusion list. We believe it is important to include in the AMI model these beneficiaries with complex care needs following hospitalization for AMI, including those receiving outpatient inotropes during AMI episodes, because there are opportunities to improve the quality and efficiency of their care, despite their experiencing severe sequelae following AMI.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note that we also do not believe it would be appropriate to exclude from the AMI model those beneficiaries receiving CABG or other cardiac surgery during AMI episodes after a period of medical optimization following discharge from the anchor hospitalization. As discussed in section III.D.4.b.(2)(c) of this final rule, we are providing a pricing adjustment for AMI episodes with a CABG readmission for beneficiaries who follow this medically appropriate clinical pathway. We refer to section III.D.4.b.(2) of this final rule for further discussion of risk adjustment in the context of the AMI model's implementation of downside risk and progression to regional pricing for AMI episodes.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supported excluding intracardiac valvular and ablation procedures from historical AMI episodes for clinical consistency between historical AMI episodes and those during the AMI model performance years. They explained that intracardiac valvular and ablation procedures are typically unrelated to management of an AMI but would historically have substantially impacted the total spending in historical AMI episodes for beneficiaries discharged from MS-DRGs 246 through 251 in centers that performed those procedures.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from the commenters. We continue to believe it is appropriate to define historical AMI episodes for beneficiaries discharged under PCI MS-DRGS 246-251 as those that do not include the ICD-9-CM procedure codes in Table 4. </w:t>
      </w:r>
      <w:r>
        <w:rPr>
          <w:rFonts w:ascii="arial" w:eastAsia="arial" w:hAnsi="arial" w:cs="arial"/>
          <w:b/>
          <w:i w:val="0"/>
          <w:strike w:val="0"/>
          <w:noProof w:val="0"/>
          <w:color w:val="000000"/>
          <w:position w:val="0"/>
          <w:sz w:val="20"/>
          <w:u w:val="none"/>
          <w:vertAlign w:val="baseline"/>
        </w:rPr>
        <w:t> [*249]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512.100(c)(1) to include the care of beneficiaries in the AMI model who meet the general beneficiary care inclusion criteria as discussed in section III.C.4.a.(1) of this final rule and who are discharged under an AMI MS-DRG (280-282), representing those individuals admitted with AMI who receive medical therapy but no revascularization, or discharged under a PCI MS-DRG (246-251) with an ICD-10-CM diagnosis code of AMI as displayed in Table 6 on the IPPS claim for the anchor hospitalization in the principal or secondary diagnosis code position,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finalizing the proposals in § 512.100(d)(4) to define historical AMI episodes for beneficiaries discharged under PCI MS-DRGS 246-251 as those that do not include the ICD-9-CM procedure codes in Table 4, without modification.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5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4--Final ICD-9-CM Procedure Codes in any Position on the IPPS Claim for</w:t>
            </w:r>
          </w:p>
        </w:tc>
      </w:tr>
      <w:tr>
        <w:tblPrEx>
          <w:tblW w:w="0" w:type="auto"/>
          <w:jc w:val="center"/>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PCI MS-DRGS (246-251) That Do Not Define Historical AMI Episodes</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5520" w:type="dxa"/>
          </w:tcP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ICD-9-CM procedure code</w:t>
            </w:r>
          </w:p>
        </w:tc>
        <w:tc>
          <w:tcPr>
            <w:tcW w:w="55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ICD-9-CM procedure code description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35.52</w:t>
            </w: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Repair of atrial septal defect with</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prosthesis, closed technique.</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35.96</w:t>
            </w: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Percutaneous balloon valvuloplasty.</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35.97</w:t>
            </w: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Percutaneous mitral valve repair with</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implant.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37.26</w:t>
            </w: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Catheter based invasive electrophysiologic</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testing.</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37.27</w:t>
            </w: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Cardiac mapping.</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37.34</w:t>
            </w: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Excision or destruction of other lesion or</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tissue of heart, endovascular approach.</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37.36</w:t>
            </w: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Excision, destruction, or exclusion of left</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55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atrial appendage.</w:t>
            </w: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37.90</w:t>
            </w:r>
          </w:p>
        </w:tc>
        <w:tc>
          <w:tcPr>
            <w:tcW w:w="55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Insertion of left atrial appendage device.</w:t>
            </w:r>
          </w:p>
        </w:tc>
      </w:tr>
    </w:tbl>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are finalizing the proposals in § 512.100(d)(1)-(3) for the sub-regulatory process to be used on an annual, or more frequent, basis to update the AMI ICD-10-CM diagnosis code list and to address issues related to AMI diagnosis codes raised by the public, without modification. As part of this process, we will use the following standard when revising the list of ICD-10-CM diagnosis codes representing AMI: The ICD-10-CM diagnosis code is sufficiently specific that it represents an AMI. We will post a list of potential AMI ICD-10-CM diagnosis codes to the CMS Web site at </w:t>
      </w:r>
      <w:hyperlink r:id="rId36" w:history="1">
        <w:r>
          <w:rPr>
            <w:rFonts w:ascii="arial" w:eastAsia="arial" w:hAnsi="arial" w:cs="arial"/>
            <w:b w:val="0"/>
            <w:i/>
            <w:strike w:val="0"/>
            <w:noProof w:val="0"/>
            <w:color w:val="0077CC"/>
            <w:position w:val="0"/>
            <w:sz w:val="20"/>
            <w:u w:val="single"/>
            <w:vertAlign w:val="baseline"/>
          </w:rPr>
          <w:t>https://innovation.cms.gov/initiatives/epm</w:t>
        </w:r>
      </w:hyperlink>
      <w:r>
        <w:rPr>
          <w:rFonts w:ascii="arial" w:eastAsia="arial" w:hAnsi="arial" w:cs="arial"/>
          <w:b w:val="0"/>
          <w:i w:val="0"/>
          <w:strike w:val="0"/>
          <w:noProof w:val="0"/>
          <w:color w:val="000000"/>
          <w:position w:val="0"/>
          <w:sz w:val="20"/>
          <w:u w:val="none"/>
          <w:vertAlign w:val="baseline"/>
        </w:rPr>
        <w:t xml:space="preserve"> to allow for public input on our planned application of the standard, and then adopt the AMI ICD-10-CM diagnosis code list with posting to the CMS Web site of the final AMI ICD-CM diagnosis code list after our consideration of the public input. We will provide sufficient time for public input based on the complexity of potential revisions under consideration, typically at least 30 days, and, while we will not respond to individual comments as would be required in a regulatory process, we can discuss the reasons for our decisions about changes in response to public input with interested stakeholders.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we reviewed the FY 2017 ICD-10-CM diagnosis code changes that became available after publication of the EPM proposed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August 2, 2016. There are no changes or additions to the ICD-10-CM diagnosis codes reporting AMI for FY 2017 so we are not suggesting modifications for FY 2017 to the final list displayed in Table 6 of ICD-10-CM AMI diagnosis codes in the principal or secondary position on the IPPS claim for PCI MS-DRGs (246-251) that initiate AMI episodes. Thus, we are not initiating a sub-regulatory update process for FY 2017 AMI ICD-10-CM diagnosis code updates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CABG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the CABG model to incentivize improvements in the coordination and quality of care, as well as episode efficiency, for beneficiaries treated with CABG irrespective of AMI during the CABG hospitalization, thereby including beneficiaries undergoing elective CABG in the CABG model as well as beneficiaries with AMI who have a CABG during their initial AMI treatment. The CABG model would be similar to the CJR model in that the anchor hospitalization would be defined by admission for a surgical procedure, which would be defined by the MS-DRGs for that procedure alone </w:t>
      </w:r>
      <w:hyperlink r:id="rId21" w:history="1">
        <w:r>
          <w:rPr>
            <w:rFonts w:ascii="arial" w:eastAsia="arial" w:hAnsi="arial" w:cs="arial"/>
            <w:b w:val="0"/>
            <w:i/>
            <w:strike w:val="0"/>
            <w:noProof w:val="0"/>
            <w:color w:val="0077CC"/>
            <w:position w:val="0"/>
            <w:sz w:val="20"/>
            <w:u w:val="single"/>
            <w:vertAlign w:val="baseline"/>
          </w:rPr>
          <w:t>(80 FR 73280).</w:t>
        </w:r>
      </w:hyperlink>
      <w:r>
        <w:rPr>
          <w:rFonts w:ascii="arial" w:eastAsia="arial" w:hAnsi="arial" w:cs="arial"/>
          <w:b w:val="0"/>
          <w:i w:val="0"/>
          <w:strike w:val="0"/>
          <w:noProof w:val="0"/>
          <w:color w:val="000000"/>
          <w:position w:val="0"/>
          <w:sz w:val="20"/>
          <w:u w:val="none"/>
          <w:vertAlign w:val="baseline"/>
        </w:rPr>
        <w:t xml:space="preserve"> All CABG procedures are performed in the inpatient hospital setting. Thus, we proposed to include beneficiaries admitted and discharged from an anchor hospitalization paid under CABG MS-DRGs (231-236) under the IPPS in the CABG model. Based on Medicare claims data for historical CABG episodes beginning in CYs 2012-2014, the annual number of potentially eligible beneficiary discharges for the CABG model nationally was approximately 48,000. n55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 Episodes for CABG beneficiaries initiated by all U.S. IPPS hospitals not in Maryland and constructed using standardized Medicare FFS Parts A and B claims, as proposed in the proposed rule, that began in CYs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identifying beneficiaries included in the CABG model was included in proposed § 512.100(c)(2). We sought comment on our proposal to identify beneficiaries included in the CABG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Similar to the suggestions of commenters recommending that CMS exclude certain beneficiaries discharged from AMI MS-DRGs or PCI MS-DRGs with an AMI ICD-10-CM diagnosis code from the AMI model, several commenters recommended that CMS exclude a variety of beneficiaries from the CABG model who would otherwise meet the proposed CABG model criteria for inclusion. Recommendations include excluding beneficiaries who are in the following clinical scenarios:</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Cardiogenic shock or, at a minimum, the subset of beneficiaries with cardiogenic shock who are transferred from a model participant or who are transferred to a model participant, as the impact of the CABG model on transfer decisions could delay access to life-saving therapies at specialized centers;</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Undergoing organ transplantation or VAD implantation during the CABG episode, as regional pricing could limit access to life-saving therapies only available at those few centers capable of caring for advanced heart failure patients and organ transplant candidates.</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Receiving outpatient inotropes for advanced heart failure during CABG episodes, because these therapies allow beneficiaries to avoid a surgical bridge to transplant with ventricular assist device (VAD) implantation but are used in a group of beneficiaries who might otherwise receive a VAD. The </w:t>
      </w:r>
      <w:r>
        <w:rPr>
          <w:rFonts w:ascii="arial" w:eastAsia="arial" w:hAnsi="arial" w:cs="arial"/>
          <w:b/>
          <w:i w:val="0"/>
          <w:strike w:val="0"/>
          <w:noProof w:val="0"/>
          <w:color w:val="000000"/>
          <w:position w:val="0"/>
          <w:sz w:val="20"/>
          <w:u w:val="none"/>
          <w:vertAlign w:val="baseline"/>
        </w:rPr>
        <w:t> [*250] </w:t>
      </w:r>
      <w:r>
        <w:rPr>
          <w:rFonts w:ascii="arial" w:eastAsia="arial" w:hAnsi="arial" w:cs="arial"/>
          <w:b w:val="0"/>
          <w:i w:val="0"/>
          <w:strike w:val="0"/>
          <w:noProof w:val="0"/>
          <w:color w:val="000000"/>
          <w:position w:val="0"/>
          <w:sz w:val="20"/>
          <w:u w:val="none"/>
          <w:vertAlign w:val="baseline"/>
        </w:rPr>
        <w:t xml:space="preserve"> commenters state that this would be consistent with excluding beneficiaries who receive VAD during CABG episodes from the CABG model.</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Undergoing a second or greater CABG, given the increase in complexity and comorbidities associated with this population.</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Undergoing a salvage CABG due to a failed or aborted PCI, either during a single admission or a readmission, due to the clinically frail beneficiaries that result in high-cost episodes.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recommendations of the commenters regarding the exclusion of certain complex, potentially high-cost beneficiaries from the CABG model, and note that in some cases recommendations for exclusion were the same as for the AMI model. We do not believe it would be appropriate to exclude beneficiaries experiencing cardiogenic shock, undergoing a second or subsequent CABG, or undergoing salvage CABG from the CABG model because there are significant opportunities for improving the quality and efficiency of care for these beneficiaries during episodes, despite their greater complexity and medical needs, and we believe it is important to include these beneficiaries in the test of the CABG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readmission for cardiac transplantation or VAD implantation would be excluded from CABG episodes based on our proposed CABG model exclusion list, these beneficiaries would otherwise initiate and remain in CABG episodes throughout the 90-day post-discharge period both before and following cardiac transplantation or VAD implantation that occurs during the 90-day period. Other readmissions and Part B services furnished to these beneficiaries would be included in the episodes based on the proposed exclusion list. We believe it is important to include in the CABG model these beneficiaries with complex care needs following CABG surgery, including those receiving outpatient inotropes during CABG episodes, because there are opportunities to improve the quality and efficiency of their care, despite their experiencing severe sequelae following CABG. We refer to section III.D.4.b.(2) of this final rule for further discussion of risk adjustment in the context of the CABG model's implementation of downside risk and progression to regional pricing for CABG episodes.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512.100(c)(2) to include the care of beneficiaries in the CABG model who meet the general beneficiary care inclusion criteria as discussed in section III.C.4.a.(1) of this final rule and are discharged under a CABG MS-DRG (231-236) paid under the IPPS,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SHFFT (Excludes Lower Extremity Joint Replacement)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SHFFT model to incentivize improvements in the coordination and quality of care, as well as episode efficiency, for beneficiaries treated surgically for hip and femur fractures, other than hip arthroplasty. Together, the CJR and SHFFT models would cover all surgical treatment options (that is, hip arthroplasty and fixation) for Medicare beneficiaries with hip fracture.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SHFFT model would be similar to the CJR model in that the anchor hospitalization would be defined by admission for a surgical procedure, which would be defined by the MS-DRGs for that procedure alone </w:t>
      </w:r>
      <w:hyperlink r:id="rId21" w:history="1">
        <w:r>
          <w:rPr>
            <w:rFonts w:ascii="arial" w:eastAsia="arial" w:hAnsi="arial" w:cs="arial"/>
            <w:b w:val="0"/>
            <w:i/>
            <w:strike w:val="0"/>
            <w:noProof w:val="0"/>
            <w:color w:val="0077CC"/>
            <w:position w:val="0"/>
            <w:sz w:val="20"/>
            <w:u w:val="single"/>
            <w:vertAlign w:val="baseline"/>
          </w:rPr>
          <w:t>(80 FR 73280).</w:t>
        </w:r>
      </w:hyperlink>
      <w:r>
        <w:rPr>
          <w:rFonts w:ascii="arial" w:eastAsia="arial" w:hAnsi="arial" w:cs="arial"/>
          <w:b w:val="0"/>
          <w:i w:val="0"/>
          <w:strike w:val="0"/>
          <w:noProof w:val="0"/>
          <w:color w:val="000000"/>
          <w:position w:val="0"/>
          <w:sz w:val="20"/>
          <w:u w:val="none"/>
          <w:vertAlign w:val="baseline"/>
        </w:rPr>
        <w:t xml:space="preserve"> Additionally, most SHFFT procedures are furnished in the inpatient hospital setting, consisting primarily of hip fixation procedures, with or without reduction of the fracture, as well as open and closed surgical approaches. Thus, we proposed to include beneficiaries admitted and discharged from an anchor hospitalization paid under SHFFT MS-DRGs (480-482) under the IPPS in the SHFFT model. Based on Medicare claims data for historical SHFFT episodes beginning in CYs 2012-2014, the annual number of potentially eligible beneficiary discharges for the SHFFT model nationally was approximately 109,000. n56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n56 Episodes for SHFFT beneficiaries initiated by all U.S. IPPS hospitals not in Maryland and constructed using standardized Medicare FFS Parts A and B claims, as proposed in the proposed rule, that began in CYs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identifying beneficiaries included in the SHFFT model was included in proposed § 512.100(c)(3). We sought comment on our proposal to identify beneficiaries included in the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number of commenters expressed support for the proposal to define the clinical conditions included in the SHFFT model as beneficiaries who are admitted and discharged under SHFFT MS-DRGs. Other commenters recommended that CMS apply additional episode-specific criteria to exclude beneficiaries from the SHFFT model who would be discharged from the SHFFT MS-DRGs. Recommendations of beneficiaries from some commenters to be excluded include:</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Beneficiaries with fracture due to falls or trauma in association with acute myocardial infarction; cardiac arrhythmia; syncope; cerebrovascular accident; seizure; head injury; or polytrauma to reduce the large risk of increases in patient transfers from EPM participants seeking to reduce their financial responsibility for high-cost beneficiaries;</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Beneficiaries with dementia or Alzheimer's disease due to ethical issues around withholding surgery that could arise in the case of EPM participants attempting to reduce their financial risk;</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Beneficiaries already residing in a SNF at the time of fracture, who would necessitate an unavoidable SNF stay after discharge from the anchor hospitalization that would increase the episode cost attributable to the EPM participant;</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Beneficiaries with fractures related to cancer, who would be expected to be high-cost cases;</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Beneficiaries with a history of previous hip fracture; previous surgery in the region; retained hardware; open fracture; periprosthetic fractures; and congenital deformities who would be expected to have atypical and potentially costly hip fracture care pathways; and</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Beneficiaries who smoke or have diabetes, which are risk factors for fracture nonunion and infection, respectively, because these behaviorally mediated risk factors for costly care cannot be managed prior to hip surgery, unless the SHFFT model adjusts prices for the higher financial risk attributable to these beneficiaries.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recommendations of the commenters to exclude certain beneficiaries receiving SHFFT from the SHFFT model due their personal circumstances, other clinical conditions, or circumstances that led to the hip fracture. We agree with the commenters that beneficiaries in this group may be more likely to require complex care during the anchor hospitalization and significant, intensive health services during the 90 day post-hospital discharge period, which could result in high-cost SHFFT episodes. However, we do not believe it would be appropriate to exclude beneficiaries with complex social or clinical circumstances from the SHFFT model because there are significant opportunities for improving the quality and efficiency of care for these beneficiaries during episodes, despite their greater complexity and medical needs, and we believe it is important to </w:t>
      </w:r>
      <w:r>
        <w:rPr>
          <w:rFonts w:ascii="arial" w:eastAsia="arial" w:hAnsi="arial" w:cs="arial"/>
          <w:b/>
          <w:i w:val="0"/>
          <w:strike w:val="0"/>
          <w:noProof w:val="0"/>
          <w:color w:val="000000"/>
          <w:position w:val="0"/>
          <w:sz w:val="20"/>
          <w:u w:val="none"/>
          <w:vertAlign w:val="baseline"/>
        </w:rPr>
        <w:t> [*251] </w:t>
      </w:r>
      <w:r>
        <w:rPr>
          <w:rFonts w:ascii="arial" w:eastAsia="arial" w:hAnsi="arial" w:cs="arial"/>
          <w:b w:val="0"/>
          <w:i w:val="0"/>
          <w:strike w:val="0"/>
          <w:noProof w:val="0"/>
          <w:color w:val="000000"/>
          <w:position w:val="0"/>
          <w:sz w:val="20"/>
          <w:u w:val="none"/>
          <w:vertAlign w:val="baseline"/>
        </w:rPr>
        <w:t xml:space="preserve"> include these beneficiaries in the test of the SHFFT model. As discussed in section III.G.4. of this final rule, we will be monitoring for issues related to access to care. We expect that all Medicare beneficiaries with hip fracture are offered clinically appropriate treatments for their fracture and that all transfers of beneficiaries with hip fracture to other hospitals are medically necessary and not determined by the SHFFT model participant's assessment of the beneficiary's risk of a high-cost SHFFT episode. We also refer to section III.D.4.b.(2) of this final rule for further discussion of risk adjustment in the context of the SHFFT model's implementation of downside risk and progression to regional pricing for SHFFT episodes.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stated that there is a sizeable minority of beneficiaries with hip fracture who should not and do not get hospitalized or if hospitalized are not treated with surgery for fracture so would not be included in the SHFFT or CJR models. These commenters observed that these beneficiaries were not discussed in the proposed rule and, therefore, no discussion was included about the decisions related to the appropriate treatment of hip fracture in the case of serious disability, frailty, and concurrent illness. The commenters contended that EPM participants that have historically served a substantial frail population could be seriously disadvantaged under the SHFFT model due to the significant care needs for these beneficiaries following hip fracture surgery and might seek to reduce their traditional commitment to this population in various ways, which were contrary to the interests of this highly vulnerable population. Some commenters further speculated that beneficiaries with hip fracture could be shifted to no surgery or to joint replacement if SHFFT model participants seek to reduce high-cost cases that present the most financial risk under the SHFFT model. The commenters further stated that the SHFFT model may drive SHFFT model participants to provide more expensive hip replacement to beneficiaries due to their desire to avoid SNF admission because of the longer need for protected weight-bearing post-internal fixation after SHFFT in comparison with total joint replacement where immediate weight-bearing may be possible.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agree with the commenters that surgical fracture repair may not be appropriate for some beneficiaries with hip fracture, the proposed SHFFT model was designed to include only those beneficiaries with surgical fracture repair other than joint replacement and not those for which surgical fracture repair was not performed. We believe the decision about fracture treatment should remain that of the beneficiary in consultation with any caregivers and his or her treating physicians. We did not propose to define the SHFFT model by hip fracture alone because we believe the primary opportunities for care redesign under an EPM that seeks to improve episode quality and efficiency are in the surgical treatment of hip fracture, rather than in the primary non-surgical management of hip fracture for beneficiaries who may or may not be hospitalized.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believe that EPM participants would direct Medicare beneficiaries to other treatments that would result in their not being included in the SHFFT model simply on the basis of the beneficiary's potential for being a high-cost hip fracture surgical episode. We refer to section III.D.4.b.(2) for discussion of risk adjustment for complex beneficiaries under the SHFFT model. In addition, we note that beneficiaries with hip fracture who are treated with joint replacement, a care pattern that some commenters believe could result from SHFFT model participants' efforts to avoid of high-cost cases under the SHFFT model, would be included in the CJR model for most SHFFT model participants who are also CJR participant hospitals as discussed in section III.B.3. of this final rule. Thus, it is unlikely that a shift from a SHFFT procedure to joint replacement would financially benefit the SHFFT model participant. As discussed in sections III.G.4. through 6. of this final rule, we will be closely monitoring for access to care, quality of care, and delayed care under the SHFFT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512.100(c)(3) to include the care of beneficiaries in the SHFFT model who meet the general beneficiary care inclusion criteria as discussed in section III.C.4.a.(1) of this final rule and are discharged under a SHFFT MS-DRG (480-482) under the IPPS,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Definition of the Related Services Included in EPM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general principles for the definition of related services are the same for the AMI, CABG, and SHFFT models, so we address them in a single discussion in this section. Like the CJR model, we are interested in testing inclusive AMI, CABG, and SHFFT episodes to incentivize comprehensive, coordinated, patient-centered care for the beneficiary throughout the episode </w:t>
      </w:r>
      <w:hyperlink r:id="rId21" w:history="1">
        <w:r>
          <w:rPr>
            <w:rFonts w:ascii="arial" w:eastAsia="arial" w:hAnsi="arial" w:cs="arial"/>
            <w:b w:val="0"/>
            <w:i/>
            <w:strike w:val="0"/>
            <w:noProof w:val="0"/>
            <w:color w:val="0077CC"/>
            <w:position w:val="0"/>
            <w:sz w:val="20"/>
            <w:u w:val="single"/>
            <w:vertAlign w:val="baseline"/>
          </w:rPr>
          <w:t>(80 FR 73303).</w:t>
        </w:r>
      </w:hyperlink>
      <w:r>
        <w:rPr>
          <w:rFonts w:ascii="arial" w:eastAsia="arial" w:hAnsi="arial" w:cs="arial"/>
          <w:b w:val="0"/>
          <w:i w:val="0"/>
          <w:strike w:val="0"/>
          <w:noProof w:val="0"/>
          <w:color w:val="000000"/>
          <w:position w:val="0"/>
          <w:sz w:val="20"/>
          <w:u w:val="none"/>
          <w:vertAlign w:val="baseline"/>
        </w:rPr>
        <w:t xml:space="preserve"> Therefore, we proposed to exclude Medicare items and services furnished during the EPM episodes only when unrelated to the EPM episode diagnosis and procedures based on clinical rationale that would result in standard exclusions from all of the episodes in a single EPM. Thus, we proposed to include all items and services paid under Medicare Part A and Part B unless they fall under an exclusion because they are unrelated to the EPM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like the CJR model, we proposed that the items and services ultimately included in the EPM episodes after the exclusions are applied are called related items and services, and that Medicare spending for related items and services be included in the historical data used to set EPM-episode benchmark prices and in the calculation of actual EPM episode payments that would be compared against the quality-adjusted target price to assess the performance of EPM participants </w:t>
      </w:r>
      <w:hyperlink r:id="rId21" w:history="1">
        <w:r>
          <w:rPr>
            <w:rFonts w:ascii="arial" w:eastAsia="arial" w:hAnsi="arial" w:cs="arial"/>
            <w:b w:val="0"/>
            <w:i/>
            <w:strike w:val="0"/>
            <w:noProof w:val="0"/>
            <w:color w:val="0077CC"/>
            <w:position w:val="0"/>
            <w:sz w:val="20"/>
            <w:u w:val="single"/>
            <w:vertAlign w:val="baseline"/>
          </w:rPr>
          <w:t>(80 FR 73303 and 73315).</w:t>
        </w:r>
      </w:hyperlink>
      <w:r>
        <w:rPr>
          <w:rFonts w:ascii="arial" w:eastAsia="arial" w:hAnsi="arial" w:cs="arial"/>
          <w:b w:val="0"/>
          <w:i w:val="0"/>
          <w:strike w:val="0"/>
          <w:noProof w:val="0"/>
          <w:color w:val="000000"/>
          <w:position w:val="0"/>
          <w:sz w:val="20"/>
          <w:u w:val="none"/>
          <w:vertAlign w:val="baseline"/>
        </w:rPr>
        <w:t xml:space="preserve"> Additionally, we proposed that Medicare spending for unrelated items and services (excluded from the EPMs' episode definitions) would not be included in the historical data used to set EPM-episode benchmark prices or in the calculation of actual EPM episode payments. We proposed that related items and services for EPM episodes would include the following items and services paid under Medicare Part A and Part B, after the EPM-specific exclusions are applied:</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Physicians' services.</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hospital services.</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psychiatric facility (IPF) services.</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Long-Term Care Hospital (LTCH) services.</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Rehabilitation Facility (IRF) services.</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Skilled Nursing Facility (SNF) services.</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Home Health Agency (HHA) services.</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outpatient services.</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Independent outpatient therapy services.</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Clinical laboratory services.</w:t>
      </w:r>
    </w:p>
    <w:p>
      <w:pPr>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Durable medical equipment.</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 B drugs.</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inpatient hospital services would include services paid through IPPS operating and capital payments. The AMI, CABG, and SHFFT episodes also could include certain per-member-per-month model payments as discussed in section III.D.6.d. of the proposed rule </w:t>
      </w:r>
      <w:hyperlink r:id="rId9" w:history="1">
        <w:r>
          <w:rPr>
            <w:rFonts w:ascii="arial" w:eastAsia="arial" w:hAnsi="arial" w:cs="arial"/>
            <w:b w:val="0"/>
            <w:i/>
            <w:strike w:val="0"/>
            <w:noProof w:val="0"/>
            <w:color w:val="0077CC"/>
            <w:position w:val="0"/>
            <w:sz w:val="20"/>
            <w:u w:val="single"/>
            <w:vertAlign w:val="baseline"/>
          </w:rPr>
          <w:t>(81 FR 50871</w:t>
        </w:r>
      </w:hyperlink>
      <w:r>
        <w:rPr>
          <w:rFonts w:ascii="arial" w:eastAsia="arial" w:hAnsi="arial" w:cs="arial"/>
          <w:b w:val="0"/>
          <w:i w:val="0"/>
          <w:strike w:val="0"/>
          <w:noProof w:val="0"/>
          <w:color w:val="000000"/>
          <w:position w:val="0"/>
          <w:sz w:val="20"/>
          <w:u w:val="none"/>
          <w:vertAlign w:val="baseline"/>
        </w:rPr>
        <w:t xml:space="preserve"> through 50872). These items and services for the </w:t>
      </w:r>
      <w:r>
        <w:rPr>
          <w:rFonts w:ascii="arial" w:eastAsia="arial" w:hAnsi="arial" w:cs="arial"/>
          <w:b/>
          <w:i w:val="0"/>
          <w:strike w:val="0"/>
          <w:noProof w:val="0"/>
          <w:color w:val="000000"/>
          <w:position w:val="0"/>
          <w:sz w:val="20"/>
          <w:u w:val="none"/>
          <w:vertAlign w:val="baseline"/>
        </w:rPr>
        <w:t> [*252] </w:t>
      </w:r>
      <w:r>
        <w:rPr>
          <w:rFonts w:ascii="arial" w:eastAsia="arial" w:hAnsi="arial" w:cs="arial"/>
          <w:b w:val="0"/>
          <w:i w:val="0"/>
          <w:strike w:val="0"/>
          <w:noProof w:val="0"/>
          <w:color w:val="000000"/>
          <w:position w:val="0"/>
          <w:sz w:val="20"/>
          <w:u w:val="none"/>
          <w:vertAlign w:val="baseline"/>
        </w:rPr>
        <w:t xml:space="preserve"> EPMs are the same items and services included in CJR episodes </w:t>
      </w:r>
      <w:hyperlink r:id="rId21" w:history="1">
        <w:r>
          <w:rPr>
            <w:rFonts w:ascii="arial" w:eastAsia="arial" w:hAnsi="arial" w:cs="arial"/>
            <w:b w:val="0"/>
            <w:i/>
            <w:strike w:val="0"/>
            <w:noProof w:val="0"/>
            <w:color w:val="0077CC"/>
            <w:position w:val="0"/>
            <w:sz w:val="20"/>
            <w:u w:val="single"/>
            <w:vertAlign w:val="baseline"/>
          </w:rPr>
          <w:t>(80 FR 73303 and 73315).</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CJR model and for the reasons explained in the CJR Final Rule, we proposed to exclude drugs that are paid outside of the MS-DRGs included in the EPM episode definitions, specifically hemophilia clotting factors, identified by CPT code, diagnosis code, and revenue center on IPPS claims, from the EPM episodes </w:t>
      </w:r>
      <w:hyperlink r:id="rId21" w:history="1">
        <w:r>
          <w:rPr>
            <w:rFonts w:ascii="arial" w:eastAsia="arial" w:hAnsi="arial" w:cs="arial"/>
            <w:b w:val="0"/>
            <w:i/>
            <w:strike w:val="0"/>
            <w:noProof w:val="0"/>
            <w:color w:val="0077CC"/>
            <w:position w:val="0"/>
            <w:sz w:val="20"/>
            <w:u w:val="single"/>
            <w:vertAlign w:val="baseline"/>
          </w:rPr>
          <w:t>(80 FR 73303 and 73315).</w:t>
        </w:r>
      </w:hyperlink>
      <w:r>
        <w:rPr>
          <w:rFonts w:ascii="arial" w:eastAsia="arial" w:hAnsi="arial" w:cs="arial"/>
          <w:b w:val="0"/>
          <w:i w:val="0"/>
          <w:strike w:val="0"/>
          <w:noProof w:val="0"/>
          <w:color w:val="000000"/>
          <w:position w:val="0"/>
          <w:sz w:val="20"/>
          <w:u w:val="none"/>
          <w:vertAlign w:val="baseline"/>
        </w:rPr>
        <w:t xml:space="preserve"> Hemophilia clotting factors, in contrast to other drugs that are administered during a hospitalization and paid through the MS-DRG, are paid separately by Medicare in recognition that clotting factors are costly and essential to appropriate care of certain beneficiaries. Therefore, we believe there are no EPM episode efficiencies to be gained in the variable use of these high cost drugs.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proposed to exclude IPPS new technology add-on payments for drugs, technologies, and services from these EPM episodes, excluding them from both the actual historical episode data used to set EPM-episode benchmark prices and from actual EPM episode payments that are reconciled to the quality-adjusted target prices like the CJR model </w:t>
      </w:r>
      <w:hyperlink r:id="rId21" w:history="1">
        <w:r>
          <w:rPr>
            <w:rFonts w:ascii="arial" w:eastAsia="arial" w:hAnsi="arial" w:cs="arial"/>
            <w:b w:val="0"/>
            <w:i/>
            <w:strike w:val="0"/>
            <w:noProof w:val="0"/>
            <w:color w:val="0077CC"/>
            <w:position w:val="0"/>
            <w:sz w:val="20"/>
            <w:u w:val="single"/>
            <w:vertAlign w:val="baseline"/>
          </w:rPr>
          <w:t>(80 FR 73303-73304 and 73315).</w:t>
        </w:r>
      </w:hyperlink>
      <w:r>
        <w:rPr>
          <w:rFonts w:ascii="arial" w:eastAsia="arial" w:hAnsi="arial" w:cs="arial"/>
          <w:b w:val="0"/>
          <w:i w:val="0"/>
          <w:strike w:val="0"/>
          <w:noProof w:val="0"/>
          <w:color w:val="000000"/>
          <w:position w:val="0"/>
          <w:sz w:val="20"/>
          <w:u w:val="none"/>
          <w:vertAlign w:val="baseline"/>
        </w:rPr>
        <w:t xml:space="preserve"> This would apply to both the anchor hospitalization and any related readmissions during the EPM episodes. New technology add-on payments are made separately and in addition to the MS-DRG payment under the IPPS for specific new drugs, technologies, and services that substantially improve the diagnosis or treatment of Medicare beneficiaries and would be inadequately paid under the MS-DRG system. We believe it would not be appropriate for the EPM to potentially diminish beneficiaries' access to new technologies or to burden hospitals who choose to use these new drugs, technologies, or services with concern about these payments counting toward EPM participants' actual EPM episode payment. Additionally, new drugs, technologies, or services approved for the add-on payments vary unpredictably over time in their application to specific clinical conditions.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proposed to exclude OPPS transitional pass-through payments for medical devices as defined in § 419.66 from the EPM episodes because, through the established OPPS review process, we have determined that these technologies have a substantial cost but also lead to substantial clinical improvement for Medicare beneficiaries. This proposal also is consistent with the CJR model final exclusions policy </w:t>
      </w:r>
      <w:hyperlink r:id="rId21" w:history="1">
        <w:r>
          <w:rPr>
            <w:rFonts w:ascii="arial" w:eastAsia="arial" w:hAnsi="arial" w:cs="arial"/>
            <w:b w:val="0"/>
            <w:i/>
            <w:strike w:val="0"/>
            <w:noProof w:val="0"/>
            <w:color w:val="0077CC"/>
            <w:position w:val="0"/>
            <w:sz w:val="20"/>
            <w:u w:val="single"/>
            <w:vertAlign w:val="baseline"/>
          </w:rPr>
          <w:t>(80 FR 73308 and 73315).</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follow the same general principles in determining other proposed excluded Part A and Part B services from the EPM episodes that we use in the CJR model in order to promote coordinated, high-quality, patient-centered care </w:t>
      </w:r>
      <w:hyperlink r:id="rId21" w:history="1">
        <w:r>
          <w:rPr>
            <w:rFonts w:ascii="arial" w:eastAsia="arial" w:hAnsi="arial" w:cs="arial"/>
            <w:b w:val="0"/>
            <w:i/>
            <w:strike w:val="0"/>
            <w:noProof w:val="0"/>
            <w:color w:val="0077CC"/>
            <w:position w:val="0"/>
            <w:sz w:val="20"/>
            <w:u w:val="single"/>
            <w:vertAlign w:val="baseline"/>
          </w:rPr>
          <w:t>(80 FR 73304).</w:t>
        </w:r>
      </w:hyperlink>
      <w:r>
        <w:rPr>
          <w:rFonts w:ascii="arial" w:eastAsia="arial" w:hAnsi="arial" w:cs="arial"/>
          <w:b w:val="0"/>
          <w:i w:val="0"/>
          <w:strike w:val="0"/>
          <w:noProof w:val="0"/>
          <w:color w:val="000000"/>
          <w:position w:val="0"/>
          <w:sz w:val="20"/>
          <w:u w:val="none"/>
          <w:vertAlign w:val="baseline"/>
        </w:rPr>
        <w:t xml:space="preserve"> These include identifying excluded (unrelated) services rather than included (related) services based on clinical review. We would operationalize these principles for the new EPMs, as we do for the CJR model, by excluding unrelated inpatient hospital admissions during the EPM episode by identifying MS-DRGs for exclusion on an EPM-specific basis </w:t>
      </w:r>
      <w:hyperlink r:id="rId21" w:history="1">
        <w:r>
          <w:rPr>
            <w:rFonts w:ascii="arial" w:eastAsia="arial" w:hAnsi="arial" w:cs="arial"/>
            <w:b w:val="0"/>
            <w:i/>
            <w:strike w:val="0"/>
            <w:noProof w:val="0"/>
            <w:color w:val="0077CC"/>
            <w:position w:val="0"/>
            <w:sz w:val="20"/>
            <w:u w:val="single"/>
            <w:vertAlign w:val="baseline"/>
          </w:rPr>
          <w:t>(80 FR 73304</w:t>
        </w:r>
      </w:hyperlink>
      <w:r>
        <w:rPr>
          <w:rFonts w:ascii="arial" w:eastAsia="arial" w:hAnsi="arial" w:cs="arial"/>
          <w:b w:val="0"/>
          <w:i w:val="0"/>
          <w:strike w:val="0"/>
          <w:noProof w:val="0"/>
          <w:color w:val="000000"/>
          <w:position w:val="0"/>
          <w:sz w:val="20"/>
          <w:u w:val="none"/>
          <w:vertAlign w:val="baseline"/>
        </w:rPr>
        <w:t xml:space="preserve"> through 73312 and 73315). We would further exclude unrelated Part B services during the EPM episode based on the diagnosis code on the claim by identifying categories of ICD-CM codes for exclusion (identified by code ranges) on an EPM-specific basis. ICD-9-CM diagnosis code exclusions would apply to historical episodes used to construct EPM-episode benchmark prices, while ICD-10-CM diagnosis code exclusions would apply to EPM episodes during the EPMs' performance years. We proposed to identify unrelated Part B services and readmissions based on the BPCI Model 2 Part B exclusion lists that apply to the anchor MS-DRG that initiates the EPM episode, or to the price MS-DRG if it is different than the anchor MS-DRG as described further in section III.D.4.b.(2)(a) of this final rule. This proposal is consistent with our use of the BPCI Model 2 LEJR ICD-9-CM, ICD-10-CM, and MS-DRG exclusion lists in the CJR model </w:t>
      </w:r>
      <w:hyperlink r:id="rId21" w:history="1">
        <w:r>
          <w:rPr>
            <w:rFonts w:ascii="arial" w:eastAsia="arial" w:hAnsi="arial" w:cs="arial"/>
            <w:b w:val="0"/>
            <w:i/>
            <w:strike w:val="0"/>
            <w:noProof w:val="0"/>
            <w:color w:val="0077CC"/>
            <w:position w:val="0"/>
            <w:sz w:val="20"/>
            <w:u w:val="single"/>
            <w:vertAlign w:val="baseline"/>
          </w:rPr>
          <w:t>(80 FR 73304 and 73315).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BPCI episode-specific exclusion lists were initially developed more than 3 years ago for the BPCI initiative through a collaborative effort of CMS staff, including physicians from medical and surgical specialties, coding experts, claims processing experts, and health services researchers. The lists have been shared with thousands of entities and individuals participating in episodes in one or more phases of the BPCI initiative, and have undergone refinement in response to stakeholder input about specific diagnoses for exclusion, resulting in only minimal changes over the last 3 years. Thus, the BPCI exclusion lists have been vetted broadly in the health care community; refined based on input from a wide variety of providers, researchers and other stakeholders; and successfully operationalized in the BPCI models. We proposed their use in the AMI, CABG, and SHFFT models based on our confidence related to our several years of experience that these definitions are reasonable and workable for AMI, CABG, and SHFFT episodes, for both providers and CMS, and based on our rulemaking for the CJR model. We note that the BPCI Model 2 exclusion lists for the 48 clinical conditions being tested in the BPCI models include lists that apply to every MS-DRG that could be an anchor MS-DRG (or price MS-DRG, if applicable) for the AMI, CABG, and SHFFT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CJR model, we proposed to include in EPM episodes all Part A services furnished post-hospital discharge during the EPM episode, as these services are typically intended to be comprehensive in nature </w:t>
      </w:r>
      <w:hyperlink r:id="rId21" w:history="1">
        <w:r>
          <w:rPr>
            <w:rFonts w:ascii="arial" w:eastAsia="arial" w:hAnsi="arial" w:cs="arial"/>
            <w:b w:val="0"/>
            <w:i/>
            <w:strike w:val="0"/>
            <w:noProof w:val="0"/>
            <w:color w:val="0077CC"/>
            <w:position w:val="0"/>
            <w:sz w:val="20"/>
            <w:u w:val="single"/>
            <w:vertAlign w:val="baseline"/>
          </w:rPr>
          <w:t>(80 FR 73304 and 73315).</w:t>
        </w:r>
      </w:hyperlink>
      <w:r>
        <w:rPr>
          <w:rFonts w:ascii="arial" w:eastAsia="arial" w:hAnsi="arial" w:cs="arial"/>
          <w:b w:val="0"/>
          <w:i w:val="0"/>
          <w:strike w:val="0"/>
          <w:noProof w:val="0"/>
          <w:color w:val="000000"/>
          <w:position w:val="0"/>
          <w:sz w:val="20"/>
          <w:u w:val="none"/>
          <w:vertAlign w:val="baseline"/>
        </w:rPr>
        <w:t xml:space="preserve"> We specifically proposed to exclude unrelated hospital readmissions for MS-DRGs that group to the following categories of diagnoses: Oncology, trauma medical admissions, surgery for chronic conditions unrelated to a condition likely to have been affected by care furnished during the EPM episode, and surgery for acute conditions unrelated to a condition resulting from or likely to have been affected by care during the EPM episode. The rationale for these exclusions is the same as the rationale for their exclusion in the CJR model </w:t>
      </w:r>
      <w:hyperlink r:id="rId21" w:history="1">
        <w:r>
          <w:rPr>
            <w:rFonts w:ascii="arial" w:eastAsia="arial" w:hAnsi="arial" w:cs="arial"/>
            <w:b w:val="0"/>
            <w:i/>
            <w:strike w:val="0"/>
            <w:noProof w:val="0"/>
            <w:color w:val="0077CC"/>
            <w:position w:val="0"/>
            <w:sz w:val="20"/>
            <w:u w:val="single"/>
            <w:vertAlign w:val="baseline"/>
          </w:rPr>
          <w:t>(80 FR 73304).</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with respect to Part B services, similar to the CJR model, we proposed to exclude acute disease diagnoses unrelated to a condition resulting from or likely to have been affected by care during the EPM episode, and certain chronic disease diagnoses, as specified by CMS on a diagnosis-by-diagnosis basis, depending on whether the condition was likely to have been affected by care during the EPM episode or whether substantial services were likely to be provided for the chronic condition during the EPM episode </w:t>
      </w:r>
      <w:hyperlink r:id="rId21" w:history="1">
        <w:r>
          <w:rPr>
            <w:rFonts w:ascii="arial" w:eastAsia="arial" w:hAnsi="arial" w:cs="arial"/>
            <w:b w:val="0"/>
            <w:i/>
            <w:strike w:val="0"/>
            <w:noProof w:val="0"/>
            <w:color w:val="0077CC"/>
            <w:position w:val="0"/>
            <w:sz w:val="20"/>
            <w:u w:val="single"/>
            <w:vertAlign w:val="baseline"/>
          </w:rPr>
          <w:t>(80 FR 73305 and 73315).</w:t>
        </w:r>
      </w:hyperlink>
      <w:r>
        <w:rPr>
          <w:rFonts w:ascii="arial" w:eastAsia="arial" w:hAnsi="arial" w:cs="arial"/>
          <w:b w:val="0"/>
          <w:i w:val="0"/>
          <w:strike w:val="0"/>
          <w:noProof w:val="0"/>
          <w:color w:val="000000"/>
          <w:position w:val="0"/>
          <w:sz w:val="20"/>
          <w:u w:val="none"/>
          <w:vertAlign w:val="baseline"/>
        </w:rPr>
        <w:t xml:space="preserve"> Thus, we would include all Part B services with principal diagnosis codes on the associated Part B claims that are directly related (clinically and per coding conventions) to EPM episodes, claims for diagnoses that are related to the quality and safety of care furnished during EPM episodes, and claims for services for diagnoses that are related to preexisting chronic conditions such as diabetes, which may be affected by care furnished during EPM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the anchor MS-DRG that initiates the AMI, CABG, or SHFFT episode would determine the exclusion list that applies to the EPM episode. For example, AMI episodes may have different exclusion lists applied based on whether the AMI episode is initiated by admission to the participant hospital </w:t>
      </w:r>
      <w:r>
        <w:rPr>
          <w:rFonts w:ascii="arial" w:eastAsia="arial" w:hAnsi="arial" w:cs="arial"/>
          <w:b/>
          <w:i w:val="0"/>
          <w:strike w:val="0"/>
          <w:noProof w:val="0"/>
          <w:color w:val="000000"/>
          <w:position w:val="0"/>
          <w:sz w:val="20"/>
          <w:u w:val="none"/>
          <w:vertAlign w:val="baseline"/>
        </w:rPr>
        <w:t> [*253] </w:t>
      </w:r>
      <w:r>
        <w:rPr>
          <w:rFonts w:ascii="arial" w:eastAsia="arial" w:hAnsi="arial" w:cs="arial"/>
          <w:b w:val="0"/>
          <w:i w:val="0"/>
          <w:strike w:val="0"/>
          <w:noProof w:val="0"/>
          <w:color w:val="000000"/>
          <w:position w:val="0"/>
          <w:sz w:val="20"/>
          <w:u w:val="none"/>
          <w:vertAlign w:val="baseline"/>
        </w:rPr>
        <w:t xml:space="preserve"> that results in discharge from an AMI anchor MS-DRG or a PCI anchor MS-DRG with AMI ICD-10-CM diagnosis code. If a price MS-DRG applies to the AMI episode that includes a chained anchor hospitalization as described in section III.D.4.b.(2)(a) of this final rule, the exclusion list that applies to the price MS-DRG would apply to the AMI episode. Complete lists of excluded MS-DRGs for readmissions and excluded ICD-CM codes for Part B services furnished during EPM episodes after EPM beneficiary discharge from an anchor or chained anchor hospitalization in the AMI, CABG, and SHFFT models are posted on the CMS Web site at </w:t>
      </w:r>
      <w:hyperlink r:id="rId36" w:history="1">
        <w:r>
          <w:rPr>
            <w:rFonts w:ascii="arial" w:eastAsia="arial" w:hAnsi="arial" w:cs="arial"/>
            <w:b w:val="0"/>
            <w:i/>
            <w:strike w:val="0"/>
            <w:noProof w:val="0"/>
            <w:color w:val="0077CC"/>
            <w:position w:val="0"/>
            <w:sz w:val="20"/>
            <w:u w:val="single"/>
            <w:vertAlign w:val="baseline"/>
          </w:rPr>
          <w:t>https://innovation.cms.gov/initiatives/epm</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the CJR model policy, we proposed that these exclusion lists would be updated by sub-regulatory guidance on an annual basis, at a minimum, to reflect annual changes to ICD-10-CM coding and annual changes to the MS-DRGs under the IPPS, as well as to address any other issues that are brought to our attention throughout the course of the EPMs' performance period </w:t>
      </w:r>
      <w:hyperlink r:id="rId21" w:history="1">
        <w:r>
          <w:rPr>
            <w:rFonts w:ascii="arial" w:eastAsia="arial" w:hAnsi="arial" w:cs="arial"/>
            <w:b w:val="0"/>
            <w:i/>
            <w:strike w:val="0"/>
            <w:noProof w:val="0"/>
            <w:color w:val="0077CC"/>
            <w:position w:val="0"/>
            <w:sz w:val="20"/>
            <w:u w:val="single"/>
            <w:vertAlign w:val="baseline"/>
          </w:rPr>
          <w:t>(80 FR 73304</w:t>
        </w:r>
      </w:hyperlink>
      <w:r>
        <w:rPr>
          <w:rFonts w:ascii="arial" w:eastAsia="arial" w:hAnsi="arial" w:cs="arial"/>
          <w:b w:val="0"/>
          <w:i w:val="0"/>
          <w:strike w:val="0"/>
          <w:noProof w:val="0"/>
          <w:color w:val="000000"/>
          <w:position w:val="0"/>
          <w:sz w:val="20"/>
          <w:u w:val="none"/>
          <w:vertAlign w:val="baseline"/>
        </w:rPr>
        <w:t xml:space="preserve"> through 73305 and 73315). The standards for this updating process reflect the previously discussed general principles for determining excluded services. That is, we proposed to not exclude any items or services that are directly related to the EPM episode diagnosis or procedure (for example, a subsequent admission for heart failure or repeat revascularization) or the quality or safety of care (for example, sternal wound infection following CABG); or to chronic conditions that may be affected by the EPM diagnosis or procedure and the post-discharge care (for example, diabetes). We proposed to exclude items and services for chronic conditions that are generally not affected by the EPM diagnosis or procedure and the post-discharge care (for example, prostate removal for cancer), and for acute clinical conditions not arising from existing EPM episode-related chronic clinical conditions or complications from the EPM episode (for example, appendectomy).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CJR model, we proposed that the potential revised exclusions, which could include additions to or deletions from the exclusion lists, would be posted to the CMS Web site to allow for public input </w:t>
      </w:r>
      <w:hyperlink r:id="rId21" w:history="1">
        <w:r>
          <w:rPr>
            <w:rFonts w:ascii="arial" w:eastAsia="arial" w:hAnsi="arial" w:cs="arial"/>
            <w:b w:val="0"/>
            <w:i/>
            <w:strike w:val="0"/>
            <w:noProof w:val="0"/>
            <w:color w:val="0077CC"/>
            <w:position w:val="0"/>
            <w:sz w:val="20"/>
            <w:u w:val="single"/>
            <w:vertAlign w:val="baseline"/>
          </w:rPr>
          <w:t>(80 FR 73305 and 73315).</w:t>
        </w:r>
      </w:hyperlink>
      <w:r>
        <w:rPr>
          <w:rFonts w:ascii="arial" w:eastAsia="arial" w:hAnsi="arial" w:cs="arial"/>
          <w:b w:val="0"/>
          <w:i w:val="0"/>
          <w:strike w:val="0"/>
          <w:noProof w:val="0"/>
          <w:color w:val="000000"/>
          <w:position w:val="0"/>
          <w:sz w:val="20"/>
          <w:u w:val="none"/>
          <w:vertAlign w:val="baseline"/>
        </w:rPr>
        <w:t xml:space="preserve"> Through the process for public input on potential revised exclusions and then posting of the final revised exclusions, we proposed to provide information to the public about when the revisions would take effect and to which episodes they would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included services for an EPM was included in proposed § 512.210(a). The proposal for excluded services from the EPM episode was included in proposed § 512.210(b). The proposal for updating the lists of excluded services for EPMs was included in proposed § 512.210(c). We sought comment on our proposals for included and excluded services for the AMI, CABG, and SHFFT models and updating the lists of excluded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Most commenters expressed general support for CMS' proposed episode definition strategy that would include Part A and Part B items and services and exclude certain unrelated readmissions based on a list of MS-DRGs, as well as certain unrelated Part B services based on the principal diagnosis on the claim, consistent with the episode definition approach for LEJR under the CJR model and the approach used in the BPCI initiative for several years for BPCI, SHFFT, AMI, PCI, and CABG episodes. The commenters acknowledged that most items and services would be included in the episode definition under the proposal, thus creating broadly defined SHFFT, AMI, and CABG episodes. In some cases, while commenters agreed with the proposed general strategy for identifying EPM episode exclusions, they made specific recommendations for additional exclusions based on a different exclusions standard, and these commenters are summarized later in this section, where responses are also provided. In other cases, commenters who agreed with the strategy for identifying EPM episode exclusions stated that if CMS finalizes broad EPM episode definitions, risk adjustment would be necessary in order to ensure fair payment to EPM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recommended CMS to provide greater clarity about the services included in and excluded from EPM episodes. One commenter stated that it is hard to differentiate included versus excluded services, and further added that people are "irreducible bundles" and someone needs to be responsible for all of the issues for people when they are very sick. The commenter recommended that the longer-term value of patient-centered medical homes, comprehensive ACOs, and primary care geriatricians should be considered for beneficiaries completing EPM episodes and recommended that moving people with complex illness into such arrangements should be a feature of all CMS innovations as part of moving fee-for-service payment toward quality and value. A few commenters recommended that CMS provide a clear definition and methodology for the term "related services" which would be applied consistently throughout various payment models so providers could verify how their services would be identified and paid. Finally, several commenters requested that CMS utilize an inclusions list rather than an exclusion list to avoid including inappropriate services by default. One commenter presented analysis that showed AMI model readmission for seizures and other for organic disturbance and mental retardation would be included in AMI episodes, and the commenter believes that neurological and mental health conditions are not related to cardiac care for AMI.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of many commenters for our proposed general approach to identifying excluded items and services for the EPMs. As we stated in the proposed rule </w:t>
      </w:r>
      <w:hyperlink r:id="rId9" w:history="1">
        <w:r>
          <w:rPr>
            <w:rFonts w:ascii="arial" w:eastAsia="arial" w:hAnsi="arial" w:cs="arial"/>
            <w:b w:val="0"/>
            <w:i/>
            <w:strike w:val="0"/>
            <w:noProof w:val="0"/>
            <w:color w:val="0077CC"/>
            <w:position w:val="0"/>
            <w:sz w:val="20"/>
            <w:u w:val="single"/>
            <w:vertAlign w:val="baseline"/>
          </w:rPr>
          <w:t>(81 FR 50832),</w:t>
        </w:r>
      </w:hyperlink>
      <w:r>
        <w:rPr>
          <w:rFonts w:ascii="arial" w:eastAsia="arial" w:hAnsi="arial" w:cs="arial"/>
          <w:b w:val="0"/>
          <w:i w:val="0"/>
          <w:strike w:val="0"/>
          <w:noProof w:val="0"/>
          <w:color w:val="000000"/>
          <w:position w:val="0"/>
          <w:sz w:val="20"/>
          <w:u w:val="none"/>
          <w:vertAlign w:val="baseline"/>
        </w:rPr>
        <w:t xml:space="preserve"> we are interested in testing inclusive AMI, CABG, and SHFFT episodes to incentivize comprehensive, coordinated, patient-centered care for the beneficiary throughout the episode. We agree with the commenter that it can be hard to distinguish included versus excluded services because sick people have many complex and interrelated clinical conditions and corresponding health care needs. The proposed EPM episode definitions are broad in part for this reason. Additionally, while we also agree with the commenter that the ongoing and acute health care needs of medically complex beneficiaries may be addressed through a patient-centered medical home or ACO, many of these vulnerable beneficiaries currently are not included in such models or programs. In the case of other beneficiaries who are included in medical home or ACO models or programs, they may have specific, new care management needs arising from an acute cardiac event, CABG, or hip fracture surgery that may be best managed by the EPM participant that has substantial expertise in coordinating and managing care throughout AMI, CABG, or SHFFT episodes because of its participation in the EPM, while the ACO or patient-centered medical home may have less specific expertise in managing beneficiaries recovering from major orthopedic or cardiac surgery or an AMI. We expect that EPM participants, accountable for EPM episode quality and cost performance </w:t>
      </w:r>
      <w:r>
        <w:rPr>
          <w:rFonts w:ascii="arial" w:eastAsia="arial" w:hAnsi="arial" w:cs="arial"/>
          <w:b/>
          <w:i w:val="0"/>
          <w:strike w:val="0"/>
          <w:noProof w:val="0"/>
          <w:color w:val="000000"/>
          <w:position w:val="0"/>
          <w:sz w:val="20"/>
          <w:u w:val="none"/>
          <w:vertAlign w:val="baseline"/>
        </w:rPr>
        <w:t> [*254] </w:t>
      </w:r>
      <w:r>
        <w:rPr>
          <w:rFonts w:ascii="arial" w:eastAsia="arial" w:hAnsi="arial" w:cs="arial"/>
          <w:b w:val="0"/>
          <w:i w:val="0"/>
          <w:strike w:val="0"/>
          <w:noProof w:val="0"/>
          <w:color w:val="000000"/>
          <w:position w:val="0"/>
          <w:sz w:val="20"/>
          <w:u w:val="none"/>
          <w:vertAlign w:val="baseline"/>
        </w:rPr>
        <w:t xml:space="preserve"> under the EPMs, will work closely with all providers and other organizations with which a model beneficiary has established relationships, toward the mutual goal of high quality, well-coordinated care that maximizes the rate of a beneficiary's return of function and improvements in health following surgery or AMI. We further expect that the medical management and care coordination during EPM episodes will continue to be provided as beneficiaries' transition out of EPM episodes, potentially into a primary care medical home or other model or program with accountability for population health, such as an ACO.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our proposed inclusive approach to EPM episode definitions results in many more items and services that are included in EPM episodes than excluded, we believe it is most efficient to identify excluded items and services as we proposed. With regard to the commenters who were concerned that an exclusion list could include inappropriate services by default, we note that we posted to the CMS Web site the proposed exclusion lists for the AMI, CABG, and SHFFT models for comment in association with the proposed rule and are finalizing the initial exclusion lists through this rulemaking where we have considered and responded to all the comments we received on our proposed exclusions. Thus, no items and services would be included in EPM episodes by default because the exclusion lists have been established through notice and comment rulemaking. In addition, as discussed later in this section, we proposed a sub-regulatory process for updating the exclusion lists to reflect ICD-10-CM coding and annual changes to the MS-DRGs under the IPPS, as well as to address any other issues that are brought to our attention throughout the course of the EPMs' performance periods. The standards for the process reflect the proposed general principles for excluded services and the process itself allows opportunity for public input. Thus, we believe that all items and services included in EPM episodes are intentionally included, after consideration of public input, rather than included by default.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in the example raised by the commenter of "default inclusion," we disagree with the commenter that readmissions for neurological and mental health conditions are unrelated to cardiac care for AMI. For example, an AHRQ Evidence Report on post-myocardial infarction found that the evidence is consistent that in patients with AMI, depression is common at the time of the hospitalization and persists for at least several months after hospital discharge without treatment. n57 Further, the report found that depression is associated with a significantly increased risk of subsequent death, and of cardiac readmission and poor quality of life during the first year. Thus, we would not exclude readmission for treatment of depression from AMI episodes because we believe that depression would generally be a chronic condition that was likely to have been affected care during the AMI model episode. Under our proposal, readmissions for neurological and mental health conditions would not be excluded from AMI episodes because they are not MS-DRGs that we proposed to exclude from the AMI episodes, specifically oncology; trauma medical; chronic disease surgical unrelated to a condition likely to have been affected by care during the EPM episode; or acute disease surgical unrelated to a condition resulting from or likely to have been affected by care during the AMI episode. Thus, we consider those readmissions related to AMI episodes as they are medical MS-DRGs for conditions that are likely to have resulted from or been affected by care during the AMI anchor hospitalization or during the 90 days post-hospital discharge.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 Bush DE, Ziegelstein RC, Patel UV, et al. Post-Myocardial Infarction Depression. Rockville (MD): Agency for Healthcare Research and Quality (US); 2005 May. (Evidence Reports/Technology Assessments, No. 123.) Available from: </w:t>
      </w:r>
      <w:hyperlink r:id="rId37" w:history="1">
        <w:r>
          <w:rPr>
            <w:rFonts w:ascii="arial" w:eastAsia="arial" w:hAnsi="arial" w:cs="arial"/>
            <w:b w:val="0"/>
            <w:i/>
            <w:strike w:val="0"/>
            <w:noProof w:val="0"/>
            <w:color w:val="0077CC"/>
            <w:position w:val="0"/>
            <w:sz w:val="20"/>
            <w:u w:val="single"/>
            <w:vertAlign w:val="baseline"/>
          </w:rPr>
          <w:t>https://www.ncbi.nlm.nih.gov/books/NBK37817/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posting to the CMS Web site the lists of excluded services for the EPMS, we believe we are providing the clarity and detail needed for any provider to understand whether his or her services furnished to a beneficiary in an EPM episode are included in the EPM episode definition because they are related to the episode or excluded from the EPM episode because they are unrelated. To date, we have applied the same general approach to identifying exclusions in the BPCI initiative, the CJR model, and the proposed EPMs, which should facilitate provider understanding about exclusions under these different episode payment models. We note, however, that the exclusion list differs based on the clinical condition that is the focus of the episode so a provider that is paid under Part B or a hospital would not be able to have a uniform determination of whether services furnished were included or excluded from an episode without knowledge of the beneficiary's specific episode in an episode payment model as well as the clinical condition for which the provider furnished services. All of the Innovation Center episode payment models except Model 4 of BPCI use retrospective payment, so all providers would be paid according to the usual fee-for-service systems that apply, regardless of whether the items or services furnished by the provider are included in or excluded from a beneficiary's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While some commenters expressed full support for CMS' proposed definition of related services, other commenters recommended CMS to exclude specific additional groups of services from EPM episodes. The commenters requested that CMS further exclude:</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Readmissions that were already planned for the beneficiary prior to the anchor hospitalization because their occurrence would be unrelated to episode care;</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Readmissions that were part of the planned post-discharge care for the beneficiary after the anchor hospitalization, because these provide no opportunity for efficiency yet could lead to high-cost episodes:</w:t>
      </w:r>
    </w:p>
    <w:p>
      <w:pPr>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Medical readmissions for unrelated acute and chronic conditions;</w:t>
      </w:r>
    </w:p>
    <w:p>
      <w:pPr>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 B services that are not directly related to the episode;</w:t>
      </w:r>
    </w:p>
    <w:p>
      <w:pPr>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Cardiac rehabilitation, intensive cardiac rehabilitation, and chronic care management services where appropriate utilization under the EPMs in the context of historical low utilization would lead to increased episode costs during the EPM performance period;</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Behavioral and substance abuse services because these are not always integral or of strong relevance to the clinical definitions of the EPMs, and CMS does not provide claims data to model participants for these services so no participants can predict, model, or calculate episode spending; and</w:t>
      </w:r>
    </w:p>
    <w:p>
      <w:pPr>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Outpatient chemotherapy, psychiatric readmissions, and high cost intravenous therapy administered through DME that are unrelated to the episode and could lead to increased episode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that it is not necessary to exclude from EPM episodes planned readmissions and outpatient services, regardless of whether those plans were made prior to the anchor hospitalization or during the anchor hospitalization but prior to discharge, solely because the readmissions or outpatient services are planned in advance. While we understand that certain other CMS programs account differently for planned readmissions by excluding them from readmission calculations, such as the HRRP which reduces payments to hospitals with excess readmissions, we do not believe that planned readmissions should be </w:t>
      </w:r>
      <w:r>
        <w:rPr>
          <w:rFonts w:ascii="arial" w:eastAsia="arial" w:hAnsi="arial" w:cs="arial"/>
          <w:b/>
          <w:i w:val="0"/>
          <w:strike w:val="0"/>
          <w:noProof w:val="0"/>
          <w:color w:val="000000"/>
          <w:position w:val="0"/>
          <w:sz w:val="20"/>
          <w:u w:val="none"/>
          <w:vertAlign w:val="baseline"/>
        </w:rPr>
        <w:t> [*255] </w:t>
      </w:r>
      <w:r>
        <w:rPr>
          <w:rFonts w:ascii="arial" w:eastAsia="arial" w:hAnsi="arial" w:cs="arial"/>
          <w:b w:val="0"/>
          <w:i w:val="0"/>
          <w:strike w:val="0"/>
          <w:noProof w:val="0"/>
          <w:color w:val="000000"/>
          <w:position w:val="0"/>
          <w:sz w:val="20"/>
          <w:u w:val="none"/>
          <w:vertAlign w:val="baseline"/>
        </w:rPr>
        <w:t xml:space="preserve"> excluded from EPM episodes, where the goals of the EPMs are to improve the quality and efficiency of episode care and where we do not make a specific assessment about excess readmissions. Just like unplanned readmissions, we believe that planned readmissions should be excluded from EPM episodes only if they are unrelated to the EPM episodes based on the proposed standards for exclusion of inpatient readmissions that group to the following categories of diagnoses: Oncology; trauma medical; chronic disease surgical unrelated to a condition likely to have been affected by care during the EPM episode; and acute disease surgical unrelated to a condition resulting from or likely to have been affected by care during the EPM episode. We continue to believe these standards are appropriate to identify excluded readmissions from EPM episodes given our design of the EPMs to test comprehensive, coordinated patient-centered care for the beneficiary throughout broadly defined EPM episodes. Unless a readmission is excluded from the EPM episode based on these standards, any readmission, whether planned or unplanned, would be related to the EPM episode and be affected by the clinical condition that is the basis for that episode. We appreciate the concerns of the commenters about ensuring appropriate EPM episode prices in the case of planned readmissions. While we are not adopting any specific methodologies for identifying and making episode payment adjustments for such planned, related readmissions now except in the case of a CABG readmission during an AMI episode as discussed in section III.D.4.b.(2)(c), we will study this issue in more detail especially as it relates to the cardiac models. Should we determine a change to our policies regarding planned, related readmission could be appropriate, we will make proposals through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extent that planned readmissions reflect certain clinically appropriate care patterns for beneficiaries in EPM episodes based on plans made during the anchor hospitalization, we expect that such readmissions would be included in the historical EPM episodes used to establish EPM-episode payments and thus hospitals would be appropriately paid, on average, for EPM episode care. To the extent that efficiencies in EPM episode care are possible and medically appropriate, reducing planned readmissions may provide an opportunity for increased EPM episode efficiencies. However, we would not expect EPM participants to reduce EPM-episode spending by shifting the utilization of medically necessary services, such as planned readmissions, until after the EPM episode ends. We refer to section III.D.4.b.(2)(c) of this final rule for discussion of the pricing adjustment for CABG readmissions during AMI episodes due to this costly, clinically-appropriate care pattern of delayed CABG for some beneficiaries with AMI.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while we expect that certain elective admissions considered related under the EPMs may be planned prior to the anchor hospitalization for the EPM episode and could, therefore, occur during the 90-day post-discharge period, we believe that such actual readmissions after CABG, SHFFT or AMI treatment are uncommon during the post-surgical recovery or post-AMI recovery period for EPM beneficiaries that extends 90 days following discharge from the anchor hospitalization. If such readmissions were planned, they would often be canceled due to the intervening surgery or AMI until the beneficiary has fully recovered. We will not exclude them all as unrelated because any readmission not on the EPM exclusion list may be related care furnished during the post-surgical or post-AMI recovery period. Our exclusion methodology does not allow us to identify those readmissions that are truly elective; that is, the condition was present and the readmission was planned prior to the hospitalization that anchored the EPM episode and scheduled during the 90-day post-hospital discharge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readmissions to medical MS-DRGs, the selection of the principal diagnosis code is not clear-cut so we believe they should all be included in the EPM episode definition so providers focus on comprehensive care to beneficiaries in episodes. We believe that readmissions to medical MS-DRGs are generally linked to the hospitalization or event as a complication of the illness that led to the procedure or event, a complication of treatment or interactions with the health care system, or a chronic illness that may have been affected by the course of care. Therefore, we believe it is infeasible under the EPMs to identify medical readmissions for unrelated acute and chronic medical conditions, other than our proposal to exclude readmissions for oncology and trauma medical diagnoses.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our proposal identified those Part B services unrelated to the episode as acute disease diagnoses unrelated to a condition resulting from or likely to have been affected by care during the EPM episode and certain chronic disease diagnoses depending on whether the condition was likely to have been affected by care during the EPM episode or whether substantial services were likely to be provided for the chronic condition during the EPM episode. We do not believe that requiring a direct relationship between the diagnosis for the Part B services and the clinical condition that is the basis for the EPM episode is appropriate under the broadly defined episodes of the EPMs. Most medical conditions are likely to be affected by care during the EPM episode, yet they may not have a direct relationship to the clinical condition that is the reason for the anchor hospitalization.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do not believe that it would be appropriate to exclude other specific Part B services that are related to the clinical conditions that are the basis for EPM episodes, such as cardiac rehabilitation, intensive cardiac rehabilitation, and chronic care management services, just because they are underrepresented in the baseline period upon which benchmark episode prices are set. As discussed in section III.D.4.b.(3) of this final rule, to the extent that care redesign under the EPMs increases utilization of these services to improve episode quality and efficiency, periodic updates to the 3 years of historical data used to establish EPM-episode benchmark prices would result in greater representation of these services that reflect more recent care patterns.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we do not believe that it would be appropriate to exclude behavioral health and substance abuse services, including psychiatric readmissions, from EPM episodes because these services are for conditions that are likely to affect EPM episode care. We note that these services are not common in episodes and, while we acknowledge that the episode claims data provided to EPM participants will not include these data, our proposal to exclude this information but include the costs of the services in EPM episodes is consistent with our usual treatment of these services in other similar CMS programs and models where providers must take on risk in managing the care of their beneficiaries, such as the Shared Savings Program and BPCI initiative. Based on our experience to date with bundled payment models and the Shared Savings Program, this policy has not been a significant impediment to the operations of these efforts. For example, in the most recent episodes in BPCI Models 2 and 3, the claims for behavioral health and substance abuse services included in episodes that we </w:t>
      </w:r>
      <w:r>
        <w:rPr>
          <w:rFonts w:ascii="arial" w:eastAsia="arial" w:hAnsi="arial" w:cs="arial"/>
          <w:b/>
          <w:i w:val="0"/>
          <w:strike w:val="0"/>
          <w:noProof w:val="0"/>
          <w:color w:val="000000"/>
          <w:position w:val="0"/>
          <w:sz w:val="20"/>
          <w:u w:val="none"/>
          <w:vertAlign w:val="baseline"/>
        </w:rPr>
        <w:t> [*256] </w:t>
      </w:r>
      <w:r>
        <w:rPr>
          <w:rFonts w:ascii="arial" w:eastAsia="arial" w:hAnsi="arial" w:cs="arial"/>
          <w:b w:val="0"/>
          <w:i w:val="0"/>
          <w:strike w:val="0"/>
          <w:noProof w:val="0"/>
          <w:color w:val="000000"/>
          <w:position w:val="0"/>
          <w:sz w:val="20"/>
          <w:u w:val="none"/>
          <w:vertAlign w:val="baseline"/>
        </w:rPr>
        <w:t xml:space="preserve"> did not share with BPCI participants accounted for less than 0.1 percent of total episode spending. We refer to section III.K. of this final rule for further discussion of issues related to sharing beneficiary-identifiable data for behavioral health and substance abuse services with EPM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commenters requesting that we exclude outpatient chemotherapy services from the EPM episode definitions, we agree that these should be excluded from EPM episodes in accordance with our proposal that excludes services based on ICD-9-CM and ICD-10-CM cancer diagnosis codes on the proposed EPM exclusion lists from historical and actual EPM episodes. In the case of high-cost intravenous therapy administered through DME, we would only exclude such treatments if the claims reported ICD-10-CM diagnosis codes that would identify these services as unrelated to the EPM episodes. Otherwise, despite the cost of this therapy, these services would be included in EPM episodes because they are related.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CMS to exclude readmissions for PCI from AMI episodes, stating that current STEMI clinical guidelines for the culprit artery lesion in addition to other multi-vessel stenosis states, "Approximately 50% of patients with STEMI have multivessel disease. PCI options for patients with STEMI and multivessel disease include: (1) Culprit artery-only primary PCI, with PCI of non-culprit arteries only for spontaneous ischemia or intermediate or high-risk findings on pre-discharge noninvasive testing; (2) multi-vessel PCI at the time of primary PCI; or (3) culprit artery-only primary PCI followed by staged PCI of non-culprit arteries." n58 Another commenter quoted on the topic from the most recent update to the guidelines published in 2016, "Although several observational studies and a network meta-analysis have suggested that multivessel staged PCI may be associated with better outcome than multivessel primary PCI, there are insufficient observational data and no randomized data at this time to inform a recommendation with regard to the optimal timing of nonculprit vessel PCI."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n58 Levine GN, Bates ER, Blankenship JC, et al. 2015 ACC/AHA/SCAI Focused Update on Primary Percutaneous Coronary Intervention for Patients With ST-Elevation Myocardial Infarction: An Update of the 2011 ACCF/AHA/SCAI Guideline for Percutaneous Coronary Intervention and the 2013 ACCF/AHA Guideline for the Management of ST-Elevation Myocardial Infarction. J Am Coll Cardiol. 2016;67(10):1235-1250. doi:10.1016/j.jacc.2015.10.005.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recommended CMS to exclude planned readmissions for PCI from the AMI episode definition because the AMI model as proposed would discourage the recommended course of care of a secondary PCI procedure for AMI patients with multivessel disease. The commenters believe that the AMI episode definition could encourage the treatment of secondary lesions during the initial angioplasty and in other cases could provide an incentive to delay treatment of the secondary lesions until after the 90-day post-hospital discharge duration of the AMI episode has concluded. The commenters added that another strategy of EPM participants to deal with limited AMI episode payments might be to inappropriately refer multivessel disease patients into the separate CABG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Alternatively if CMS does not excluded planned PCI readmissions, the commenters recommended CMS to exclude STEMI beneficiaries with multivessel disease from the AMI model and/or make accommodations in the pricing methodology for the extra cost of treating such beneficiaries appropriately. As another alternative, the commenters requested that CMS shorten the AMI episode duration to 30 days post-discharge so that secondary PCI could be performed for multivessel disease without the financial constraints of an ongoing AMI episode. Finally, the commenters recommended that if the AMI episodes cannot be revised to avoid these potentially harmful incentives, CMS should monitor and evaluate whether these shifts in pattern of care are occurring and whether they have affected patient outcomes.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appreciate the concerns of the commenters, as we stated in the proposed rule </w:t>
      </w:r>
      <w:hyperlink r:id="rId9" w:history="1">
        <w:r>
          <w:rPr>
            <w:rFonts w:ascii="arial" w:eastAsia="arial" w:hAnsi="arial" w:cs="arial"/>
            <w:b w:val="0"/>
            <w:i/>
            <w:strike w:val="0"/>
            <w:noProof w:val="0"/>
            <w:color w:val="0077CC"/>
            <w:position w:val="0"/>
            <w:sz w:val="20"/>
            <w:u w:val="single"/>
            <w:vertAlign w:val="baseline"/>
          </w:rPr>
          <w:t>(81 FR 50852),</w:t>
        </w:r>
      </w:hyperlink>
      <w:r>
        <w:rPr>
          <w:rFonts w:ascii="arial" w:eastAsia="arial" w:hAnsi="arial" w:cs="arial"/>
          <w:b w:val="0"/>
          <w:i w:val="0"/>
          <w:strike w:val="0"/>
          <w:noProof w:val="0"/>
          <w:color w:val="000000"/>
          <w:position w:val="0"/>
          <w:sz w:val="20"/>
          <w:u w:val="none"/>
          <w:vertAlign w:val="baseline"/>
        </w:rPr>
        <w:t xml:space="preserve"> fewer than 3 percent of those AMI model beneficiaries who receive inpatient or outpatient PCIs during AMI episodes receive the PCIs between 2 and 90 days post-discharge from an anchor or chained anchor hospitalization. Since a PCI for an AMI typically is provided during the anchor hospitalization and most PCIs later in an episode occur in the context of a beneficiary presenting through the emergency department, we believe that in most cases of PCI following discharge from the anchor hospitalization, the beneficiary likely has experienced a complication of care resulting in a PCI that may potentially be avoided through care management during the AMI episode. This PCI would clearly be related to the AMI episode and should not be excluded from the AMI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also be inappropriate to exclude beneficiaries with STEMI and multivessel disease from the AMI model simply because their plan of care could include a secondary PCI procedure as these beneficiaries would represent nearly 50 percent of STEMI patients, who themselves make up a significant percent of beneficiaries in the AMI model. While we expect that few beneficiaries would follow this care pattern based on our analysis of historical AMI episodes, in this scenario the PCI would clearly be related to the AMI and, therefore, be appropriately included in the AMI episode definition. Given that our intention is to offer appropriate incentives for care quality and efficiency by holding AMI model participants accountable for readmissions that could be related to the quality of care provided prior to the readmission, we believe that a pricing adjustment for a PCI readmission or outpatient PCI would not be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the recently updated treatment guidelines cited by the commenters state there is insufficient observation data and no randomized data to inform a recommendation regarding the optimal timing of non-culprit vessel PCI. The guidelines contain no specific recommendation for the timing of delayed treatment of secondary lesions, while specifically stating that the "recommendation with regard to multivessel primary PCI in hemodynamically stable patients with STEMI has been upgraded and modified . . . to include consideration of multivessel PCI, either at the time of primary PCI or as a planned, staged procedure." Given that there is no specific recommendation regarding the routine performance of multivessel PCI for patients with STEMI and multivessel disease, nor a recommendation on the timing for multivessel PCI if it is performed, we do not believe the AMI model definition discourages patterns of care that are recommended for AMI patients with multivessel disease. We also do not see any reason why the care patterns related to performing PCI for multivessel disease following STEMI should lead us to shorten the AMI episode duration from 90 days post-discharge to 30 days or to make a pricing adjustment for AMI episodes that include this pattern of care. We refer to section III.C.4.c.(2) of this final rule for further discussion of the AMI episode duration.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recommended by the commenters, we will evaluate care patterns under the AMI model for secondary PCI following an initial PCI for treatment of AMI to determine whether shifts in care are </w:t>
      </w:r>
      <w:r>
        <w:rPr>
          <w:rFonts w:ascii="arial" w:eastAsia="arial" w:hAnsi="arial" w:cs="arial"/>
          <w:b/>
          <w:i w:val="0"/>
          <w:strike w:val="0"/>
          <w:noProof w:val="0"/>
          <w:color w:val="000000"/>
          <w:position w:val="0"/>
          <w:sz w:val="20"/>
          <w:u w:val="none"/>
          <w:vertAlign w:val="baseline"/>
        </w:rPr>
        <w:t> [*257] </w:t>
      </w:r>
      <w:r>
        <w:rPr>
          <w:rFonts w:ascii="arial" w:eastAsia="arial" w:hAnsi="arial" w:cs="arial"/>
          <w:b w:val="0"/>
          <w:i w:val="0"/>
          <w:strike w:val="0"/>
          <w:noProof w:val="0"/>
          <w:color w:val="000000"/>
          <w:position w:val="0"/>
          <w:sz w:val="20"/>
          <w:u w:val="none"/>
          <w:vertAlign w:val="baseline"/>
        </w:rPr>
        <w:t xml:space="preserve"> occurring and whether changes in beneficiary outcomes are observed. We refer to section IV. of this final rule for further discussion of our plans for evaluation of the AMI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confirmation of their understanding of CMS' proposal to exclude MS-DRGs for inpatient hospital readmissions that group to the "Trauma medical" category of diagnoses. The commenter interpreted this provision as trauma diagnoses unrelated to the initial MS-DRG triggering an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By trauma medical diagnoses, we mean that those MS-DRGs that represent a readmission for medical treatment of trauma during an EPM episode are excluded. For example, we would exclude MS-DRGs 082-087 in the Traumatic Stupor &amp; Coma series and MS-DRGs 088-090 in the Concussion series.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CMS to exclude hospice services from the EPM episode definition as they generally would be unrelated to the EPM episodes. The commenters stated that including hospice services in EPM episodes could result in incentives for underutilization of the hospice benefit. They encouraged CMS to exclude all hospice services in order to ensure timely access to hospice for EPM beneficiaries. One commenter pointed out that exclusion of hospice services from the EPM episode definitions would be consistent with their exclusion from BPCI episodes.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of the commenters in ensuring continued beneficiary access to hospice services under the EPMs. We note that although we exclude hospice services from BPCI episodes, we include them in LEJR episodes in the CJR model </w:t>
      </w:r>
      <w:hyperlink r:id="rId21" w:history="1">
        <w:r>
          <w:rPr>
            <w:rFonts w:ascii="arial" w:eastAsia="arial" w:hAnsi="arial" w:cs="arial"/>
            <w:b w:val="0"/>
            <w:i/>
            <w:strike w:val="0"/>
            <w:noProof w:val="0"/>
            <w:color w:val="0077CC"/>
            <w:position w:val="0"/>
            <w:sz w:val="20"/>
            <w:u w:val="single"/>
            <w:vertAlign w:val="baseline"/>
          </w:rPr>
          <w:t>(80 FR 73307).</w:t>
        </w:r>
      </w:hyperlink>
      <w:r>
        <w:rPr>
          <w:rFonts w:ascii="arial" w:eastAsia="arial" w:hAnsi="arial" w:cs="arial"/>
          <w:b w:val="0"/>
          <w:i w:val="0"/>
          <w:strike w:val="0"/>
          <w:noProof w:val="0"/>
          <w:color w:val="000000"/>
          <w:position w:val="0"/>
          <w:sz w:val="20"/>
          <w:u w:val="none"/>
          <w:vertAlign w:val="baseline"/>
        </w:rPr>
        <w:t xml:space="preserve"> We understand that EPM beneficiaries could receive hospice services during an episode under several different types of clinical circumstances. For example, the beneficiary could be enrolled in hospice prior to a SHFFT episode, experience a pathologic hip fracture, and require a SHFFT procedure to stabilize his or her hip. Alternatively, the beneficiary could have a CABG and enter into hospice at some point during the episode in the 90 days following discharge from the anchor hospitalization, either after experiencing a surgical complication leading to a terminal prognosis, progressive severe heart failure despite the CABG, or based on a new diagnosis of a terminal stage of an illness.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explained in the CJR Final Rule </w:t>
      </w:r>
      <w:hyperlink r:id="rId21" w:history="1">
        <w:r>
          <w:rPr>
            <w:rFonts w:ascii="arial" w:eastAsia="arial" w:hAnsi="arial" w:cs="arial"/>
            <w:b w:val="0"/>
            <w:i/>
            <w:strike w:val="0"/>
            <w:noProof w:val="0"/>
            <w:color w:val="0077CC"/>
            <w:position w:val="0"/>
            <w:sz w:val="20"/>
            <w:u w:val="single"/>
            <w:vertAlign w:val="baseline"/>
          </w:rPr>
          <w:t>(80 FR 73307),</w:t>
        </w:r>
      </w:hyperlink>
      <w:r>
        <w:rPr>
          <w:rFonts w:ascii="arial" w:eastAsia="arial" w:hAnsi="arial" w:cs="arial"/>
          <w:b w:val="0"/>
          <w:i w:val="0"/>
          <w:strike w:val="0"/>
          <w:noProof w:val="0"/>
          <w:color w:val="000000"/>
          <w:position w:val="0"/>
          <w:sz w:val="20"/>
          <w:u w:val="none"/>
          <w:vertAlign w:val="baseline"/>
        </w:rPr>
        <w:t xml:space="preserve"> Medicare hospice care is palliative care for individuals with a prognosis of living 6 months or less if the terminal illness runs its normal course. As referenced in § 418.22(b)(1), to be eligible for Medicare hospice services, the patient's attending physician (if any) and the hospice medical director must certify that the individual is "terminally ill," as defined in section 1861(dd)(3)(A) of the Act and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418.3; that is, the individual's prognosis is for a life expectancy of 6 months or less if the terminal illness runs its normal course. When an individual is terminally ill, many health problems are brought on by underlying condition(s), as bodily systems are interdependent. Section 1861(dd)(1) of the Act establishes the services that are to be rendered by a Medicare certified hospice program and those services include: Nursing care; physical therapy; occupational therapy; speech-language pathology therapy; medical social services; home health aide services (now called hospice aide services); physician services; homemaker services; medical supplies (including drugs and biologics); medical appliances; counseling services (including dietary counseling); short-term inpatient care (including both respite care and care necessary for pain control and acute or chronic symptom management) in a hospital, nursing facility, or hospice inpatient facility; continuous home care during periods of crisis and only as necessary to maintain the terminally ill individual at home; and any other item or service which is specified in the plan of care and for which payment may otherwise be made under Medicare, in accordance with Title XVIII of the Act. The services offered under the Medicare hospice benefit must be available, as needed, to beneficiaries 24 hours a day, 7 days a week (section 1861(dd)(2)(A)(i)of the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418.54(c) stipulate that the comprehensive hospice assessment must identify the patient's physical, psychosocial, emotional, and spiritual needs related to the terminal illness and related conditions, and address those needs in order to promote the hospice patient's well-being, comfort, and dignity. The comprehensive assessment must take into consideration the following factors: The nature and condition causing admission (including the presence or lack of objective data and subjective complaints); complications and risk factors that affect care planning; functional status; imminence of death; and severity of symptoms (§ 418.54(c)). Additionally, the hospice Conditions of Participation (CoPs) at § 418.56(c) require that the hospice must provide all reasonable and necessary services for the palliation and management of the terminal illness, related conditions and interventions to manage pain and symptoms. Therapy and interventions must be assessed and managed in terms of providing palliation and comfort without undue symptom burden for the hospice patient or family. In the December 16, 1983, Hospice final rule </w:t>
      </w:r>
      <w:hyperlink r:id="rId38" w:history="1">
        <w:r>
          <w:rPr>
            <w:rFonts w:ascii="arial" w:eastAsia="arial" w:hAnsi="arial" w:cs="arial"/>
            <w:b w:val="0"/>
            <w:i/>
            <w:strike w:val="0"/>
            <w:noProof w:val="0"/>
            <w:color w:val="0077CC"/>
            <w:position w:val="0"/>
            <w:sz w:val="20"/>
            <w:u w:val="single"/>
            <w:vertAlign w:val="baseline"/>
          </w:rPr>
          <w:t>(48 FR 56010</w:t>
        </w:r>
      </w:hyperlink>
      <w:r>
        <w:rPr>
          <w:rFonts w:ascii="arial" w:eastAsia="arial" w:hAnsi="arial" w:cs="arial"/>
          <w:b w:val="0"/>
          <w:i w:val="0"/>
          <w:strike w:val="0"/>
          <w:noProof w:val="0"/>
          <w:color w:val="000000"/>
          <w:position w:val="0"/>
          <w:sz w:val="20"/>
          <w:u w:val="none"/>
          <w:vertAlign w:val="baseline"/>
        </w:rPr>
        <w:t xml:space="preserve"> through 56011), regarding what is related versus unrelated to the terminal illness, we stated: "We believe that the unique physical condition of each terminally ill individual makes it necessary for these decisions to be made on a case-by-case basis. It is our general view that hospices are required to provide virtually all the care that is needed by terminally ill patients."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we believe that hospice services furnished to EPM beneficiaries should be included in the episode definition for the EPMs, regardless of the specific diagnosis of the beneficiary, because hospices are to provide virtually all care that is needed by terminally ill patients. This is consistent with our conclusion when we considered hospice services in the LEJR episode definition under the CJR model </w:t>
      </w:r>
      <w:hyperlink r:id="rId21" w:history="1">
        <w:r>
          <w:rPr>
            <w:rFonts w:ascii="arial" w:eastAsia="arial" w:hAnsi="arial" w:cs="arial"/>
            <w:b w:val="0"/>
            <w:i/>
            <w:strike w:val="0"/>
            <w:noProof w:val="0"/>
            <w:color w:val="0077CC"/>
            <w:position w:val="0"/>
            <w:sz w:val="20"/>
            <w:u w:val="single"/>
            <w:vertAlign w:val="baseline"/>
          </w:rPr>
          <w:t>(80 FR 73307).</w:t>
        </w:r>
      </w:hyperlink>
      <w:r>
        <w:rPr>
          <w:rFonts w:ascii="arial" w:eastAsia="arial" w:hAnsi="arial" w:cs="arial"/>
          <w:b w:val="0"/>
          <w:i w:val="0"/>
          <w:strike w:val="0"/>
          <w:noProof w:val="0"/>
          <w:color w:val="000000"/>
          <w:position w:val="0"/>
          <w:sz w:val="20"/>
          <w:u w:val="none"/>
          <w:vertAlign w:val="baseline"/>
        </w:rPr>
        <w:t xml:space="preserve"> If an EPM beneficiary was receiving hospice services during an episode, either because the beneficiary was enrolled in hospice prior to surgery or a cardiac event and continued in hospice following surgery or the cardiac event or the beneficiary enrolled in hospice following the surgery or cardiac event that initiated the EPM episode, we believe that hospice services would encompass care related to the EPM episode and should, therefore, be included in the episode definition. As previously noted, given the comprehensive nature of the hospice benefit and the fact that body systems are interdependent at end of life, virtually all care needed by the terminally-ill individual would be related to the terminal prognosis and thus the responsibility of the hospice.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noted, hospices are required, per the Hospice CoPs at § 418.56(c), to provide all reasonable and necessary services for the palliation and management of the terminal illness, related conditions, and interventions to manage pain and symptoms. For patients that underwent surgery or cardiac care under the EPMs that have also elected the Medicare hospice benefit, hospice services would need to respond to the care needs of the EPM beneficiary following surgery or hospitalization for cardiac care. As in the case of other medically necessary services that would improve a beneficiary's quality of care and quality </w:t>
      </w:r>
      <w:r>
        <w:rPr>
          <w:rFonts w:ascii="arial" w:eastAsia="arial" w:hAnsi="arial" w:cs="arial"/>
          <w:b/>
          <w:i w:val="0"/>
          <w:strike w:val="0"/>
          <w:noProof w:val="0"/>
          <w:color w:val="000000"/>
          <w:position w:val="0"/>
          <w:sz w:val="20"/>
          <w:u w:val="none"/>
          <w:vertAlign w:val="baseline"/>
        </w:rPr>
        <w:t> [*258] </w:t>
      </w:r>
      <w:r>
        <w:rPr>
          <w:rFonts w:ascii="arial" w:eastAsia="arial" w:hAnsi="arial" w:cs="arial"/>
          <w:b w:val="0"/>
          <w:i w:val="0"/>
          <w:strike w:val="0"/>
          <w:noProof w:val="0"/>
          <w:color w:val="000000"/>
          <w:position w:val="0"/>
          <w:sz w:val="20"/>
          <w:u w:val="none"/>
          <w:vertAlign w:val="baseline"/>
        </w:rPr>
        <w:t xml:space="preserve"> of life, we expect that EPM beneficiaries will receive clinically appropriate referrals to hospice in a timely manner. Furthermore, we also believe hospice services could contribute to episode efficiency through improved comprehensive care coordination and management for EPM beneficiaries that have a terminal prognosis. As previously stated, hospices are required to provide comprehensive care coordination and management per the hospice CoPs at 418.56. As discussed in sections III.G.4. through 6. of this final rule, we will be monitoring for access to care, quality of care, and delayed care and will take actions as described if problems are found.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that CMS exclude Inpatient Psychiatric Facility (IPF) services from the EPM episode definition as not being related to or resulting from the EPM clinical condition, consistent with their treatment in BPCI episodes.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are clarifying that under the BPCI models, IPF services furnished following discharge from the episode anchor hospitalizations but during the episode are included in the episode definition, unless they fall into one of the excluded MS-DRGs for the episode. Thus, we include inpatient psychiatric services whether paid under the IPPS or the IPF PPS in all episodes under the BPCI initiative according to the same policy that would exclude readmissions paid under either payment system based on the same exclusion list. As we concluded for the CJR model </w:t>
      </w:r>
      <w:hyperlink r:id="rId21" w:history="1">
        <w:r>
          <w:rPr>
            <w:rFonts w:ascii="arial" w:eastAsia="arial" w:hAnsi="arial" w:cs="arial"/>
            <w:b w:val="0"/>
            <w:i/>
            <w:strike w:val="0"/>
            <w:noProof w:val="0"/>
            <w:color w:val="0077CC"/>
            <w:position w:val="0"/>
            <w:sz w:val="20"/>
            <w:u w:val="single"/>
            <w:vertAlign w:val="baseline"/>
          </w:rPr>
          <w:t>(80 FR 73306),</w:t>
        </w:r>
      </w:hyperlink>
      <w:r>
        <w:rPr>
          <w:rFonts w:ascii="arial" w:eastAsia="arial" w:hAnsi="arial" w:cs="arial"/>
          <w:b w:val="0"/>
          <w:i w:val="0"/>
          <w:strike w:val="0"/>
          <w:noProof w:val="0"/>
          <w:color w:val="000000"/>
          <w:position w:val="0"/>
          <w:sz w:val="20"/>
          <w:u w:val="none"/>
          <w:vertAlign w:val="baseline"/>
        </w:rPr>
        <w:t xml:space="preserve"> we see no reason for the EPMs not to apply the standards we proposed to define related and unrelated Part A and Part B services with respect to IPF services furnished during EPM episodes. Therefore, we believe the list of excluded MS-DRGs applicable to the EPM episode identifies those IPF admissions during the episode that would be clinically unrelated to the episode so we exclude them from the EPM episode definition, whereas IPF services any time during an EPM episode that result in discharge from an MS-DRG that is not excluded would be related and included in the EPM episode definition. We disagree with the commenter that all IPF services furnished following discharge from the anchor hospitalization that initiates the EPM episode after surgery are unlikely to be related to or resulting from the EPM clinical condition or its treatment. Thus, we believe the MS-DRG exclusions for the EPM episodes identify those circumstances when IPF services are unrelated to the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exclude post-acute care services from EPM episodes if the beneficiary chooses a facility not recommended by the EPM participant or treating physician. Other commenters recommended that CMS exclude post-acute care services following excluded readmissions due to how little is known about the causal relationship between an unrelated hospital readmission and subsequent post-acute care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in section III.G.2. of this final rule, the proposed EPMs would not limit an EPM beneficiary's ability to choose among Medicare providers or the range of services that would be available to them. Beneficiaries would continue to choose any Medicare participating provider, or any provider that has opted out of Medicare, with the same costs, copayments, and responsibilities as they have with other Medicare services. Therefore, it would not be appropriate to exclude post-acute care services from the EPM episode definition if the beneficiary chooses a post-acute care facility that is not recommended by the EPM participant or the beneficiary's treating physician.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requests that we exclude post-acute services from EPM episodes following excluded readmissions, as Part A services are generally intended to be comprehensive in nature and because the beneficiary in an EPM episode would still be in the recovery period for the 90 days following surgery or an AMI, we believe any post-acute care services provided during the EPM episode would be related to the SHFFT, CABG, or AMI. Regardless of the reason for the hospitalization immediately preceding the initiation of post-acute care services during an EPM episode, the post-acute care provider would need to address the beneficiary's post-surgical or post-AMI recovery, even if the post-acute care services followed an unrelated admission to the hospital.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identified additional MS-DRGs or conditions resulting in hospitalization that they recommended be excluded from the cardiac episodes. The commenters requested that clinical conditions that group to the following MS-DRGs be excluded from the AMI and CABG model episode definitions, generally on the basis that these readmissions are not integral to the management of beneficiaries in the 90 days following discharge from the AMI or CABG anchor hospitalization:</w:t>
      </w:r>
    </w:p>
    <w:p>
      <w:pPr>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222 (Cardiac Defibrillator Implant with Cardiac Catheterization with AMI/HF/Shock with MCC).</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223 (Cardiac Defibrillator Implant with Cardiac Catheterization with AMI/HF/Shock without MCC).</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224 (Cardiac Defibrillator Implant with Cardiac Catheterization without AMI/HF/Shock with MCC).</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225 (Cardiac Defibrillator Implant with Cardiac Catheterization without AMI/HF/Shock without MCC).</w:t>
      </w:r>
    </w:p>
    <w:p>
      <w:pPr>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226 (Cardiac Defibrillator Implant without Cardiac Catheterization with MCC).</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227 (Cardiac Defibrillator Implant without Cardiac Catheterization without MCC).</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266 (Endovascular Cardiac Replacement with MCC).</w:t>
      </w:r>
    </w:p>
    <w:p>
      <w:pPr>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267 (Endovascular Cardiac Replacement without MCC).</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273 (Percutaneous Intracardiac Procedures with MCC).</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274 (Percutaneous Intracardiac Procedures without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claimed that CMS' proposal to include nearly all surgical MS-DRGs within Major Diagnostic Category (MDC) 5 (Diseases and Disorders of the Circulatory System) in the AMI and CABG episode definition, rather than also requiring an acute care ICD-CM diagnosis code on the claim for the MS-DRG in MDC 5 to be included in the episode, especially within the 31 to 90 days following discharge from the anchor hospitalization, could penalize hospitals for providing necessary care within the timeframe for AMI and CABG episodes. Examples provided by the commenter included abdominal aortic aneurysm; peripheral bypass surgical and endovascular procedures; surgical valve repair or replacement; planned inpatient or outpatient electrophysiology admissions to replace cardiac defibrillators or pacemakers; and staged outpatient revascularization procedures several months after an initial intervention for AMI.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recommended that readmissions for extracorporeal membrane circulation (ECMO) that would group to MS-DRG 003 (ECMO or Tracheostomy with MV &gt; 96 hours or PDX Except Face, Mouth and Neck with Major O.R. Procedure) be excluded from the CABG episode definition. Another commenter recommended the addition of 241 MS-DRGs to CMS' the readmissions exclusion list for CABG episodes, in addition to the 370 MS-DRGs proposed by CMS on the list, on the basis that these MS-DRGs did not have any clinical relevance to CABG. These additional MS-DRGs would result in the exclusion of 611 MS-DRGs out of a total of approximately 760 MS-DRGs from CABG episodes. </w:t>
      </w:r>
      <w:r>
        <w:rPr>
          <w:rFonts w:ascii="arial" w:eastAsia="arial" w:hAnsi="arial" w:cs="arial"/>
          <w:b/>
          <w:i w:val="0"/>
          <w:strike w:val="0"/>
          <w:noProof w:val="0"/>
          <w:color w:val="000000"/>
          <w:position w:val="0"/>
          <w:sz w:val="20"/>
          <w:u w:val="none"/>
          <w:vertAlign w:val="baseline"/>
        </w:rPr>
        <w:t> [*259]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commenter who favored CMS' adopting a more robust methodology for differentiating planned from unplanned use of inpatient and outpatient services within the 90-day post-discharge period, similar to the methodology used in the HRRP for AMI and CABG, requested that should CMS continue with the MS-DRG exclusion list that CMS revisit the proposed exclusion lists for AMI and CABG episodes. The commenter claimed there were some inconsistencies in the treatment of AMI MS-DRG-anchored AMI episodes and CABG episodes compared with PCI MS-DRG-anchored AMI episodes. The commenter identified MS-DRGs 326 (Stomach, Esophageal, and Duodenal Procedures with MCC); 327 (Stomach, Esophageal, and Duodenal Procedures with CC); 328 (Stomach, Esophageal, and Duodenal Procedures without CC/MCC); 266 (Endovascular Cardiac Valve Replacement with MCC); and 267 (Endovascular Cardiac Valve Replacement without MCC) as on the PCI MS-DRG-anchored AMI exclusion list but not on the AMI MS-DRG-anchored AMI and CABG MS-DRG exclusion list, and was unclear about the rationale for these differences.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requests by the commenters to add certain MS-DRGs to the exclusion list for one or both of the cardiac care models. CMS clinicians and coding staff reviewed the three different proposed exclusion lists for AMI MS-DRG-anchored AMI episodes, PCI MS-DRG-anchored AMI episodes, and CABG episodes for the inconsistencies identified by one of the commenters against the proposed standards for excluding readmissions during EPM episodes. We proposed to exclude MS-DRGs 326-328 from PCI-anchored AMI episodes and CABG episodes but not from AMI MS-DRG-anchored episodes. Based on clinical review, we determined that admissions to these MS-DRGs would be for acute disease surgical diagnoses unrelated to a condition resulting from or likely to have been affected by care during the AMI or CABG episode so these MS-DRGs meet the proposed standards for exclusion from AMI MS-DRG-anchored AMI episodes. Therefore, we are adding MS-DRGs 326-328 to the AMI MS-DRG-anchored AMI exclusion list. MS-DRGs 266-267 are on the exclusion list for PCI MS-DRG-anchored AMI episodes, but not on the exclusion list for AMI MS-DRG-anchored AMI episodes or CABG episodes. Based on clinical review, we determined that admissions to these MS-DRGs would be for chronic disease surgical diagnoses unrelated to a condition likely to have been affected by care during the AMI or CABG episode so these MS-DRGs meet the proposed standards for exclusion from both AMI MS-DRG-anchored AMI episodes and CABG episodes. Therefore, we are adding MS-DRGs 266-267 to the AMI MS-DRG-anchored AMI exclusion list and the CABG exclusion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MS-DRGs 222-227 and 273-274 requested for exclusion from AMI and CABG episodes by several commenters are surgical MS-DRGs in MDC 5. As another commenter pointed out, some of these may represent planned readmissions following discharge from the anchor hospitalization during the 90-day post-discharge period. However, based on our proposed readmission exclusion methodology that identifies excluded MS-DRGs without examining the diagnosis coding on hospital claims to determine the reason for the readmission, as discussed in our response to comments earlier in this section, we will not exclude planned readmissions from the AMI and CABG episode definitions. Thus, we proposed that MS-DRGs 222 through 227 and 273 through 274 not be excluded from AMI (regardless of PCI or AMI MS-DRG-anchor) and CABG episodes, and we are continuing to include these MS-DRGs in those episodes, as well as the other surgical MS-DRGs in MDC 5 that we did not propose to exclude from all AMI and CABG episodes. Based on clinical review, we determined that these readmissions for circulatory system procedures are related services in AMI and CABG episodes, based on our proposed standards for excluding surgical MS-DRGs from the EPMs: Chronic disease surgical diagnoses unrelated to a condition likely to have been affected by care during the EPM episode; and acute disease surgical diagnoses unrelated to a condition resulting from or likely to have been affected by care during the EPM episode. While some commenters stated that these readmissions were not integral to AMI and CABG episodes, that is not the standard we used for determining related readmissions because we are adopting broad episode definitions for the EPMs. While we are not adopting any specific methodologies for identifying and making episode payment adjustments for such planned, related readmissions now except in the case of a CABG readmission during an AMI episode as discussed in section III.D.4.b.(2).(c). of this final rule, we will study this issue in more detail especially as it relates to the cardiac models. Should we determine a change to our policies regarding planned, related readmission could be appropriate, we will make proposals through future rulemaking.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carried out a clinical review of the 241 MS-DRGs recommended by a commenter for addition to the CABG exclusion list, as well as MS-DRG 003 that was recommended for exclusion by another commenter. About three-quarters of the MS-DRGs recommended for exclusion were medical MS-DRGs that did not meet our proposed standards for excluding readmissions based on medical diagnoses, specifically oncology or trauma medical diagnoses. As we first discussed in the CJR Final Rule </w:t>
      </w:r>
      <w:hyperlink r:id="rId21" w:history="1">
        <w:r>
          <w:rPr>
            <w:rFonts w:ascii="arial" w:eastAsia="arial" w:hAnsi="arial" w:cs="arial"/>
            <w:b w:val="0"/>
            <w:i/>
            <w:strike w:val="0"/>
            <w:noProof w:val="0"/>
            <w:color w:val="0077CC"/>
            <w:position w:val="0"/>
            <w:sz w:val="20"/>
            <w:u w:val="single"/>
            <w:vertAlign w:val="baseline"/>
          </w:rPr>
          <w:t>(80 FR 73304)</w:t>
        </w:r>
      </w:hyperlink>
      <w:r>
        <w:rPr>
          <w:rFonts w:ascii="arial" w:eastAsia="arial" w:hAnsi="arial" w:cs="arial"/>
          <w:b w:val="0"/>
          <w:i w:val="0"/>
          <w:strike w:val="0"/>
          <w:noProof w:val="0"/>
          <w:color w:val="000000"/>
          <w:position w:val="0"/>
          <w:sz w:val="20"/>
          <w:u w:val="none"/>
          <w:vertAlign w:val="baseline"/>
        </w:rPr>
        <w:t xml:space="preserve"> and in the EPM proposed rule </w:t>
      </w:r>
      <w:hyperlink r:id="rId9" w:history="1">
        <w:r>
          <w:rPr>
            <w:rFonts w:ascii="arial" w:eastAsia="arial" w:hAnsi="arial" w:cs="arial"/>
            <w:b w:val="0"/>
            <w:i/>
            <w:strike w:val="0"/>
            <w:noProof w:val="0"/>
            <w:color w:val="0077CC"/>
            <w:position w:val="0"/>
            <w:sz w:val="20"/>
            <w:u w:val="single"/>
            <w:vertAlign w:val="baseline"/>
          </w:rPr>
          <w:t>(81 FR 50833),</w:t>
        </w:r>
      </w:hyperlink>
      <w:r>
        <w:rPr>
          <w:rFonts w:ascii="arial" w:eastAsia="arial" w:hAnsi="arial" w:cs="arial"/>
          <w:b w:val="0"/>
          <w:i w:val="0"/>
          <w:strike w:val="0"/>
          <w:noProof w:val="0"/>
          <w:color w:val="000000"/>
          <w:position w:val="0"/>
          <w:sz w:val="20"/>
          <w:u w:val="none"/>
          <w:vertAlign w:val="baseline"/>
        </w:rPr>
        <w:t xml:space="preserve"> we believe all other readmissions for medical MS-DRGs should be included in EPM episodes because these are generally linked to the condition that was the focus of the anchor hospitalization as a complication of that illness, a complication of treatment or interactions with the health care system, or a chronic illness that may have been affected by the course of episode care. The inclusion of most MS-DRGs in EPM episodes should encourage providers to focus on comprehensive care for beneficiaries during episodes. More than half of the surgical MS-DRGs recommended for CABG episode exclusion were in MDC 5 and, with the exception of MS-DRGs 266-267 discussed previously, we will not exclude them from CABG episodes based on the reasons discussed earlier in this response. Of the remaining surgical MS-DRGs spread across 7 MDCs representing different body systems, we will also not exclude any of these MS-DRGs because they do not meet our standards for excluding MS-DRGs from CABG episodes, namely that the readmissions are for chronic disease surgical diagnoses unrelated to a condition likely to have been affected by care during the CABG episode or acute disease surgical diagnoses unrelated to a condition resulting from or likely to have been affected by care during the CABG episode. We believe that our determinations may be different than the commenters' recommendations because our standard for exclusion in broadly defined CABG episodes is much more stringent than the commenters' review of MS-DRGs based on their clinical relevance to CABG.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that CMS add MS-DRGs 469 and 470 for major joint replacement of the lower extremity to the exclusion list for SHFFT episodes, unless the joint replacement was for the joint that </w:t>
      </w:r>
      <w:r>
        <w:rPr>
          <w:rFonts w:ascii="arial" w:eastAsia="arial" w:hAnsi="arial" w:cs="arial"/>
          <w:b/>
          <w:i w:val="0"/>
          <w:strike w:val="0"/>
          <w:noProof w:val="0"/>
          <w:color w:val="000000"/>
          <w:position w:val="0"/>
          <w:sz w:val="20"/>
          <w:u w:val="none"/>
          <w:vertAlign w:val="baseline"/>
        </w:rPr>
        <w:t> [*260] </w:t>
      </w:r>
      <w:r>
        <w:rPr>
          <w:rFonts w:ascii="arial" w:eastAsia="arial" w:hAnsi="arial" w:cs="arial"/>
          <w:b w:val="0"/>
          <w:i w:val="0"/>
          <w:strike w:val="0"/>
          <w:noProof w:val="0"/>
          <w:color w:val="000000"/>
          <w:position w:val="0"/>
          <w:sz w:val="20"/>
          <w:u w:val="none"/>
          <w:vertAlign w:val="baseline"/>
        </w:rPr>
        <w:t xml:space="preserve"> underwent a SHFFT procedure that initiated the SHFFT episode. The application of the exclusion in this way would exclude elective LEJR readmissions from SHFFT episodes. The commenters claimed this approach would avoid outliers and penalizing the orthopedic surgeon for identification and treatment of unmet medical needs while treating a beneficiary following a hip fracture. One commenter stated that these circumstances would be highly variable, particularly in hospitals with small patient volume. They recommended excluding MS-DRGs 469 and 470 from SHFFT episodes so as not to penalize low-volume hospitals who performed costly elective LEJR during SHFFT episodes on an occasional basis.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Based on our proposed methodology to identify excluded readmissions by a list of MS-DRGs, we would have to substantially increase the complexity of our exclusions methodology to identify only a subset of MS-DRG 469 and 470 readmissions for exclusion because they were not related to the joint surgery that initiated the SHFFT episode. We do not believe this additional complexity is necessary because we expect that LEJR replacement of another joint, whether elective or for fracture, would be rare during SHFFT episodes. Most LEJR is elective, rather than for fracture, and given the prolonged partial weight-bearing commonly required for recovery from SHFFT procedures and the general complexity and frailty of many beneficiaries who would be included in SHFFT episodes, we believe that elective LEJR of a joint other than that involved in the initial SHFFT surgery during the 90 days post-discharge from the SHFFT model anchor hospitalization would be exceedingly rare. We would expect that most LEJR procedures during SHFFT episodes would be related because they would involve the joint that had an initial SHFFT procedure.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that CMS exclude Part B services from CABG episodes based on individual ICD-9-CM and ICD-10-CM diagnosis codes, rather than categories as CMS proposed. The commenter claimed that CMS' proposed process would result in over 22,000 ICD-10-CM diagnosis codes that would be classified as included in the CABG episode, thereby resulting in those services being considered as related items and services. The commenter believes that this methodology would result in many of the included services having no clinical relevance to a CABG. The commenter recommended CMS to specify Part B episode exclusions at the ICD-CM code level to ensure that only services that are clinically related to a CABG are included in the episode. The commenter recommended 4,960 specific ICD-9-CM and 18,859 specific ICD-10-CM diagnosis codes be added to the CABG exclusion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recommended that CMS exclude the following ICD-10-CM diagnosis code categories from AMI episodes as they are not integral to AMI treatment: I47 (Paroxysmal tachycardia); I48 (Atrial fibrillation and flutter); and I49 (Other cardiac arrhythmias). The same commenter recommended that CMS exclude ICD-9-CM diagnosis code category 427 (Cardiac dysrhythmias) from AMI episodes.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recommendations from the commenter about additional ICD-9-CM and ICD-10-CM diagnosis code categories to be excluded from AMI episodes. However, with respect to their requested additions to the AMI Part B exclusion list, we believe the four categories of ICD-CM codes recommended for exclusion do not meet our proposed Part B exclusions standards, specifically those services that are for acute disease diagnoses unrelated to a condition resulting from or likely to have been affected by care during the EPM episode or for certain chronic disease diagnoses, depending on whether the condition was likely to have been affected by care during the EPM episode or whether substantial services were likely to be provided for the chronic condition during the EPM episode. The ICD-CM diagnosis code categories describe different types of cardiac arrhythmias, which can result from an AMI, where the arrhythmia would be an acute condition related to the AMI episode, or can be a chronic condition where the management of the arrhythmia would be affected by the AMI treatment. Thus, we do not agree with the commenter that these ICD-CM diagnosis code categories should be excluded from AMI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CABG episodes, another commenter recommended almost 19,000 ICD-10-CM diagnosis codes be added to the CABG exclusion list. The commenter submitted individual codes in 750 ICD-10-CM categories for exclusion, of which there were 563 categories (75%) in which they requested excluding all codes. We note that there are about 71,000 billable ICD-10-CM codes in 1,910 categories, compared to about 15,000 ICD-9-CM codes in 1,042 categories. Due to the large number of diagnosis codes, we believe it would be operationally infeasible and unnecessarily complex to determine excluded Part B services at the individual diagnosis code level. We further believe that the ICD-CM diagnosis code categories are sufficiently narrow and descriptive that they can be appropriately used to determine Part B exclusions without substantial risk of misidentifying services that are unrelated to CABG episodes according to our proposed Part B exclusions standards. We have several years of experience with 48 different BPCI clinical episodes in Model 2, including CABG, which has a similar design to the proposed CABG model. We have encountered no significant concerns from BPCI Awardees or other stakeholders about our BPCI methodology which excludes Part B services based on ICD-CM diagnosis code categories, just as we use in the CJR model and proposed for the CABG model. Therefore, we are continuing to consider changes to the Part B exclusion list for the EPMs based on ICD-CM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perform another clinical review of the 187 categories where the commenter only requested that we exclude some of the individual ICD-10-CM diagnosis codes in the category, because we will continue to exclude ICD-10-CM codes at the category level. CMS clinicians and coding staff reviewed all of the 563 ICD-10-CM diagnosis code categories where the commenter recommended that we exclude all the diagnosis codes in order to make a determination about additional exclusions at the category level. While the commenters claimed that diagnosis codes in these categories had no clinical relevance to CABG, we do not agree that the additional categories where the commenter recommended 100 percent of the ICD-10-CM diagnosis codes for exclusion meet our proposed standards for exclusion. For example, the commenter requested that we exclude the categories K20 (Esophagitis) and I12 (Hypertensive chronic kidney disease) for Part B services from the CABG model episode definition. However, these two ICD-10-CM diagnosis code categories do not meet our proposed standards for the exclusion of Part B services because they include acute disease diagnoses for a condition arising from or likely to have been affected by care during the CABG episode in the case of Esophagitis and chronic disease diagnoses likely to have been affected by care during the CABG episode in the case of Hypertensive chronic kidney disease. The commenter's recommendations were prepared based on a standard of "clinical relevance" to CABG which we believe is too narrow to define related </w:t>
      </w:r>
      <w:r>
        <w:rPr>
          <w:rFonts w:ascii="arial" w:eastAsia="arial" w:hAnsi="arial" w:cs="arial"/>
          <w:b/>
          <w:i w:val="0"/>
          <w:strike w:val="0"/>
          <w:noProof w:val="0"/>
          <w:color w:val="000000"/>
          <w:position w:val="0"/>
          <w:sz w:val="20"/>
          <w:u w:val="none"/>
          <w:vertAlign w:val="baseline"/>
        </w:rPr>
        <w:t> [*261] </w:t>
      </w:r>
      <w:r>
        <w:rPr>
          <w:rFonts w:ascii="arial" w:eastAsia="arial" w:hAnsi="arial" w:cs="arial"/>
          <w:b w:val="0"/>
          <w:i w:val="0"/>
          <w:strike w:val="0"/>
          <w:noProof w:val="0"/>
          <w:color w:val="000000"/>
          <w:position w:val="0"/>
          <w:sz w:val="20"/>
          <w:u w:val="none"/>
          <w:vertAlign w:val="baseline"/>
        </w:rPr>
        <w:t xml:space="preserve"> Part B services for the proposed CABG model which was designed to test comprehensive, coordinated patient-centered care for the beneficiary throughout broadly defined EPM episodes. In our clinical review based on the proposed standards for Part B exclusions, we determined that the 563 ICD-10-CM diagnosis code categories where the commenter recommended that we exclude 100 percent of the diagnosis codes do not meet the standards for exclusion from CABG episodes. Therefore, we are making no changes to the CABG episode ICD-10-CM Part B exclusion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commenter who made recommendations about additional ICD-10-CM diagnosis code exclusions also recommended ICD-9-CM diagnosis codes in 436 ICD-9-CM categories for exclusion, and of those, the commenter recommended that all codes be excluded in 336 (77 percent) of the categories. We did not perform an additional clinical review of the categories where the commenter only requested that we exclude some of the individual ICD-9-CM diagnosis codes in the category, as we will continue to exclude ICD-9-CM codes at the category level. CMS clinicians and coding staff reviewed all of the 100 ICD-9-CM diagnosis categories where the commenter recommended that we exclude all the diagnosis codes in order to make a determination about additional exclusions at the category level. Similar to our findings from our review of the ICD-10-CM diagnosis code categories where all codes were recommended for exclusion, the ICD-9-CM categories with all codes recommended by the commenter for CABG episode exclusion do not meet our proposed exclusion standards for Part B services. For example, the commenter recommended that we exclude all codes in ICD-9-CM diagnosis code category 584 (Acute kidney failure) and 250 (Diabetes mellitus) from CABG episodes. However, these two ICD-9-CM diagnosis code categories do not meet our proposed standards for the exclusion of Part B services because they include acute disease diagnoses for a condition arising from or likely to have been affected by care during the CABG episode in the case of Acute kidney failure and chronic disease diagnoses likely to have been affected by care during the CABG episode in the case of Diabetes mellitus. In our clinical review, we found that none of the 100 ICD-9-CM categories where the commenter recommended that we exclude 100 percent of the diagnosis codes meet our proposed standards for excluding Part B services from CABG episodes, so we are making no changes to the CABG episode ICD-9-CM Part B exclusion list.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stated that their understanding was that emergency transportation of beneficiaries with AMI would be included in AMI episodes. The commenter pointed out that this cost could vary substantially based on the transport mileage and the mode of transport, with air transport being substantially more costly than ground transport. The commenter claimed that the EPM participant where the episode would be initiated has little or no input on the transport method used but would be held accountable for the transportation cost in the AMI episode. The commenter requested that transport of the beneficiary to the AMI model participant where the AMI episode is initiated be excluded because the AMI model participant would have little or no control of that cost.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proposed to include all Part A and Part B items and services in AMI episodes beginning with the admission of the beneficiary for the anchor hospitalization and extending through anchor hospitalization discharge, whereupon the AMI model exclusion list would be applied to Part A and Part B items and services during the 90 days post-discharge to make a determination about their inclusion in the AMI episode definition. With respect to the inclusion of Part B ambulance claims for air or ground transport in the AMI episode definition, we would exclude those services that occurred prior to the hospital admission. If the ambulance transport occurs on the day of initial admission for the anchor hospitalization and has place-of-service code for ambulance on the claim, the claim would not be included in the AMI episode definition, an approach which would be consistent with the specific request of the commenter.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if ambulance transport occurs any other time during the anchor hospitalization, the transportation would be included in the AMI episode definition as we include all Part B services without regard to the Part B exclusion list, except DME to which we apply the Part B exclusion list during the anchor hospitalization as well. Following discharge from the anchor hospitalization, the inclusion or exclusion of ambulance transport in the AMI episode during the 90 day post-discharge would be determined by our proposed methodology for determining exclusion of any Part B items and services based on the principal diagnosis code on the claim and whether that diagnosis code is on the AMI model exclusion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medically appropriate air ambulance transportation is a Medicare-covered service regardless of the state or region in which it is rendered. However, contractors approve claims only if the beneficiary's medical condition is such that transportation by either basic or advanced life support ground ambulance is not appropriate. Medical reasonableness is only established when the beneficiary's condition is such that the time needed to transport a beneficiary by ground, or the instability of transportation by ground, poses a threat to the beneficiary's survival or seriously endangers the beneficiary's health. n59 Thus, the circumstances of covered air transport are limited and, once the AMI episode is initiated, the AMI model participant would have an ongoing role in beneficiary care that would result in the participant's input into the mode of transport should transport be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n59 Medicare Benefit Policy Manual, Chapter 10--Ambulance Services, 10.4 and 10.4.2.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that CMS include the costs of pre-operative home visits in EPM episodes, including services to discuss goals of care and advance care planning services. Another commenter requested that CMS account for preventive services in the EPMs, although they acknowledged the associated challenges in benchmarking target prices based on historical claims data. One commenter suggested that CMS include the proposed HCPCS G-codes for the Collaborative Care model such that screening and follow-up would be included in the payment structure for each EPM, while another commenter recommended CMS to make resources for care coordination strategies available to support advancing care coordination through appropriate pre-discharge planning and post-discharge follow up. The commenter observed that the majority of opportunities to advance care coordination and improve patient outcomes are in decreasing hospital length of stay to only what is necessary for appropriate treatment, preventing unnecessary readmissions, and controlling post-acute care costs. The commenter stated that opportunities to improve care coordination include strong pre-discharge planning activities; prevention of unnecessary patient visits to the emergency department through early recognition of decompensation; increasing appropriate referral to cardiac rehabilitation services; and </w:t>
      </w:r>
      <w:r>
        <w:rPr>
          <w:rFonts w:ascii="arial" w:eastAsia="arial" w:hAnsi="arial" w:cs="arial"/>
          <w:b/>
          <w:i w:val="0"/>
          <w:strike w:val="0"/>
          <w:noProof w:val="0"/>
          <w:color w:val="000000"/>
          <w:position w:val="0"/>
          <w:sz w:val="20"/>
          <w:u w:val="none"/>
          <w:vertAlign w:val="baseline"/>
        </w:rPr>
        <w:t> [*262] </w:t>
      </w:r>
      <w:r>
        <w:rPr>
          <w:rFonts w:ascii="arial" w:eastAsia="arial" w:hAnsi="arial" w:cs="arial"/>
          <w:b w:val="0"/>
          <w:i w:val="0"/>
          <w:strike w:val="0"/>
          <w:noProof w:val="0"/>
          <w:color w:val="000000"/>
          <w:position w:val="0"/>
          <w:sz w:val="20"/>
          <w:u w:val="none"/>
          <w:vertAlign w:val="baseline"/>
        </w:rPr>
        <w:t xml:space="preserve"> effective patient and family education. The commenter claimed that ensuring the social and environmental components are in place prior to discharge is critical and that communication of the most appropriate post-acute care facilities to not only the patients, but to their families and caregivers, can be essential to a patient's recovery.</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only items and services that are included in EPM episode definitions are those that are separately paid by Medicare under Part A or Part B. We established EPM episode definitions in order to add Medicare payments for items and services included in the EPM episode definitions into EPM-episode benchmark prices based on historical EPM episodes and into the calculation of actual EPM-episode spending. In addition, we proposed that EPM episodes begin with the anchor hospitalization. Therefore, for the same reasons as discussed in the CJR Final Rule </w:t>
      </w:r>
      <w:hyperlink r:id="rId39" w:history="1">
        <w:r>
          <w:rPr>
            <w:rFonts w:ascii="arial" w:eastAsia="arial" w:hAnsi="arial" w:cs="arial"/>
            <w:b w:val="0"/>
            <w:i/>
            <w:strike w:val="0"/>
            <w:noProof w:val="0"/>
            <w:color w:val="0077CC"/>
            <w:position w:val="0"/>
            <w:sz w:val="20"/>
            <w:u w:val="single"/>
            <w:vertAlign w:val="baseline"/>
          </w:rPr>
          <w:t>(81 FR 73316</w:t>
        </w:r>
      </w:hyperlink>
      <w:r>
        <w:rPr>
          <w:rFonts w:ascii="arial" w:eastAsia="arial" w:hAnsi="arial" w:cs="arial"/>
          <w:b w:val="0"/>
          <w:i w:val="0"/>
          <w:strike w:val="0"/>
          <w:noProof w:val="0"/>
          <w:color w:val="000000"/>
          <w:position w:val="0"/>
          <w:sz w:val="20"/>
          <w:u w:val="none"/>
          <w:vertAlign w:val="baseline"/>
        </w:rPr>
        <w:t xml:space="preserve"> through 73317) regarding LEJR episodes, we would not include any pre-operative home visits that could be separately paid by Medicare in the EPM episode definitions because they would precede the initiation of the episode which begins with admission to the hospital and discharge from an MS-DRG that is included in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including preventive services and potential new HCPCS G-codes for Part B services in the Collaborative Care model in the EPM episode definitions, we note that according to our standard methodology for identifying excluded Part B services under the EPMs, specific Part B services would be included in both historical EPM episodes and actual EPM episodes to the extent that the ICD-9-CM or ICD-10-CM diagnosis code on the claim for the preventive service or HCPCS G-code for Part B services in the Collaborative Care model is related to the EPM episode and, therefore, not on the EPM episode exclusion list. With regard to CMS making specific financial resources available to EPM participants for pre-discharge planning, post-discharge follow-up, or other care coordination activities, EPM participants would need to develop their own strategies and use their own resources for these activities, as well as engage with EPM collaborators, to redesign care to achieve good quality and cost performance under the EPMs. CMS will not provide additional payments under the EPMs specifically for these types of planning and follow-up activities. However, EPM participants who achieve acceptable episode quality or better and reduce actual EPM-episode spending below the quality-adjusted price are eligible for payment of the difference through a reconciliation payment, which can support the resources used by EPM participants and collaborators in redesigning care to achieve model success.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commended CMS for proposing to exclude IPPS new technology add-on payments for drugs, technologies, and services from EPM episodes, as well as OPPS transitional pass-through payments for medical devices. They believe that these proposals would ensure EPM beneficiaries/access to valuable new drugs, technologies, services, and devices. The commenters recommended CMS to go further and exclude additional innovative technologies from EPM episodes by establishing a review process to determine whether their costs should be excluded from EPM-episode benchmark prices and actual EPM-episode spending. The commenters reasoned that this new review process would allow manufacturers to identify high-cost breakthrough technologies and treatments that offer clinical improvements for all or certain types of patients or offer significant therapeutic advances for new populations or conditions. The commenters recommended that CMS utilize the same processes as those used to determine eligibility for IPPS new technology add-on payments but without regard to the statutory or regulatory policies that apply only to new technology approvals. They further suggested that CMS also allow individual EPM participants to request an EPM payment adjustment if they adopt breakthrough treatment in advance of other hospitals, as well as manufacturers and developers to request the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CMS to consider other innovative capital investments for an EPM episode payment adjustment and to provide payment for new technologies at 100 percent of their cost, not 50 percent as under current CMS programs for payment of new technologies. Finally, another commenter suggested that CMS should provide a financial incentive to EPM participants to use technologies that are shown to improve patient outcomes and reduce cost within 12 to 24 months.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of the commenters for our proposals regarding the exclusion of new technology payments from EPM episodes and agree that EPM beneficiaries should have access to beneficial new technologies while they are in EPM episodes. We do not believe it would be appropriate for the EPMs to potentially hamper beneficiaries' access to new technologies that are receiving IPPS new technology add-on payments or OPPS transitional pass-through payments or to burden EPM participants who choose to use these new drugs, technologies, services, or devices with concerns about these payments counting toward actual EPM-episode spending.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for the same reasons that were discussed previously in the CJR Final Rule </w:t>
      </w:r>
      <w:hyperlink r:id="rId21" w:history="1">
        <w:r>
          <w:rPr>
            <w:rFonts w:ascii="arial" w:eastAsia="arial" w:hAnsi="arial" w:cs="arial"/>
            <w:b w:val="0"/>
            <w:i/>
            <w:strike w:val="0"/>
            <w:noProof w:val="0"/>
            <w:color w:val="0077CC"/>
            <w:position w:val="0"/>
            <w:sz w:val="20"/>
            <w:u w:val="single"/>
            <w:vertAlign w:val="baseline"/>
          </w:rPr>
          <w:t>(80 FR 73308)</w:t>
        </w:r>
      </w:hyperlink>
      <w:r>
        <w:rPr>
          <w:rFonts w:ascii="arial" w:eastAsia="arial" w:hAnsi="arial" w:cs="arial"/>
          <w:b w:val="0"/>
          <w:i w:val="0"/>
          <w:strike w:val="0"/>
          <w:noProof w:val="0"/>
          <w:color w:val="000000"/>
          <w:position w:val="0"/>
          <w:sz w:val="20"/>
          <w:u w:val="none"/>
          <w:vertAlign w:val="baseline"/>
        </w:rPr>
        <w:t xml:space="preserve"> regarding LEJR episodes, we will not establish a new process to review innovative technologies or different technologies that would be ineligible for a payment adjustment under the Medicare program and make individual determinations regarding their exclusion from the EPM episode definitions, as recommended by some commenters. Because the EPMs are retrospective reconciliation models that pay all providers and suppliers under the regular Medicare program throughout the episode of care, we believe it is more appropriate to rely on the existing processes under the Medicare program to make determinations about separate payment for new technology items and services. If those existing processes identify new technologies that would qualify for add-on payments under the IPPS or transitional pass-through payments under the OPPS, we will exclude them from the EPM episode definitions as we proposed, to ensure that beneficiaries' access to new technology items and services is not influenced by their care being included in the EPMs. Similarly, under these retrospective EPMs, we will not provide additional payments for new technologies beyond those that are paid under the Medicare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do not believe it would be appropriate under the EPMs to provide financial incentives to EPM participants to use specific technologies that improve beneficiary outcomes and reduce cost over any specific period of time. We understand that because the EPMs would extend 90 days post-discharge from the anchor hospitalization, the EPMs specifically incentivize the use of technologies and provision of services that improve quality and reduce cost within the limited episode timeframe for which the EPM participant is responsible for episode quality and cost performance. However, we believe that EPM participants, treating physicians, and other EPM collaborators are best positioned to select technologies and furnish services that improve the quality of care and reduce cost for EPM beneficiaries and expect that their </w:t>
      </w:r>
      <w:r>
        <w:rPr>
          <w:rFonts w:ascii="arial" w:eastAsia="arial" w:hAnsi="arial" w:cs="arial"/>
          <w:b/>
          <w:i w:val="0"/>
          <w:strike w:val="0"/>
          <w:noProof w:val="0"/>
          <w:color w:val="000000"/>
          <w:position w:val="0"/>
          <w:sz w:val="20"/>
          <w:u w:val="none"/>
          <w:vertAlign w:val="baseline"/>
        </w:rPr>
        <w:t> [*263] </w:t>
      </w:r>
      <w:r>
        <w:rPr>
          <w:rFonts w:ascii="arial" w:eastAsia="arial" w:hAnsi="arial" w:cs="arial"/>
          <w:b w:val="0"/>
          <w:i w:val="0"/>
          <w:strike w:val="0"/>
          <w:noProof w:val="0"/>
          <w:color w:val="000000"/>
          <w:position w:val="0"/>
          <w:sz w:val="20"/>
          <w:u w:val="none"/>
          <w:vertAlign w:val="baseline"/>
        </w:rPr>
        <w:t xml:space="preserve"> decisions factor in the long-term interests of beneficiaries as well.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stated that there was significant evidence demonstrating that the use of more expensive drug-eluting stents (DES) results in better long-term outcomes in many patients and fewer repeat procedures for in-stent restenosis. The commenter added that long-term benefit for patients (avoiding the risk, inconvenience and cost of secondary procedures) and to Medicare (via fewer repeat procedures in the long term) would not be fully captured in an episode extending 90 days post hospital discharge, but the full additional costs of DESs would be. The commenter recommended CMS take steps to ensure that the financial models used for the EPMs do not discourage the appropriate use of DES. The commenter claimed that if the AMI model results in fewer beneficiaries receiving DES, long-term outcomes may deteriorate and overall costs may grow.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in section III.C.4.a.(2) of this final rule, we would initiate AMI episodes from PCI MS-DRGs (246-251) with an AMI ICD-CM diagnosis code in the principal or a secondary position on the claim for the anchor hospitalization. Medicare payment for coronary stents, whether bare metal or DES, used during a PCI performed during a hospitalization are included in the IPPS payment for the inpatient hospitalization. While they are not paid separately by Medicare, payment for the required resources would be included in AMI episodes because the IPPS services for the anchor hospitalization are included in the episodes. We proposed to risk-stratify EPM-episode prices based on MS-DRG as discussed in section III.D.4.b.(1) of this final rule and there are separate MS-DRGs for PCIs that use DES (246 and 247) and non-DES (248 and 249) for which there would be separate AMI episode prices. Therefore, we do not believe that the financial incentives under the AMI model encourage the use of any specific coronary stent because the episode prices take into consideration the IPPS payment for the specific MS-DRG that applies to the AMI model beneficiary. We do not expect the AMI model to discourage the appropriate use of 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pointed out that Arkansas and Tennessee have bundled payment programs that include CABG episodes, and their efforts to implement bundled payments include state Medicaid and commercial health plans. The commenters stated that in Arkansas, the episode definition is consistent, specifically naming the duration, responsible entity, and the included services and conditions, across all participating payers. If MSAs from Arkansas or Tennessee are selected for the AMI and CABG models, the commenters recommended that CMS should align the CABG episode definition with that of the state Medicaid plan. The commenters stated that this approach to episode definition would decrease the complexity and cost to providers in those states and reduce overlapping, independent efforts at care redesign that both hospitals and cardiac surgery groups would be simultaneously undertaking, potentially independently. The commenters added that this would also allow CMS to experiment with different episode definitions than those under the BPCI initiative and CJR model and proposed for the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drawing our attention to the states that are currently engaged in testing bundled payment models. We are encouraged that several states have identified clinical conditions that overlap with those proposed in the EPMs for testing bundled payment models, specifically CABG and PCI in the context of acute AMI (acute PCI). The choice of these states to test bundled payment models for some of the same clinical conditions that are included the EPMs provides additional support for the opportunities under our proposal of these models for Medicare beneficiaries. Specifically, Arkansas and Tennessee are testing CABG bundled payment models which are similar to the CMS CABG model, while Ohio and Tennessee are testing acute PCI bundled payment models that are similar to the subset of beneficiaries in the CMS AMI model discharged from PCI MS-DRGs with an AMI ICD-CM diagnosis code on the hospital claim. As displayed in section III.B.5 of this final rule, MSAs in Arkansas, Tennessee, and Ohio have been selected for participation in the CMS AMI and CABG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and CMS models for acute PCI and CABG episodes have similar design features. First, the responsible entity for CABG episodes is the hospital in Tennessee (the physician in Arkansas) like the CMS model and for acute PCI episodes in both states it is the facility where the PCI is performed, which would most commonly be the hospital for an acute procedure as in the CMS model where the hospital is responsible. Second, both the state and CMS models begin with the inpatient hospitalization (or with performance of the procedure), although the state model episodes extend 30 days following discharge, whereas the CMS model episodes extend 90 days. We note that for CMS CABG episodes, 92 percent of episode spending occurs during the anchor hospitalization and the 30 days post-discharge, while 84 percent of acute PCI episode spending occurs during that same period of time. n60 Thus, despite the differences in episode duration between the state and CMS models, the large majority of episode spending occurs in the first 30 days post-discharge so the state and CMS models contain most of the same episode spending. Third, the state and CMS models include most services furnished in the episode post-discharge from the anchor hospitalization, although the state models are not quite as inclusive. Fourth, episode payments are tied to quality measures in both the state and CMS models. Finally, both the state and CMS models included two-sided risk and risk adjustment (or risk stratification) based on payer-specific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 Episodes for AMI and CABG beneficiaries initiated by all U.S. IPPS hospitals not in Maryland and constructed using standardized Medicare FFS Parts A and B claims, as proposed in the proposed rule, that began in CY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the state and CMS CABG and acute PCI models support the implementation and testing of bundled payment models for these costly episodes that significantly impact the health of individuals with cardiac disease. While it is operationally infeasible for CMS to apply the different definitions used by state Medicaid agencies in different states testing episode payment in an EPM of the scope of the CMS CABG and AMI models, the state and CMS models that included CABG and acute PCI are sufficiently similar and clinical pathways around CABG and acute PCI care reasonably well-established such that we believe coordination among the various providers, including hospitals and physicians, caring for all beneficiaries in CABG and acute PCI episodes, regardless of payer, should not pose a significant burden on the providers involved. Although the CMS CABG model places the responsibility for the episode upon the hospital, like the Tennessee CABG model, the financial arrangements that are permissible for individuals and entities that collaborate with the hospital toward the goal of improved quality and efficiency of CABG episode care as discussed in section III.I. of this final rule provide participant hospitals with substantial opportunity to share upside and downside risk with their collaborators, including physicians that might be leading CABG bundled payment efforts </w:t>
      </w:r>
      <w:r>
        <w:rPr>
          <w:rFonts w:ascii="arial" w:eastAsia="arial" w:hAnsi="arial" w:cs="arial"/>
          <w:b/>
          <w:i w:val="0"/>
          <w:strike w:val="0"/>
          <w:noProof w:val="0"/>
          <w:color w:val="000000"/>
          <w:position w:val="0"/>
          <w:sz w:val="20"/>
          <w:u w:val="none"/>
          <w:vertAlign w:val="baseline"/>
        </w:rPr>
        <w:t> [*264] </w:t>
      </w:r>
      <w:r>
        <w:rPr>
          <w:rFonts w:ascii="arial" w:eastAsia="arial" w:hAnsi="arial" w:cs="arial"/>
          <w:b w:val="0"/>
          <w:i w:val="0"/>
          <w:strike w:val="0"/>
          <w:noProof w:val="0"/>
          <w:color w:val="000000"/>
          <w:position w:val="0"/>
          <w:sz w:val="20"/>
          <w:u w:val="none"/>
          <w:vertAlign w:val="baseline"/>
        </w:rPr>
        <w:t xml:space="preserve"> in Arkansas. The financial arrangement policies under the CMS CABG model should help to minimize the occurrence of independent, potentially overlapping efforts of hospitals and physician groups to redesign care for CABG patients covered by different insurers. We believe that the state and CMS bundled payment models for overlapping clinical conditions are complementary efforts that will provide substantial new information about the effects of bundled payments on the quality and cost of care for CABG and acute PCI. While we understand that implementation of the EPMs will result in testing CABG and acute PCI episodes with minor differences in design for beneficiaries of Medicare versus Medicaid and other commercial payers in MSAs selected for the AMI and CABG models in Arkansas, Tennessee, and Ohio, these differences are unlikely to affect the episode care redesign strategies of the responsible hospitals under the CMS and state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While a number of commenters supported the proposal to update the EPM excluded services through the proposed sub-regulatory process to provide for flexibility and timeliness in adding exclusions to EPM episodes, several commenters opposed CMS' proposal to make changes to EPM episode exclusions through an annual, at a minimum, update outside of rulemaking. The commenters encouraged CMS to use notice and comment rulemaking to evaluate and exclude additional services from EPM episodes. The commenters stated that because participation in the EPMs is required in selected geographic areas and, therefore, the EPMs affect a large number of hospitals and providers, it is important that CMS implement the process to update services to be excluded from these episodes through notice and comment rulemaking, so that provider feedback throughout the course of EPM implementation is reflected in CMS' decisions. They added that hospitals of different sizes, geographic locations, organizational capabilities, and socio-economic factors all have unique preferences, and their ideas and opinions should be accounted for when CMS makes changes to the list of conditions and services to be included and/or excluded from the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recommended CMS to continue to evaluate the list of services to be excluded from EPM episodes. They encouraged CMS to consider excluding a variety of additional services, including hospital readmissions planned for the beneficiary prior to the anchor hospitalization for consistency with other CMS policies such as the treatment of planned readmissions under the HRRP; ongoing care for beneficiaries' chronic conditions for which management is outside the scope of the EPMs and their exclusion could confound the EPM test of optimizing quality and costs for certain episodes; and post-acute care following excluded readmissions where little is known about the causal relationship between the hospital readmission and subsequent post-acute care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of the commenters in ensuring that future changes to the EPM episode definitions involve a transparent process with opportunity for broad stakeholder input. We have some experience with a similar sub-regulatory update process for the CJR model for both the list of excluded services and the fracture ICD-10-CM diagnosis codes that are used to identify episodes for fracture risk-stratification. We used this process after publication of the CJR Final Rule and again more recently to update the CJR model exclusion list for changes to the FY 2017 IPPS MS-DRGs and ICD-10-CM diagnosis codes. We have received significant public input through those processes, which has allowed us to consider and incorporate, as appropriate based on the regulatory review standards for the processes, stakeholder input and in turn communicate timely final updates to the exclusions and fracture lists to CJR participant hospitals. We have not heard any concerns about the sub-regulatory update processes as we have applied them during CJR model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concluded for the CJR model, we continue to believe that updating the exclusions annually, at a minimum, is most appropriate for the 5-year EPMs, and allowing more frequent updates than through rulemaking as necessary to accommodate timely ICD-10-CM annual coding changes and annual IPPS MS-DRG changes, as well as to address significant issues raised by EPM participants and other stakeholders or by CMS as we continue to evaluate the list of excluded services for the EPM episodes. We will explore the additional areas recommended by the commenters and others that may arise during EPM implementation, and we will utilize the exclusion list update process to suggest any future changes based on our additional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who supported an exclusion list update process outside of rulemaking did not suggest specific revisions to the proposed standards for updating the EPM episode exclusions, namely:</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would not exclude the following items or services that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Directly related to the EPM episode or the quality or safety of the EPM episode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chronic conditions that may be affected by the EPM episode care.</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would exclude the following items and services that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chronic conditions not generally affected by the EPM episode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acute clinical conditions, not arising from existing EPM episode-related chronic clinical conditions or complications of EPM episode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we continue to believe these standards provide the appropriate clinical review framework for updates to the EPM exclusion list. Finally, we believe that our proposed process to post the potential revised exclusions, which could include additions to or deletions from the exclusion list, to the CMS Web site to allow for public input on our planned application of these standards, and then adopt changes to the exclusion list with posting to the CMS Web site of the final revised exclusion list after our consideration of the public input is consistent with the recommendation of commenters that we use a transparent process reflective of broad opportunity for public input, including implementation experience with the EPMs. Conducting this update process outside of rulemaking based on the standards set forth in this final rule allows us the greatest flexibility to update the exclusions as changes to the MS-DRGs and ICD-10-CM diagnosis codes, upon which our exclusions rely, are released. This process also allows us to respond quickly to any episode definition issues that arise during implementation of the EPMs across the broad array of EPM participants in the selected MSAs, as well as consider any new analysis conducted by CMS or stakeholders about the relationship among items and services to the EPM episodes that might result in a different assessment of the inclusion or exclusion of existing MS-DRGs or ICD-10-CM diagnosis codes in the definition of EPM episodes. We would widely publicize the opportunity for review and public input through the CMS Web site and listservs. We also note that any changes to our overall approach to identifying excluded items and services or to our standards for evaluating items and services for exclusion would be address through future rulemaking. Therefore, we are finalizing our proposal to update the exclusion list annually, at a minimum, using the standards and process as described. </w:t>
      </w:r>
      <w:r>
        <w:rPr>
          <w:rFonts w:ascii="arial" w:eastAsia="arial" w:hAnsi="arial" w:cs="arial"/>
          <w:b/>
          <w:i w:val="0"/>
          <w:strike w:val="0"/>
          <w:noProof w:val="0"/>
          <w:color w:val="000000"/>
          <w:position w:val="0"/>
          <w:sz w:val="20"/>
          <w:u w:val="none"/>
          <w:vertAlign w:val="baseline"/>
        </w:rPr>
        <w:t> [*265]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512.210(a), without modification, to identify related items and services for EPM episodes as the following items and services paid under Medicare Part A and Part B, after the EPM-specific exclusions are applied:</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Physicians' services.</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hospital services.</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IPF services.</w:t>
      </w: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LTCH services.</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IRF services.</w:t>
      </w:r>
    </w:p>
    <w:p>
      <w:pPr>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SNF services.</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HHA services.</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outpatient services.</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Independent outpatient therapy services.</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Clinical laboratory services.</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Durable medical equipment.</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 B drugs.</w:t>
      </w:r>
    </w:p>
    <w:p>
      <w:pPr>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finalizing the proposals, without modification, to use the following standards to exclude items and services from EPM episodes:</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readmissions for MS-DRGs that group to the following categories of diagnoses: Oncology; trauma medical admissions; surgery for chronic conditions unrelated to a condition likely to have been affected by care furnished during the EPM episode; and surgery for acute conditions unrelated to a condition resulting from or likely to have been affected by care during the EPM episode.</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 B items and services for acute disease diagnoses unrelated to a condition resulting from or likely to have been affected by care during the EPM episode, and certain chronic disease diagnoses, as specified by CMS on a diagnosis-by-diagnosis basis, depending on whether the condition was likely to have been affected by care during the EPM episode or whether substantial services were likely to be provided for the chronic condition during the EPM episode.</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Drugs that are paid outside of the MS-DRGs included in the EPM episode definitions, specifically hemophilia clotting factors.</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IPPS new technology add-on payments for drugs, technologies, and services.</w:t>
      </w:r>
    </w:p>
    <w:p>
      <w:pPr>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OPPS transitional pass-through payments for medical devices.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finalizing the proposals in § 512.210(b) to exclude from EPM episodes specific readmissions, Part B-covered items and services with specific ICD-9-CM or ICD-10-CM diagnosis codes in the principal position on claims for items and services during the 90 days post-discharge from the anchor hospitalization, and additionally Part-B covered DME with specific ICD-9-CM or ICD-10-CM diagnosis codes in the principal position on claims during the anchor hospitalization, with modification to place MS-DRGs 326-328 on the AMI MS-DRG-anchored AMI exclusion list and MS-DRGs 266-267 on the AMI MS-DRG-anchored AMI exclusion list and the CABG exclusion list. As discussed in section III.C.4.a.(5) of this final rule, we are not finalizing our proposed AMI model inpatient-to-inpatient transfer episode initiation and attribution policy so we will not use the terms chained anchor hospitalization and price MS-DRG in the final AMI episode definition and pricing policies. Therefore, the applicable EPM exclusion list is applied to the EPM episode on the basis of the MS-DRG that anchors the EPM episode. The final EPM exclusion lists based on ICD-9-CM and ICD-10-CM diagnosis codes and MS-DRGs as of FY 2016 are posted on the CMS Web site at </w:t>
      </w:r>
      <w:hyperlink r:id="rId36" w:history="1">
        <w:r>
          <w:rPr>
            <w:rFonts w:ascii="arial" w:eastAsia="arial" w:hAnsi="arial" w:cs="arial"/>
            <w:b w:val="0"/>
            <w:i/>
            <w:strike w:val="0"/>
            <w:noProof w:val="0"/>
            <w:color w:val="0077CC"/>
            <w:position w:val="0"/>
            <w:sz w:val="20"/>
            <w:u w:val="single"/>
            <w:vertAlign w:val="baseline"/>
          </w:rPr>
          <w:t>https://innovation.cms.gov/initiatives/epm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we are finalizing our proposals in § 512.210(c) to update the exclusion lists by sub-regulatory guidance on an annual basis, at a minimum, to reflect annual changes to ICD-10-CM coding and annual changes to the MS-DRGs under the IPPS, as well as to address any other issues that are brought to our attention throughout the course of the EPMs, without modification. The standards for this updating process are:</w:t>
      </w:r>
    </w:p>
    <w:p>
      <w:pPr>
        <w:keepNext w:val="0"/>
        <w:numPr>
          <w:numId w:val="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any items or services that are directly related to the EPM episode diagnosis or procedure (for example, a subsequent admission for heart failure or repeat revascularization) or the quality or safety of care (for example, sternal wound infection following CABG);</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items or services for chronic conditions that may be affected by the EPM diagnosis or procedure and the post-discharge care (for example, diabetes);</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Exclude items and services for chronic conditions that are generally not affected by the EPM diagnosis or procedure and the post-discharge care (for example, prostate removal for cancer); and</w:t>
      </w:r>
    </w:p>
    <w:p>
      <w:pPr>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Exclude items and services for acute clinical conditions not arising from existing EPM episode-related chronic clinical conditions or complications from the EPM episode (for example, appendectomy).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potential revised exclusions, which could include additions to or deletions from the exclusion lists, will be posted to the CMS Web site to allow for public input. After receiving and reviewing public input on potential revised exclusions, we will post the final revised exclusion lists, including providing information to the public about when the revisions would take effect and to which episodes they would apply.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publication of this final rule, we are initiating the sub-regulatory update process to incorporate changes to the MS-DRGs and ICD-10-CM diagnosis codes for 2017 into the EPMs by posting potential changes to the exclusion lists for the EPMs. We did not consider the 2017 changes in the EPM proposed rule, because the final MS-DRGs and ICD-10-CM codes were not yet available when the proposed rule was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August 2, 2016. There are no MS-DRG changes for FY 2017 that resulted in our suggesting potential changes to the exclusion lists for the EPMs. We are suggesting potential modifications to the principal ICD-10-CM diagnosis code categories for excluded Part B services in the AMI, CABG, and SHFFT models as of July 1, 2017, based on new ICD-10-CM diagnosis code categories for FY 2017 and clinical review of existing ICD-10-CM diagnosis code categories to which new ICD-10-CM diagnosis codes have been added for FY 2017. The potential modifications to the exclusion list for each EPM are posted on the CMS Web site at </w:t>
      </w:r>
      <w:hyperlink r:id="rId36" w:history="1">
        <w:r>
          <w:rPr>
            <w:rFonts w:ascii="arial" w:eastAsia="arial" w:hAnsi="arial" w:cs="arial"/>
            <w:b w:val="0"/>
            <w:i/>
            <w:strike w:val="0"/>
            <w:noProof w:val="0"/>
            <w:color w:val="0077CC"/>
            <w:position w:val="0"/>
            <w:sz w:val="20"/>
            <w:u w:val="single"/>
            <w:vertAlign w:val="baseline"/>
          </w:rPr>
          <w:t>https://innovation.cms.gov/initiatives/epm</w:t>
        </w:r>
      </w:hyperlink>
      <w:r>
        <w:rPr>
          <w:rFonts w:ascii="arial" w:eastAsia="arial" w:hAnsi="arial" w:cs="arial"/>
          <w:b w:val="0"/>
          <w:i w:val="0"/>
          <w:strike w:val="0"/>
          <w:noProof w:val="0"/>
          <w:color w:val="000000"/>
          <w:position w:val="0"/>
          <w:sz w:val="20"/>
          <w:u w:val="none"/>
          <w:vertAlign w:val="baseline"/>
        </w:rPr>
        <w:t xml:space="preserve">. We request that public input on the potential modifications be sent to </w:t>
      </w:r>
      <w:hyperlink r:id="rId28" w:history="1">
        <w:r>
          <w:rPr>
            <w:rFonts w:ascii="arial" w:eastAsia="arial" w:hAnsi="arial" w:cs="arial"/>
            <w:b w:val="0"/>
            <w:i/>
            <w:strike w:val="0"/>
            <w:noProof w:val="0"/>
            <w:color w:val="0077CC"/>
            <w:position w:val="0"/>
            <w:sz w:val="20"/>
            <w:u w:val="single"/>
            <w:vertAlign w:val="baseline"/>
          </w:rPr>
          <w:t>epm@cms.hhs.gov</w:t>
        </w:r>
      </w:hyperlink>
      <w:r>
        <w:rPr>
          <w:rFonts w:ascii="arial" w:eastAsia="arial" w:hAnsi="arial" w:cs="arial"/>
          <w:b w:val="0"/>
          <w:i w:val="0"/>
          <w:strike w:val="0"/>
          <w:noProof w:val="0"/>
          <w:color w:val="000000"/>
          <w:position w:val="0"/>
          <w:sz w:val="20"/>
          <w:u w:val="none"/>
          <w:vertAlign w:val="baseline"/>
        </w:rPr>
        <w:t xml:space="preserve"> by 11:59 p.m. on Friday, January 27, 2017. After receiving and reviewing public input on potential revised exclusions, we will post the final revised exclusions by February 24, 2017, including providing information to the public about when the revisions will take effect and to which episodes they would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Beneficiary Care Inclusion Criteria and Beginning of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General Beneficiary Care Inclusion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of the clinical variability leading up to these EPM episodes and the challenge of identifying unrelated services given the multiple chronic conditions experienced by many EPM beneficiaries, we proposed to follow the CJR model precedent and not begin an EPM episode prior to the anchor hospitalization </w:t>
      </w:r>
      <w:hyperlink r:id="rId21" w:history="1">
        <w:r>
          <w:rPr>
            <w:rFonts w:ascii="arial" w:eastAsia="arial" w:hAnsi="arial" w:cs="arial"/>
            <w:b w:val="0"/>
            <w:i/>
            <w:strike w:val="0"/>
            <w:noProof w:val="0"/>
            <w:color w:val="0077CC"/>
            <w:position w:val="0"/>
            <w:sz w:val="20"/>
            <w:u w:val="single"/>
            <w:vertAlign w:val="baseline"/>
          </w:rPr>
          <w:t>(80 FR 73315 and 73318).</w:t>
        </w:r>
      </w:hyperlink>
      <w:r>
        <w:rPr>
          <w:rFonts w:ascii="arial" w:eastAsia="arial" w:hAnsi="arial" w:cs="arial"/>
          <w:b w:val="0"/>
          <w:i w:val="0"/>
          <w:strike w:val="0"/>
          <w:noProof w:val="0"/>
          <w:color w:val="000000"/>
          <w:position w:val="0"/>
          <w:sz w:val="20"/>
          <w:u w:val="none"/>
          <w:vertAlign w:val="baseline"/>
        </w:rPr>
        <w:t xml:space="preserve"> We proposed that all services that were already included in the IPPS payment based on established Medicare policies (for example, 3-day payment window payment policies) would be included in these EPM episodes, and that the defined population of Medicare beneficiaries whose care would be included in the EPMs would meet all of </w:t>
      </w:r>
      <w:r>
        <w:rPr>
          <w:rFonts w:ascii="arial" w:eastAsia="arial" w:hAnsi="arial" w:cs="arial"/>
          <w:b/>
          <w:i w:val="0"/>
          <w:strike w:val="0"/>
          <w:noProof w:val="0"/>
          <w:color w:val="000000"/>
          <w:position w:val="0"/>
          <w:sz w:val="20"/>
          <w:u w:val="none"/>
          <w:vertAlign w:val="baseline"/>
        </w:rPr>
        <w:t> [*266] </w:t>
      </w:r>
      <w:r>
        <w:rPr>
          <w:rFonts w:ascii="arial" w:eastAsia="arial" w:hAnsi="arial" w:cs="arial"/>
          <w:b w:val="0"/>
          <w:i w:val="0"/>
          <w:strike w:val="0"/>
          <w:noProof w:val="0"/>
          <w:color w:val="000000"/>
          <w:position w:val="0"/>
          <w:sz w:val="20"/>
          <w:u w:val="none"/>
          <w:vertAlign w:val="baseline"/>
        </w:rPr>
        <w:t xml:space="preserve"> the following criteria on admission to the anchor or chained anchor hospitalization:</w:t>
      </w: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Part A and Part B.</w:t>
      </w:r>
    </w:p>
    <w:p>
      <w:pPr>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Eligible for Medicare not on the basis of end-stage renal disease.</w:t>
      </w:r>
    </w:p>
    <w:p>
      <w:pPr>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enrolled in any managed care plan (for example, Medicare Advantage, Health Care Prepayment Plans, cost-based health maintenance organizations).</w:t>
      </w:r>
    </w:p>
    <w:p>
      <w:pPr>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covered under a United Mine Workers of America health plan, which provides health care benefits for retired mine workers.</w:t>
      </w:r>
    </w:p>
    <w:p>
      <w:pPr>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Medicare as their primary payer.</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aligned to an ACO in the Next Generation ACO model or an ACO in a track of the Comprehensive ESRD Care Initiative incorporating downside risk for financial losses.</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under the care of an attending or operating physician, as designated on the inpatient hospital claim, who is a member of a physician group practice that initiates BPCI Model 2 episodes at the EPM participant for the MS-DRG that would be the anchor MS-DRG under the EPM.</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already in any BPCI model episode.</w:t>
      </w:r>
    </w:p>
    <w:p>
      <w:pPr>
        <w:keepNext w:val="0"/>
        <w:numPr>
          <w:numId w:val="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already in an AMI, SHFFT, CABG or CJR model episode with an episode definition that does not exclude the MS-DRG that would be the anchor MS-DRG under the applicable EPM.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 discussion of our proposal to exclude certain ACO-assigned beneficiaries from EPM episodes, we refer to section III.D.6.c.(3) of the proposed rule </w:t>
      </w:r>
      <w:hyperlink r:id="rId9" w:history="1">
        <w:r>
          <w:rPr>
            <w:rFonts w:ascii="arial" w:eastAsia="arial" w:hAnsi="arial" w:cs="arial"/>
            <w:b w:val="0"/>
            <w:i/>
            <w:strike w:val="0"/>
            <w:noProof w:val="0"/>
            <w:color w:val="0077CC"/>
            <w:position w:val="0"/>
            <w:sz w:val="20"/>
            <w:u w:val="single"/>
            <w:vertAlign w:val="baseline"/>
          </w:rPr>
          <w:t>(81 FR 50869</w:t>
        </w:r>
      </w:hyperlink>
      <w:r>
        <w:rPr>
          <w:rFonts w:ascii="arial" w:eastAsia="arial" w:hAnsi="arial" w:cs="arial"/>
          <w:b w:val="0"/>
          <w:i w:val="0"/>
          <w:strike w:val="0"/>
          <w:noProof w:val="0"/>
          <w:color w:val="000000"/>
          <w:position w:val="0"/>
          <w:sz w:val="20"/>
          <w:u w:val="none"/>
          <w:vertAlign w:val="baseline"/>
        </w:rPr>
        <w:t xml:space="preserve"> through 50870). For a discussion of our proposals for addressing potential overlap of beneficiaries in episode payment models that are relevant to these last two criteria, we refer to sections III.D.6.c.(1) and (2) of the proposed rule </w:t>
      </w:r>
      <w:hyperlink r:id="rId9" w:history="1">
        <w:r>
          <w:rPr>
            <w:rFonts w:ascii="arial" w:eastAsia="arial" w:hAnsi="arial" w:cs="arial"/>
            <w:b w:val="0"/>
            <w:i/>
            <w:strike w:val="0"/>
            <w:noProof w:val="0"/>
            <w:color w:val="0077CC"/>
            <w:position w:val="0"/>
            <w:sz w:val="20"/>
            <w:u w:val="single"/>
            <w:vertAlign w:val="baseline"/>
          </w:rPr>
          <w:t>(81 FR 50868</w:t>
        </w:r>
      </w:hyperlink>
      <w:r>
        <w:rPr>
          <w:rFonts w:ascii="arial" w:eastAsia="arial" w:hAnsi="arial" w:cs="arial"/>
          <w:b w:val="0"/>
          <w:i w:val="0"/>
          <w:strike w:val="0"/>
          <w:noProof w:val="0"/>
          <w:color w:val="000000"/>
          <w:position w:val="0"/>
          <w:sz w:val="20"/>
          <w:u w:val="none"/>
          <w:vertAlign w:val="baseline"/>
        </w:rPr>
        <w:t xml:space="preserve"> through 50869).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beneficiary care inclusion policies was included in proposed § 512.230. We sought comment on our proposal of beneficiary care inclusion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 We refer to sections III.D.6.c.(1) through (3) of this final rule for a summary of the comments received and our responses on the proposed three general beneficiary care inclusion criteria that relate to beneficiaries in other CMS models and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support for the proposed general beneficiary care inclusion criteria as reasonable and consistent with other models and programs. On the other hand, a number of commenters requested that CMS exclude beneficiaries with certain clinical characteristics from all three proposed EPMs, including beneficiaries receiving hospice care before or during the episode; experiencing an inpatient psychiatric hospitalization preceding or during an episode; having preexisting functional disabilities in activities of daily living; bearing a diagnosis of dementia; residing in a SNF; and experiencing illnesses for which it is expected that the beneficiary would be likely to die within the upcoming year. The commenters generally stated that these beneficiaries should be excluded due to high and variable needs for care that would not be typical for beneficiaries in EPM episodes. One commenter recommended CMS to adopt an "out clause" for the most complex patients to be exempt from the EPMs, such as beneficiaries with multi-organ system involvement or comorbidities or poly-chronic illnesses. The commenters were concerned that without accurate risk adjustment under the EPMs, hospitals disproportionately caring for these beneficiaries would experience undue financial risk for necessary episode care. The commenters recommended that if CMS did not exclude high-risk beneficiaries, CMS must adopt more robust risk adjustment to account for socioeconomic, clinical, or other risk factors that are out of the hospital's control and impact patients' health and recovery. Several commenters recommended that at least the initial implementation of the EPMs should exclude vulnerable populations with complicated or intensive care needs from the EPMs until the EPMs demonstrate sufficient quality outcomes and have developed accurate risk adjustments and patient safeguards to ensure high-quality care for populations that the commenters believe could face serious care disadvantages in the EPMs and put hospitals at an unacceptable level of financial risk.</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Most beneficiaries with anchor hospitalizations that would initiate EPM episodes would have underlying conditions that may affect care throughout the episode or that may be influenced by the surgery or AMI that initiates the episode. Similar to our rationale in the CJR Final Rule regarding LEJR episodes </w:t>
      </w:r>
      <w:hyperlink r:id="rId21" w:history="1">
        <w:r>
          <w:rPr>
            <w:rFonts w:ascii="arial" w:eastAsia="arial" w:hAnsi="arial" w:cs="arial"/>
            <w:b w:val="0"/>
            <w:i/>
            <w:strike w:val="0"/>
            <w:noProof w:val="0"/>
            <w:color w:val="0077CC"/>
            <w:position w:val="0"/>
            <w:sz w:val="20"/>
            <w:u w:val="single"/>
            <w:vertAlign w:val="baseline"/>
          </w:rPr>
          <w:t>(80 FR 73371),</w:t>
        </w:r>
      </w:hyperlink>
      <w:r>
        <w:rPr>
          <w:rFonts w:ascii="arial" w:eastAsia="arial" w:hAnsi="arial" w:cs="arial"/>
          <w:b w:val="0"/>
          <w:i w:val="0"/>
          <w:strike w:val="0"/>
          <w:noProof w:val="0"/>
          <w:color w:val="000000"/>
          <w:position w:val="0"/>
          <w:sz w:val="20"/>
          <w:u w:val="none"/>
          <w:vertAlign w:val="baseline"/>
        </w:rPr>
        <w:t xml:space="preserve"> we believe it is important to include these beneficiaries in the EPMs so that they can benefit from the increased opportunities for care coordination and management throughout the episodes, and including the broadest feasible array of Medicare beneficiaries in the EPMs provides EPM participants with the greatest volume of episodes and incentive to redesign episode care. We do not believe it would be appropriate to exclude beneficiaries from the EPMs just because they are potentially expected to have high-cost, variable health care needs under the EPMs. We refer to section III.D.4.b.(2) of this final rule for a discussion of risk adjustment for the EPMs. Therefore, we will not exclude additional beneficiaries with certain clinical characteristics from the EPMs beyond those general beneficiary care inclusion criteria that we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that CMS exclude beneficiaries with a home address not in the service area of the treating hospital. The commenters believe that including beneficiaries in this scenario would result in an unfair financial and administrative burden for EPM participants relative to other EPM beneficiaries residing in the service area of the hospital in meeting the challenges of remote post-discharge care coordination and ensuring ultimate quality outcomes for medically complex out-of state-patients.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that in occasional circumstances, EPM participants may have limited ability to coordinate care. For similar reasons as our discussion in the CJR Final Rule </w:t>
      </w:r>
      <w:hyperlink r:id="rId21" w:history="1">
        <w:r>
          <w:rPr>
            <w:rFonts w:ascii="arial" w:eastAsia="arial" w:hAnsi="arial" w:cs="arial"/>
            <w:b w:val="0"/>
            <w:i/>
            <w:strike w:val="0"/>
            <w:noProof w:val="0"/>
            <w:color w:val="0077CC"/>
            <w:position w:val="0"/>
            <w:sz w:val="20"/>
            <w:u w:val="single"/>
            <w:vertAlign w:val="baseline"/>
          </w:rPr>
          <w:t>(80 FR 73317</w:t>
        </w:r>
      </w:hyperlink>
      <w:r>
        <w:rPr>
          <w:rFonts w:ascii="arial" w:eastAsia="arial" w:hAnsi="arial" w:cs="arial"/>
          <w:b w:val="0"/>
          <w:i w:val="0"/>
          <w:strike w:val="0"/>
          <w:noProof w:val="0"/>
          <w:color w:val="000000"/>
          <w:position w:val="0"/>
          <w:sz w:val="20"/>
          <w:u w:val="none"/>
          <w:vertAlign w:val="baseline"/>
        </w:rPr>
        <w:t xml:space="preserve"> through 73318) regarding LEJR episodes, following the care coordination that takes place in the EPM participant during the anchor hospitalization, we expect that much of the subsequent coordination of post-acute care services and other related services for EPM beneficiaries during the 90 days post-discharge can be accomplished through telecommunications that do not require the patient to remain within the geographic proximity of the hospital responsible for the EPM episode. In addition, the design of the EPMs does not preclude hospitals from coordinating care with other providers outside of their immediate service area, which may be necessary especially in the case of beneficiaries who are admitted to a o-i or inpatient-to-inpatient (i-i) transfer hospital after an outpatient-to-inpatient or inpatient-to-inpatient transfer, respectively, for a different or higher level of cardiac care that is not available at the local hospital to which they originally presented with symptoms of an AMI. As discussed in section III.C.4.a.(5) of this final rule, under our final AMI model policy we are canceling all AMI episodes that begin at an initial treating hospital through an inpatient admission that </w:t>
      </w:r>
      <w:r>
        <w:rPr>
          <w:rFonts w:ascii="arial" w:eastAsia="arial" w:hAnsi="arial" w:cs="arial"/>
          <w:b/>
          <w:i w:val="0"/>
          <w:strike w:val="0"/>
          <w:noProof w:val="0"/>
          <w:color w:val="000000"/>
          <w:position w:val="0"/>
          <w:sz w:val="20"/>
          <w:u w:val="none"/>
          <w:vertAlign w:val="baseline"/>
        </w:rPr>
        <w:t> [*267] </w:t>
      </w:r>
      <w:r>
        <w:rPr>
          <w:rFonts w:ascii="arial" w:eastAsia="arial" w:hAnsi="arial" w:cs="arial"/>
          <w:b w:val="0"/>
          <w:i w:val="0"/>
          <w:strike w:val="0"/>
          <w:noProof w:val="0"/>
          <w:color w:val="000000"/>
          <w:position w:val="0"/>
          <w:sz w:val="20"/>
          <w:u w:val="none"/>
          <w:vertAlign w:val="baseline"/>
        </w:rPr>
        <w:t xml:space="preserve"> initiates the AMI episode when the beneficiary is transferred for admission to an i-i transfer hospital after the AMI episode begins. Thus, hospitals that are AMI and CABG model participants and that receive beneficiaries in transfer either from outpatient or inpatient status at an initial treating hospital will commonly initiate and be responsible for AMI or CABG episodes that begin at the o-i/i-i transfer hospital. This attribution of episodes to the o-i/i-i transfer hospital increases the probability that the home of beneficiaries is not in the service area of the responsible hospital under the AMI or CABG model, yet most commenters requested that we adopt this transfer attribution policy. Therefore, we believe that most EPM participants have the tools to engage in effective remote care coordination that results in high quality episode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note that we are finalizing several waivers of Medicare program rules, as discussed in section III.J. of this final rule, to facilitate efficient and effective episode care coordination for beneficiaries in remote or distant locations outside of the EPM participant's immediate community. We are also finalizing policies for financial arrangements in section III.I. of this final rule that allow EPM participants to share upside and downside financial risk with a variety of individuals and entities who collaborate with the EPM participant in redesigning care and caring for EPM beneficiaries, regardless of the geographic proximity of these individuals and entities to the EPM participant. Through financial arrangements, EPM participants could align the financial incentives of providers in the EPM beneficiary's home community with the goals of the EPM participant to improve the quality and reduce the cost of EPM episodes. Therefore, we will not exclude beneficiaries from the EPMs who are referred to EPM participants that are not close to the beneficiary's home.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clarification about whether patients who buy in to Medicare A or B through the Medicaid program would be excluded from the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long as the beneficiaries are enrolled in both Medicare Part A and Part B, regardless of whether enrollment occurs through Medicaid program buy in, and assuming the beneficiaries meet the other general beneficiary care inclusion criteria, their care would be included in the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presented a scenario where an EPM participant admitted and successfully treated a beneficiary with a SHFFT procedure, but the patient later falls and has a subsequent hip fracture requiring surgical fracture repair within the post-acute period of the episode. The commenter requested clarification about whether this instance would trigger a new SHFFT episode or the cost of the readmission to repair the second fracture would be included in the prior SHFFT episode's total cost.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During such a readmission, the beneficiary would already be in a SHFFT episode. Therefore, the ongoing SHFFT episode would not be canceled and a new SHFFT episode would not be initiated because the beneficiary would not meet the proposed beneficiary care inclusion criteria to initiate a SHFFT episode since he or she is already in a SHFFT episode. Because SHFFT MS-DRGs 480-482 are not on the exclusion list for SHFFT episodes, the related readmission would be included in the ongoing SHFFT episode and its cost included in the calculation of actual episode spending for the SHFFT episode that began with the initial hospitalization for a SHFFT procedure.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512.230 for the general beneficiary care inclusion criteria, with modification to remove references to chained anchor hospitalization which we are not including in the final EPM policies as discussed in section III.C.4.a.(5) of this final rule. We are additionally excluding from EPM episodes beneficiaries who are assigned to a Shared Savings Program ACO in Track 3, as discussed in section III.D.6.c.(3) of this final rule. We define the population of Medicare beneficiaries whose care is included in the EPM as those who meet all of the following criteria on admission to the anchor hospitalization:</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Part A and Part B.</w:t>
      </w: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Eligible for Medicare not on the basis of end-stage renal disease.</w:t>
      </w:r>
    </w:p>
    <w:p>
      <w:pPr>
        <w:keepNext w:val="0"/>
        <w:numPr>
          <w:numId w:val="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enrolled in any managed care plan (for example, Medicare Advantage, Health Care Prepayment Plans, cost-based health maintenance organizations).</w:t>
      </w:r>
    </w:p>
    <w:p>
      <w:pPr>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covered under a United Mine Workers of America health plan, which provides health care benefits for retired mine workers.</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Medicare as their primary payer.</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prospectively assigned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 ACO in the Next Generation ACO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 ACO in a track of the Comprehensive ESRD Care Model incorporating downside risk for financial losses;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Shared Savings Program ACO in Track 3.</w:t>
      </w: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under the care of an attending or operating physician, as designated on the inpatient hospital claim, who is a member of a physician group practice that initiates BPCI Model 2 episodes at the EPM participant for the MS-DRG that would be the anchor MS-DRG under the EPM.</w:t>
      </w: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already in any BPCI model episode.</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already in an AMI, SHFFT, CABG or CJR model episode with an episode definition that does not exclude the MS-DRG that would be the anchor MS-DRG under the applicable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Beginning AMI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as long as the beneficiary met the general beneficiary care inclusion criteria, then an AMI episode would begin with admission of a Medicare beneficiary to an IPPS hospital for the following MS-DRGs, where the specific MS-DRG would be called the anchor MS-DRG for the episode:</w:t>
      </w:r>
    </w:p>
    <w:p>
      <w:pPr>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AMI MS-DRGs--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++ 280 (Acute myocardial infarction, discharged alive with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++ 281 (Acute myocardial infarction, discharged alive with CC);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++ 282 (Acute myocardial infarction, discharged alive without CC/MCC).</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PCI MS-DRGs, when the claim includes an AMI ICD-10-CM diagnosis code in the principal or secondary position on the IPPS claim as specified in Table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++ 246 (Percutaneous cardiovascular procedures with drug-eluting stent with MCC or 4+ vessels/stents);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++ 247 (Percutaneous cardiovascular procedures with drug-eluting stent without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++ 248 (Percutaneous cardiovascular procedures with non-drug-eluting stent with MCC or 4+ vessels/stents);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++ 249 (Percutaneous cardiovascular procedures with non-drug-eluting stent without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++ 250 (Percutaneous cardiovascular procedures without coronary artery stent with MCC);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++ 251 (Percutaneous cardiovascular procedures without coronary artery stent without MCC).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3 displays the ICD-9-CM codes that we proposed to use to identify historical AMI episodes for beneficiaries discharged from PCI MS-DRGs, as well as the ICD-10-CM diagnosis codes that would be used to identify AMI episodes for beneficiaries discharged from PCI MS-DRGs throughout the duration of the AMI model. The sub-regulatory process for updating this AMI ICD-10-CM diagnosis code list was described in </w:t>
      </w:r>
      <w:r>
        <w:rPr>
          <w:rFonts w:ascii="arial" w:eastAsia="arial" w:hAnsi="arial" w:cs="arial"/>
          <w:b/>
          <w:i w:val="0"/>
          <w:strike w:val="0"/>
          <w:noProof w:val="0"/>
          <w:color w:val="000000"/>
          <w:position w:val="0"/>
          <w:sz w:val="20"/>
          <w:u w:val="none"/>
          <w:vertAlign w:val="baseline"/>
        </w:rPr>
        <w:t> [*268] </w:t>
      </w:r>
      <w:r>
        <w:rPr>
          <w:rFonts w:ascii="arial" w:eastAsia="arial" w:hAnsi="arial" w:cs="arial"/>
          <w:b w:val="0"/>
          <w:i w:val="0"/>
          <w:strike w:val="0"/>
          <w:noProof w:val="0"/>
          <w:color w:val="000000"/>
          <w:position w:val="0"/>
          <w:sz w:val="20"/>
          <w:u w:val="none"/>
          <w:vertAlign w:val="baseline"/>
        </w:rPr>
        <w:t xml:space="preserve"> section III.C.3.a.(1) of the proposed rule </w:t>
      </w:r>
      <w:hyperlink r:id="rId9" w:history="1">
        <w:r>
          <w:rPr>
            <w:rFonts w:ascii="arial" w:eastAsia="arial" w:hAnsi="arial" w:cs="arial"/>
            <w:b w:val="0"/>
            <w:i/>
            <w:strike w:val="0"/>
            <w:noProof w:val="0"/>
            <w:color w:val="0077CC"/>
            <w:position w:val="0"/>
            <w:sz w:val="20"/>
            <w:u w:val="single"/>
            <w:vertAlign w:val="baseline"/>
          </w:rPr>
          <w:t>(81 FR 50831).</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first identified the ICD-9-CM diagnosis codes for the initial AMI episode-of-care that were historically used to report care for a newly diagnosed AMI patient admitted to the hospital. These codes all have a fifth digit of "1" and were applicable until the patient was discharged from acute medical care, including for any transfers to and from other acute care facilities that occurred. These AMI ICD-9-CM diagnosis codes would be used to identify historical AMI episodes for developing AMI model-episode benchmark prices for anchor PCI MS-DRGs. We proposed to cross-walk the ICD-9-CM diagnosis codes for the initial AMI episode-of-care to the ICD-10-CM diagnosis codes that would be reported for similar beneficiaries during the AMI model performance years. The crosswalk in Table 5 is consistent with the crosswalk CMS posted for public comment regarding ICD-9-CM to ICD-10-CM diagnosis codes used for HIQR Program measures, including AMI quality measures. n61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 </w:t>
      </w:r>
      <w:hyperlink r:id="rId40" w:history="1">
        <w:r>
          <w:rPr>
            <w:rFonts w:ascii="arial" w:eastAsia="arial" w:hAnsi="arial" w:cs="arial"/>
            <w:b w:val="0"/>
            <w:i/>
            <w:strike w:val="0"/>
            <w:noProof w:val="0"/>
            <w:color w:val="0077CC"/>
            <w:position w:val="0"/>
            <w:sz w:val="20"/>
            <w:u w:val="single"/>
            <w:vertAlign w:val="baseline"/>
          </w:rPr>
          <w:t>https://www.cms.gov/Medicare/Quality-Initiatives-Patient-Assessment-Instruments/HospitalQualityInits/Downloads/HIQR-ICD9-to-ICD10-Tables.pdf</w:t>
        </w:r>
      </w:hyperlink>
      <w:r>
        <w:rPr>
          <w:rFonts w:ascii="arial" w:eastAsia="arial" w:hAnsi="arial" w:cs="arial"/>
          <w:b w:val="0"/>
          <w:i w:val="0"/>
          <w:strike w:val="0"/>
          <w:noProof w:val="0"/>
          <w:color w:val="000000"/>
          <w:position w:val="0"/>
          <w:sz w:val="20"/>
          <w:u w:val="none"/>
          <w:vertAlign w:val="baseline"/>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3120"/>
        <w:gridCol w:w="120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5--Proposed ICD-9-CM and ICD-10-CM AMI Diagnosis Codes in the Principal</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or Secondary Position on the IPPS Claim for PCI MS-DRGS (246-251) That</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Initiate AMI Episodes</w:t>
            </w: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tc>
        <w:tc>
          <w:tcPr>
            <w:tcW w:w="3120" w:type="dxa"/>
            <w:tcBorders>
              <w:bottom w:val="nil"/>
              <w:right w:val="nil"/>
            </w:tcBorders>
          </w:tcPr>
          <w:p/>
        </w:tc>
        <w:tc>
          <w:tcPr>
            <w:tcW w:w="120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ICD-9-CM</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ICD-9-CM</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ICD-10-CM</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ICD-10-CM</w:t>
            </w: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Diagnosis</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Description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Diagnosis</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Description</w:t>
            </w: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w:t>
            </w: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w:t>
            </w:r>
          </w:p>
        </w:tc>
        <w:tc>
          <w:tcPr>
            <w:tcW w:w="3120" w:type="dxa"/>
          </w:tc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410.01</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121.09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anterolateral wall,</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other coronary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episode of care</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artery of anterior wall.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anterior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wall.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410.11</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121.01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other</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anterior wall, initial</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left main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of care</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coronary artery.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121.02</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left anterior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descending coronary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artery.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121.09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other coronary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artery of anterior wall.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anterior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wall.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410.21</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121.10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inferolateral wall,</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other coronary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episode of care</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artery of inferior wall.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inferior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wall.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410.31</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121.11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inferoposterior wall,</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right coronary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episode of care</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artery.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inferior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wall.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410.41</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121.19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other</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inferior wall, initial</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other coronary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of care</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artery of inferior wall.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inferior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wall.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410.51</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121.29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other</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lateral wall, initial</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other sites.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of care</w:t>
            </w:r>
          </w:p>
        </w:tc>
        <w:tc>
          <w:tcPr>
            <w:tcW w:w="120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122.8</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other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sites.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410.61</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True posterior wall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121.29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initial</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of care</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other sites.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122.8</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other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sites.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410.71</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Subendocardial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121.4</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Non-ST elevation (NSTEMI)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initial</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of care</w:t>
            </w:r>
          </w:p>
        </w:tc>
        <w:tc>
          <w:tcPr>
            <w:tcW w:w="120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122.2</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non-ST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elevation (NSTEMI)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410.81</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121.21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other</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specified sites, initial</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left circumflex</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of care</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coronary artery.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121.29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other sites.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122.8</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other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sites.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410.91</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121.3</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unspecified</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 of</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site, initial episode of</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unspecified site.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w:t>
            </w:r>
          </w:p>
        </w:tc>
        <w:tc>
          <w:tcPr>
            <w:tcW w:w="120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unspecified</w:t>
            </w: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tc>
        <w:tc>
          <w:tcPr>
            <w:tcW w:w="312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3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site.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beginning AMI episodes was included in proposed § 512.240(a)(1). We sought comment on our proposal to begin AMI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address some of the comments related to the proposed AMI ICD-CM diagnosis codes displayed in Table 5 in section III.C.3.a.(1) of this final rule in the context of our discussion of the clinical conditions that define AMI episodes. We received no comments specific to the ICD-9-CM to ICD-10-CM crosswalk of the AMI ICD-CM diagnosis codes included in Table 5. </w:t>
      </w:r>
      <w:r>
        <w:rPr>
          <w:rFonts w:ascii="arial" w:eastAsia="arial" w:hAnsi="arial" w:cs="arial"/>
          <w:b/>
          <w:i w:val="0"/>
          <w:strike w:val="0"/>
          <w:noProof w:val="0"/>
          <w:color w:val="000000"/>
          <w:position w:val="0"/>
          <w:sz w:val="20"/>
          <w:u w:val="none"/>
          <w:vertAlign w:val="baseline"/>
        </w:rPr>
        <w:t> [*269] </w:t>
      </w:r>
      <w:r>
        <w:rPr>
          <w:rFonts w:ascii="arial" w:eastAsia="arial" w:hAnsi="arial" w:cs="arial"/>
          <w:b w:val="0"/>
          <w:i w:val="0"/>
          <w:strike w:val="0"/>
          <w:noProof w:val="0"/>
          <w:color w:val="000000"/>
          <w:position w:val="0"/>
          <w:sz w:val="20"/>
          <w:u w:val="none"/>
          <w:vertAlign w:val="baseline"/>
        </w:rPr>
        <w:t xml:space="preserve"> The following is a summary of the comments received on other issues related to our proposal to begin AMI episodes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stated that uncomplicated acute AMI can be treated and discharged the next day. They pointed out that under Medicare's Two-Midnight rule, these beneficiaries would be classified as outpatients. They requested clarification about whether CMS believes these beneficiaries with AMI should be classified as inpatient even if the expectation of the treating physician is a less than Two-Midnight hospital stay so the AMI model would include all beneficiaries with AMI.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AMI model does not change Medicare's current payment policy for classifying Medicare beneficiaries as outpatients or inpatients, including beneficiaries with AMI. Therefore, AMI model participants should continue to follow all existing Medicare rules that apply to classifying beneficiaries as inpatients or outpatients for beneficiaries with AMI who could potentially initiate AMI episodes if they were admitted to the AMI model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provide greater clarity to hospitals and physician stakeholders, and to address the higher frequency of beneficiaries being treated as hospital outpatients for extended periods of time, CMS adopted the Two-Midnight rule for admissions beginning on or after October 1, 2013. This rule established Medicare payment policy regarding the benchmark criteria to use when determining whether inpatient admission is reasonable and necessary for purposes of payment under Medicare Part A. n62 In general, the original Two-Midnight rule stated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 Fact Sheet: Two-Midnight Rule; CMS; October 30, 2015.</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admissions would generally be payable under Part A if the admitting practitioner expected the patient to require a hospital stay that crossed two midnights and the medical record supported that reasonable expectation.</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Medicare Part A payment was generally not appropriate for hospital stays expected to last less than two midnights. Cases involving a procedure identified on the inpatient-only list or that were identified as "rare and unusual exception" to the Two-Midnight benchmark by CMS were exceptions to this general rule and were deemed to be appropriate for Medicare Part A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Two-Midnight rule also specified that all treatment decisions for beneficiaries were based on the medical judgment of physicians and other qualified practitioners. The Two-Midnight rule did not prevent the physician from providing any service at any hospital, regardless of the expected duration of the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that full provider implementation of hospital care in accordance with the Two-Midnight rule did not occur immediately on October 1, 2013 and that the first CMS' contractor reviews of short stay inpatient admissions did not begin until October 2015. Therefore, we understand that shifts in classifying certain beneficiaries with uncomplicated AMI as outpatients instead of inpatients could have occurred during the period of historical AMI episodes that would span January 1, 2013 and December 31, 2015 and would be used for setting quality-adjusted target prices in performance years 1 and 2 of the AMI model. Under our monitoring and evaluation activities as discussed in sections III.G.4. through 6. and section IV. of this final rule, respectively, we will monitor the site-of-service for treatment of beneficiaries with AMI over the course of the model to detect any issues related to access to care, quality of care, or delayed care. We will also evaluate the AMI model with respect to changes in AMI case mix for AMI model participants, and if we observe them, we would conduct analyses about the potential causes of such changes, including whether AMI model participants shifted to treating some uncomplicated beneficiaries with AMI as outpatients rather than inpatients. We further note that when we first update the data used for historical EPM episode payments in performance year 3 of the EPMs to be calendar years 2015 through 2017, we expect that any changes in care patterns related to the Two-Midnight rule would have been made by the beginning of that 3-year period.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agreed with CMS that it is currently rare for a beneficiary with AMI to have an outpatient PCI and, therefore, almost all beneficiaries with AMI who are treated with PCI would be in the AMI model under current hospital treatment practices. However, the commenter added that by excluding beneficiaries who receive outpatient PCI from the AMI model, EPM participants may change their billing to outpatient PCI, especially for more complex and costly beneficiaries for which AMI episode costs would be expected to be high. The commenter recommended that CMS should put all AMI patients on the inpatient only list.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concern expressed by the commenter about the potential for the financial incentives in the AMI model to lead to shifting in the site-of-service for PCI for beneficiaries with AMI from inpatient to outpatient. We note that the OPPS inpatient only list includes procedures that are only paid under the IPPS and does not assign certain diagnoses to inpatient only care. PCI currently is commonly performed in the outpatient hospital department for beneficiaries that do not have AMI, and we do not believe it would be appropriate to place PCI procedures on the inpatient only list due to concerns about the shifting of the site-of-service from inpatient to outpatient for AMI model beneficiaries who require PCI. As we stated in the proposed rule </w:t>
      </w:r>
      <w:hyperlink r:id="rId9" w:history="1">
        <w:r>
          <w:rPr>
            <w:rFonts w:ascii="arial" w:eastAsia="arial" w:hAnsi="arial" w:cs="arial"/>
            <w:b w:val="0"/>
            <w:i/>
            <w:strike w:val="0"/>
            <w:noProof w:val="0"/>
            <w:color w:val="0077CC"/>
            <w:position w:val="0"/>
            <w:sz w:val="20"/>
            <w:u w:val="single"/>
            <w:vertAlign w:val="baseline"/>
          </w:rPr>
          <w:t>(81 FR 50829)</w:t>
        </w:r>
      </w:hyperlink>
      <w:r>
        <w:rPr>
          <w:rFonts w:ascii="arial" w:eastAsia="arial" w:hAnsi="arial" w:cs="arial"/>
          <w:b w:val="0"/>
          <w:i w:val="0"/>
          <w:strike w:val="0"/>
          <w:noProof w:val="0"/>
          <w:color w:val="000000"/>
          <w:position w:val="0"/>
          <w:sz w:val="20"/>
          <w:u w:val="none"/>
          <w:vertAlign w:val="baseline"/>
        </w:rPr>
        <w:t xml:space="preserve"> patients experiencing an AMI are almost uniformly admitted to the hospital for further evaluation and management based on clinical guidelines for the treatment of beneficiaries with AMI. n63 We do not believe that EPM participants would change their patterns of treatment of beneficiaries with AMI, especially for those complex patients with significant medical needs, in ways that would risk beneficiaries not receiving the medically necessary inpatient hospital evaluation and management recommended for their AMI treatment. We will be monitoring patterns of care as discussed in sections III.G.4. through 6. of this final rule for evidence of clinically-unexplained changes in care, including the site-of-service for AMI beneficiaries who receive PCI, especially if we believe there is the potential to compromise beneficiary access to care or quality of care or to delay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 Amsterdam et al. 2014 AHA/ACC Guideline for the Management of Patients with Non-ST--Elevation Acute Coronary Syndromes. Circulation. 2014; 130:e344-e426.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requested that CMS further clarify how an EPM participant can determine whether beneficiaries with AMI who have a CABG would be attributed to the AMI or CABG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opportunity to provide clarification on the specific episode attribution of beneficiaries with AMI who have a CABG. We refer to section III.D.4.a.(5) of this final rule for further discussion of the final transfer attribution policy for AMI episodes that involve an inpatient-to-inpatient transfer for AMI care. AMI and CABG episodes are initiated based on the MS-DRG that is assigned to the final discharge that occurs during the anchor hospitalization. Thus, if a beneficiary hospitalized for treatment of AMI has a CABG during that anchor hospitalization, we expect that the </w:t>
      </w:r>
      <w:r>
        <w:rPr>
          <w:rFonts w:ascii="arial" w:eastAsia="arial" w:hAnsi="arial" w:cs="arial"/>
          <w:b/>
          <w:i w:val="0"/>
          <w:strike w:val="0"/>
          <w:noProof w:val="0"/>
          <w:color w:val="000000"/>
          <w:position w:val="0"/>
          <w:sz w:val="20"/>
          <w:u w:val="none"/>
          <w:vertAlign w:val="baseline"/>
        </w:rPr>
        <w:t> [*270] </w:t>
      </w:r>
      <w:r>
        <w:rPr>
          <w:rFonts w:ascii="arial" w:eastAsia="arial" w:hAnsi="arial" w:cs="arial"/>
          <w:b w:val="0"/>
          <w:i w:val="0"/>
          <w:strike w:val="0"/>
          <w:noProof w:val="0"/>
          <w:color w:val="000000"/>
          <w:position w:val="0"/>
          <w:sz w:val="20"/>
          <w:u w:val="none"/>
          <w:vertAlign w:val="baseline"/>
        </w:rPr>
        <w:t xml:space="preserve"> beneficiary would be discharged from a CABG MS-DRG (231-236) and, therefore, would initiate a CABG episode. We refer to section III.D.4.b.(b) of this final rule for the pricing adjustment that would apply to CABG episodes for beneficiaries who have a CABG during the initial hospitalization for AMI treatment. However, if a beneficiary with an AMI hospitalized for initial treatment is discharged from the anchor hospitalization and then readmitted for CABG during the 90 day post-discharge episode duration, the beneficiary would initiate an AMI episode, which would not be canceled due to the CABG readmission. We refer to section III.D.4.b.(c) of this final rule for the pricing adjustment that would apply to AMI episodes with CABG readmissions.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512.240(a)(1), without modification, to begin AMI episodes with admission of a Medicare beneficiary to an IPPS hospital for the following MS-DRGs, where the specific MS-DRG is called the anchor MS-DRG for the episode:</w:t>
      </w:r>
    </w:p>
    <w:p>
      <w:pPr>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AMI MS-DRGs--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++ 280 (Acute myocardial infarction, discharged alive with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++ 281 (Acute myocardial infarction, discharged alive with CC);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++ 282 (Acute myocardial infarction, discharged alive without CC/MCC).</w:t>
      </w:r>
    </w:p>
    <w:p>
      <w:pPr>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PCI MS-DRGs, when the claim includes an AMI ICD-10-CM diagnosis code in the principal or secondary position on the IPPS claim as specified in Table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++ 246 (Percutaneous cardiovascular procedures with drug-eluting stent with MCC or 4+ vessels/stents);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++ 247 (Percutaneous cardiovascular procedures with drug-eluting stent without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++ 248 (Percutaneous cardiovascular procedures with non-drug-eluting stent with MCC or 4+ vessels/stents);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++ 249 (Percutaneous cardiovascular procedures with non-drug-eluting stent without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++ 250 (Percutaneous cardiovascular procedures without coronary artery stent with MCC);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++ 251 (Percutaneous cardiovascular procedures without coronary artery stent without MCC).</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3120"/>
        <w:gridCol w:w="120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6--Final ICD-9-CM and ICD-10-CM AMI Diagnosis Codes in the Principal or</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Secondary Position on the IPPS Claim for PCI MS-DRGS (246-251) That Initiate</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AMI Episodes</w:t>
            </w: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tc>
        <w:tc>
          <w:tcPr>
            <w:tcW w:w="3120" w:type="dxa"/>
            <w:tcBorders>
              <w:bottom w:val="nil"/>
              <w:right w:val="nil"/>
            </w:tcBorders>
          </w:tcPr>
          <w:p/>
        </w:tc>
        <w:tc>
          <w:tcPr>
            <w:tcW w:w="120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ICD-9-CM</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ICD-9-CM</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ICD-10-CM</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ICD-10-CM</w:t>
            </w: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Diagnosis</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Description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Diagnosis</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Description</w:t>
            </w: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w:t>
            </w: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w:t>
            </w:r>
          </w:p>
        </w:tc>
        <w:tc>
          <w:tcPr>
            <w:tcW w:w="3120" w:type="dxa"/>
          </w:tc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410.01</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121.09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anterolateral wall,</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other coronary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episode of care</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artery of anterior wall.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anterior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wall.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410.11</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121.01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other</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anterior wall, initial</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left main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of care</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coronary artery.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121.02</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left anterior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descending coronary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artery.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121.09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other coronary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artery of anterior wall.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anterior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wall.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410.21</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121.10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inferolateral wall,</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other coronary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episode of care</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artery of inferior wall.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inferior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wall.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410.31</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121.11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inferoposterior wall,</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right coronary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episode of care</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artery.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inferior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wall.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410.41</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121.19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other</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inferior wall, initial</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other coronary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of care</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artery of inferior wall.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inferior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wall.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410.51</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121.29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other</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lateral wall, initial</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other sites.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of care</w:t>
            </w:r>
          </w:p>
        </w:tc>
        <w:tc>
          <w:tcPr>
            <w:tcW w:w="120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122.8</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other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sites.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410.61</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True posterior wall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121.29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initial</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of care</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other sites.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122.8</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other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sites.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410.71</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Subendocardial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121.4</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Non-ST elevation (NSTEMI)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initial</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of care</w:t>
            </w:r>
          </w:p>
        </w:tc>
        <w:tc>
          <w:tcPr>
            <w:tcW w:w="120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122.2</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non-ST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elevation (NSTEMI)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410.81</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121.21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other</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specified sites, initial</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left circumflex</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of care</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coronary artery.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121.29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other sites.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122.8</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other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sites.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410.91</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121.3</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unspecified</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 of</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site, initial episode of</w:t>
            </w: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unspecified site.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w:t>
            </w:r>
          </w:p>
        </w:tc>
        <w:tc>
          <w:tcPr>
            <w:tcW w:w="120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unspecified</w:t>
            </w: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tc>
        <w:tc>
          <w:tcPr>
            <w:tcW w:w="312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3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site.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Beginning CABG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as long as a beneficiary met the general beneficiary care inclusion criteria, a CABG episode would begin with the admission of a Medicare beneficiary to an IPPS hospital for a CABG that is paid under the following CABG MS-DRGs and the specific MS-DRG would be called the anchor MS-DRG for the episode:</w:t>
      </w:r>
    </w:p>
    <w:p>
      <w:pPr>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231 (Coronary bypass with percutaneous transluminal coronary angioplasty (PTCA) with MCC).</w:t>
      </w:r>
    </w:p>
    <w:p>
      <w:pPr>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232 (Coronary bypass with PTCA without MCC).</w:t>
      </w:r>
    </w:p>
    <w:p>
      <w:pPr>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233 (Coronary bypass with cardiac catheterization with MCC).</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234 (Coronary bypass with cardiac catheterization without MCC).</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235 (Coronary bypass without cardiac catheterization with MCC).</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236 (Coronary bypass without cardiac catheterization without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beginning CABG episodes was included in proposed § 512.240(b)(1). We sought comment on our proposal to begin CABG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that CMS begin elective CABG prior to admission for the anchor hospitalization, since all of the workup prior to an elective CABG happens in the weeks or months before the hospitalization. The commenter claimed that the patient workup can vary considerably among providers, which may result in unnecessary costs. As an example, the commenter stated that a patient could have every cardiac diagnostic test prior to CABG when only several may be necessary. To help address unnecessary utilization prior to elective CABG, the commenter recommended that CMS begin the episode for elective CABG prior to the hospitalization for surgery.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further disagreed with CMS' proposal that elective and urgent CABG would be included in one EPM, because the beneficiaries behave differently during the episode and with respect to their risk profiles. The commenter recommended that CMS separate CABG under these two circumstances into separate EPMs and test both models.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expressed by the commenter in starting CABG episodes prior to the hospital admission, and we recognize that the beneficiary's care that ultimately leads to the CABG, including the physician-patient relationship and diagnostic workup, can begin long before the surgical procedure. However, for similar reasons to our consideration of analogous comments in the CJR Final Rule </w:t>
      </w:r>
      <w:hyperlink r:id="rId39" w:history="1">
        <w:r>
          <w:rPr>
            <w:rFonts w:ascii="arial" w:eastAsia="arial" w:hAnsi="arial" w:cs="arial"/>
            <w:b w:val="0"/>
            <w:i/>
            <w:strike w:val="0"/>
            <w:noProof w:val="0"/>
            <w:color w:val="0077CC"/>
            <w:position w:val="0"/>
            <w:sz w:val="20"/>
            <w:u w:val="single"/>
            <w:vertAlign w:val="baseline"/>
          </w:rPr>
          <w:t>(81 FR 73316</w:t>
        </w:r>
      </w:hyperlink>
      <w:r>
        <w:rPr>
          <w:rFonts w:ascii="arial" w:eastAsia="arial" w:hAnsi="arial" w:cs="arial"/>
          <w:b w:val="0"/>
          <w:i w:val="0"/>
          <w:strike w:val="0"/>
          <w:noProof w:val="0"/>
          <w:color w:val="000000"/>
          <w:position w:val="0"/>
          <w:sz w:val="20"/>
          <w:u w:val="none"/>
          <w:vertAlign w:val="baseline"/>
        </w:rPr>
        <w:t xml:space="preserve"> through 73317) regarding LEJR episodes, beginning the episode too far in advance of the CABG would make it difficult to avoid bundling unrelated items and services, and starting the episode prior to the hospital admission is more likely to encompass costs that vary widely among beneficiaries with CAD that are potential candidates for CABG, which would make the episode more difficult to price appropriately. We continue to believe that beginning the CABG episode with the anchor hospitalization is most appropriate due to the clinical variability leading up to the CABG and the challenge of distinguishing between related and unrelated services. We also believe that beginning the episode with the anchor hospitalization, and not prior to admission, would be easier to administer and provide more consistent episodes for testing the CABG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we agree with the commenter that beneficiaries experiencing elective versus urgent CABG behave differently during the episode due to their different health care needs. However, rather than creating two EPMs for these beneficiaries for whom we believe the same CABG episode definition would apply, we are providing a pricing adjustment as discussed in section III.D.4.b.(2)(b) of this final rule for CABG model beneficiaries with an AMI diagnosis code on the claim for the anchor hospitalization who have substantially higher historical episode spending than CABG model beneficiaries without AMI. The two groups correspond to the urgent versus elective groups recommended by the commenter. We believe this pricing adjustment policy accomplishes the major objective of the commenter who recommended two CABG EPMs so that we price CABG episodes for the two groups of CABG model beneficiaries differently based on their different patterns of health care utilization.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512.240(b)(1), without modification, to begin CABG episodes with the admission of a Medicare beneficiary to an IPPS hospital for a CABG that is paid under the following CABG MS-DRGs and the specific MS-DRG is called the anchor MS-DRG for the episode:</w:t>
      </w:r>
    </w:p>
    <w:p>
      <w:pPr>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231 (Coronary bypass with percutaneous transluminal coronary angioplasty (PTCA) with MCC).</w:t>
      </w:r>
    </w:p>
    <w:p>
      <w:pPr>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232 (Coronary bypass with PTCA without MCC).</w:t>
      </w:r>
    </w:p>
    <w:p>
      <w:pPr>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233 (Coronary bypass with cardiac catheterization with MCC).</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234 (Coronary bypass with cardiac catheterization without MCC).</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235 (Coronary bypass without cardiac catheterization with MCC).</w:t>
      </w:r>
    </w:p>
    <w:p>
      <w:pPr>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236 (Coronary bypass without cardiac catheterization without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Beginning SHFFT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as long as a beneficiary met the general inclusion criteria, a SHFFT episode would begin with the admission of a Medicare beneficiary to an IPPS hospital for surgical treatment of hip or femur fracture (other than joint replacement) that is paid under the following SHFFT MS-DRGs and where the specific MS-DRG would be called the anchor MS-DRG for the episode:</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480 (Hip and femur procedures except major joint with MCC).</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481 (Hip and femur procedures except major joint with complication or comorbidity (CC).</w:t>
      </w:r>
    </w:p>
    <w:p>
      <w:pPr>
        <w:keepNext w:val="0"/>
        <w:numPr>
          <w:numId w:val="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482 (Hip and femur procedures except major joint without CC or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beginning SHFFT episodes was included in proposed § 512.240(c)(1). We sought comment on our proposal to begin SHFFT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comments specific to our proposal to begin SHFFT episodes.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the proposals in § 512.240(c)(1), without modification, to begin SHFFT episodes with the admission of a Medicare beneficiary to an IPPS hospital for </w:t>
      </w:r>
      <w:r>
        <w:rPr>
          <w:rFonts w:ascii="arial" w:eastAsia="arial" w:hAnsi="arial" w:cs="arial"/>
          <w:b/>
          <w:i w:val="0"/>
          <w:strike w:val="0"/>
          <w:noProof w:val="0"/>
          <w:color w:val="000000"/>
          <w:position w:val="0"/>
          <w:sz w:val="20"/>
          <w:u w:val="none"/>
          <w:vertAlign w:val="baseline"/>
        </w:rPr>
        <w:t> [*272] </w:t>
      </w:r>
      <w:r>
        <w:rPr>
          <w:rFonts w:ascii="arial" w:eastAsia="arial" w:hAnsi="arial" w:cs="arial"/>
          <w:b w:val="0"/>
          <w:i w:val="0"/>
          <w:strike w:val="0"/>
          <w:noProof w:val="0"/>
          <w:color w:val="000000"/>
          <w:position w:val="0"/>
          <w:sz w:val="20"/>
          <w:u w:val="none"/>
          <w:vertAlign w:val="baseline"/>
        </w:rPr>
        <w:t xml:space="preserve"> surgical treatment of hip or femur fracture (other than joint replacement) that is paid under the following SHFFT MS-DRGs and where the specific MS-DRG is called the anchor MS-DRG for the episode:</w:t>
      </w:r>
    </w:p>
    <w:p>
      <w:pPr>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480 (Hip and femur procedures except major joint with MCC).</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481 (Hip and femur procedures except major joint with complication or comorbidity (CC).</w:t>
      </w: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482 (Hip and femur procedures except major joint without CC or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Special Policies for Hospital Transfers of Beneficiaries With AMI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asymmetric distribution of cardiac care across hospitals makes transfer, either from an inpatient admission or from the emergency department (without inpatient admission) of one hospital to another, a common consideration in the treatment course for beneficiaries with an initial diagnosis of AMI. Therefore, transfer for cardiac care is an important consideration for the AMI and CABG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availability of revascularization and intensive cardiac care are particularly important considerations in the transfer of beneficiaries with an AMI. A substantial portion of hospitals do not have revascularization capability (that is, a cardiac catheterization lab for PCI or cardiothoracic surgeons who can perform CABG) or cardiovascular intensive care units (CVICU) and, therefore, must transfer beneficiaries to provide access to these services. In the PCI and CABG examples, the discharge from the transfer hospital that accepted the beneficiary would result in discharge under the MS-DRGs for PCI (246-251) or CABG (231-236). For the CVICU example, the transfer hospital's discharge MS-DRG would be AMI (280-282). There is evidence of the asymmetric distribution of cardiac care in the 2014 IPPS and critical access hospital claims data: While 4,332 hospitals submitted at least one claim for an AMI MS-DRG, only 1,755 (41 percent) and 1,156 (27 percent) of these hospitals filed at least one claim for PCI or CABG MS-DRGs, respectively. n64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 AMI, CABG and PCI MS-DRG inpatient claims from all U.S. IPPS hospitals and CAHs derived from the 2014 Geographic Variations Inpatient Claims File located in the Chronic Conditions Warehouse.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potential transfer scenarios are best illustrated by the care pathways experienced by beneficiaries with AMI. These beneficiaries typically present to a hospital's emergency department where the evaluation identifies the AMI diagnosis and determines the initial indicated treatments. Depending on the beneficiary's clinical needs and the hospital's treatment capacity, the beneficiary could be--</w:t>
      </w:r>
    </w:p>
    <w:p>
      <w:pPr>
        <w:keepNext w:val="0"/>
        <w:numPr>
          <w:numId w:val="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Admitted to the initial treating hospital, with no transfer to another hospital during the initial hospitalization for AMI. We refer to this scenario as no transfer;</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Admitted to the initial treating hospital and later transferred to a transfer hospital. We refer to this scenario as inpatient-to-inpatient transfer and the transfer hospital as an i-i transfer hospital; or</w:t>
      </w:r>
    </w:p>
    <w:p>
      <w:pPr>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Transferred from the initial treating hospital to a transfer hospital without admission to the initial treating hospital. We refer to this scenario as outpatient-to-inpatient transfer and the transfer hospital as an o-i transfer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proposals and alternatives considered for these scenarios are described in detail in this section. In our proposals for AMI or CABG episodes for initial AMI care, our overarching policy was that every AMI or CABG episode would begin at the first AMI or CABG model participant to which the beneficiary was admitted for an AMI MS-DRG, PCI MS-DRG with an AMI ICD-CM diagnosis code, or CABG MS-DRG. The AMI or CABG model participant where the episode began would then be financially responsible for the AMI or CABG episode unless the episode was canceled.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our analysis of Medicare claims data, in the proposed rule </w:t>
      </w:r>
      <w:hyperlink r:id="rId9" w:history="1">
        <w:r>
          <w:rPr>
            <w:rFonts w:ascii="arial" w:eastAsia="arial" w:hAnsi="arial" w:cs="arial"/>
            <w:b w:val="0"/>
            <w:i/>
            <w:strike w:val="0"/>
            <w:noProof w:val="0"/>
            <w:color w:val="0077CC"/>
            <w:position w:val="0"/>
            <w:sz w:val="20"/>
            <w:u w:val="single"/>
            <w:vertAlign w:val="baseline"/>
          </w:rPr>
          <w:t>(81 FR 50836)</w:t>
        </w:r>
      </w:hyperlink>
      <w:r>
        <w:rPr>
          <w:rFonts w:ascii="arial" w:eastAsia="arial" w:hAnsi="arial" w:cs="arial"/>
          <w:b w:val="0"/>
          <w:i w:val="0"/>
          <w:strike w:val="0"/>
          <w:noProof w:val="0"/>
          <w:color w:val="000000"/>
          <w:position w:val="0"/>
          <w:sz w:val="20"/>
          <w:u w:val="none"/>
          <w:vertAlign w:val="baseline"/>
        </w:rPr>
        <w:t xml:space="preserve"> we presented the finding that about 75 percent of historical AMI episodes and CABG episodes for beneficiaries with AMI began through the emergency department of the hospital where the anchor hospitalization for the AMI or CABG episode would occur. In another 18 percent of historical AMI episodes and CABG episodes for beneficiaries with AMI, the anchor hospitalization occurred at a transfer hospital following an emergency department visit at another hospital without admission to that hospital for an MS-DRG that would initiate an AMI or CABG episode. n65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 Episode for beneficiaries with AMI initiated by all U.S. IPPS hospitals and constructed using standardized Medicare FFS Parts A and B claims, as proposed in the proposed rule, that end in CY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each of these scenarios, policies to determine which episode type would apply, the beginning of the episode, and the specific hospital with financial responsibility for the episode must be determined (for example, AMI or CABG, if CABG is provided as an initial treatment in an outpatient-to-inpatient or inpatient-to-inpatient scenario). In the proposed rule, we discussed each of the scenarios in detail and provide a summary of the scenarios in Table 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 transfer scenario, the episode would begin upon admission to an AMI or CABG model participant under circumstances that meet the criteria discussed in sections III.C.4.a.(1) and (2) or (3) of the proposed rule </w:t>
      </w:r>
      <w:hyperlink r:id="rId9" w:history="1">
        <w:r>
          <w:rPr>
            <w:rFonts w:ascii="arial" w:eastAsia="arial" w:hAnsi="arial" w:cs="arial"/>
            <w:b w:val="0"/>
            <w:i/>
            <w:strike w:val="0"/>
            <w:noProof w:val="0"/>
            <w:color w:val="0077CC"/>
            <w:position w:val="0"/>
            <w:sz w:val="20"/>
            <w:u w:val="single"/>
            <w:vertAlign w:val="baseline"/>
          </w:rPr>
          <w:t>(81 FR 50847</w:t>
        </w:r>
      </w:hyperlink>
      <w:r>
        <w:rPr>
          <w:rFonts w:ascii="arial" w:eastAsia="arial" w:hAnsi="arial" w:cs="arial"/>
          <w:b w:val="0"/>
          <w:i w:val="0"/>
          <w:strike w:val="0"/>
          <w:noProof w:val="0"/>
          <w:color w:val="000000"/>
          <w:position w:val="0"/>
          <w:sz w:val="20"/>
          <w:u w:val="none"/>
          <w:vertAlign w:val="baseline"/>
        </w:rPr>
        <w:t xml:space="preserve"> through 50848), and the AMI or CABG episode that applied would be determined by the specific MS-DRG for the anchor hospitalization. Financial responsibility for the episode would be attributed to the sole treating hospital involved in the initial AMI care. Under this proposal, the treating hospital's quality measure performance would determine the effective discount factor to be applied to the AMI or CABG model benchmark episode price for the episode at reconciliation as described in section III.D.4.b.(10) of the proposed rule </w:t>
      </w:r>
      <w:hyperlink r:id="rId9" w:history="1">
        <w:r>
          <w:rPr>
            <w:rFonts w:ascii="arial" w:eastAsia="arial" w:hAnsi="arial" w:cs="arial"/>
            <w:b w:val="0"/>
            <w:i/>
            <w:strike w:val="0"/>
            <w:noProof w:val="0"/>
            <w:color w:val="0077CC"/>
            <w:position w:val="0"/>
            <w:sz w:val="20"/>
            <w:u w:val="single"/>
            <w:vertAlign w:val="baseline"/>
          </w:rPr>
          <w:t>(81 FR 50861</w:t>
        </w:r>
      </w:hyperlink>
      <w:r>
        <w:rPr>
          <w:rFonts w:ascii="arial" w:eastAsia="arial" w:hAnsi="arial" w:cs="arial"/>
          <w:b w:val="0"/>
          <w:i w:val="0"/>
          <w:strike w:val="0"/>
          <w:noProof w:val="0"/>
          <w:color w:val="000000"/>
          <w:position w:val="0"/>
          <w:sz w:val="20"/>
          <w:u w:val="none"/>
          <w:vertAlign w:val="baseline"/>
        </w:rPr>
        <w:t xml:space="preserve"> through 50862).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inpatient-to-inpatient transfer scenario had several potential outcomes. If the beneficiary initially presented for AMI care to a hospital that was not an AMI model participant and was admitted and then transferred to an i-i transfer hospital that was an AMI or CABG model participant, the episode would first initiate at the i-i transfer hospital and, therefore, the i-i transfer hospital would be financially responsible for the AMI or CABG episode. The i-i transfer hospital's quality measure performance would determine the effective discount factor to be applied to the AMI or CABG model benchmark episode price for the episode at reconciliation as described in section III.D.4.b.(10) of the proposed rule </w:t>
      </w:r>
      <w:hyperlink r:id="rId9" w:history="1">
        <w:r>
          <w:rPr>
            <w:rFonts w:ascii="arial" w:eastAsia="arial" w:hAnsi="arial" w:cs="arial"/>
            <w:b w:val="0"/>
            <w:i/>
            <w:strike w:val="0"/>
            <w:noProof w:val="0"/>
            <w:color w:val="0077CC"/>
            <w:position w:val="0"/>
            <w:sz w:val="20"/>
            <w:u w:val="single"/>
            <w:vertAlign w:val="baseline"/>
          </w:rPr>
          <w:t>(81 FR 50861</w:t>
        </w:r>
      </w:hyperlink>
      <w:r>
        <w:rPr>
          <w:rFonts w:ascii="arial" w:eastAsia="arial" w:hAnsi="arial" w:cs="arial"/>
          <w:b w:val="0"/>
          <w:i w:val="0"/>
          <w:strike w:val="0"/>
          <w:noProof w:val="0"/>
          <w:color w:val="000000"/>
          <w:position w:val="0"/>
          <w:sz w:val="20"/>
          <w:u w:val="none"/>
          <w:vertAlign w:val="baseline"/>
        </w:rPr>
        <w:t xml:space="preserve"> through 50862).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a beneficiary initially presented for AMI care to an AMI model participant and was admitted and then transferred to an i-i transfer hospital (hereinafter a chained anchor hospitalization) and the i-i transfer hospital was not an AMI or CABG model participant, the episode would initiate at the initial treating hospital and would only be canceled for beneficiaries discharged from the i-i transfer hospital under MS-DRGs that were not anchor MS-DRGs for AMI or CABG episodes as discussed in section III.C.4.b. of the proposed rule </w:t>
      </w:r>
      <w:hyperlink r:id="rId9" w:history="1">
        <w:r>
          <w:rPr>
            <w:rFonts w:ascii="arial" w:eastAsia="arial" w:hAnsi="arial" w:cs="arial"/>
            <w:b w:val="0"/>
            <w:i/>
            <w:strike w:val="0"/>
            <w:noProof w:val="0"/>
            <w:color w:val="0077CC"/>
            <w:position w:val="0"/>
            <w:sz w:val="20"/>
            <w:u w:val="single"/>
            <w:vertAlign w:val="baseline"/>
          </w:rPr>
          <w:t>(81 FR 50841</w:t>
        </w:r>
      </w:hyperlink>
      <w:r>
        <w:rPr>
          <w:rFonts w:ascii="arial" w:eastAsia="arial" w:hAnsi="arial" w:cs="arial"/>
          <w:b w:val="0"/>
          <w:i w:val="0"/>
          <w:strike w:val="0"/>
          <w:noProof w:val="0"/>
          <w:color w:val="000000"/>
          <w:position w:val="0"/>
          <w:sz w:val="20"/>
          <w:u w:val="none"/>
          <w:vertAlign w:val="baseline"/>
        </w:rPr>
        <w:t xml:space="preserve"> through 50842). The initial treating hospital's quality measure performance would determine the effective discount factor to be applied to the AMI or CABG model benchmark episode price for the episode at reconciliation as described in section III.D.4.b.(10) of the proposed rule </w:t>
      </w:r>
      <w:hyperlink r:id="rId9" w:history="1">
        <w:r>
          <w:rPr>
            <w:rFonts w:ascii="arial" w:eastAsia="arial" w:hAnsi="arial" w:cs="arial"/>
            <w:b w:val="0"/>
            <w:i/>
            <w:strike w:val="0"/>
            <w:noProof w:val="0"/>
            <w:color w:val="0077CC"/>
            <w:position w:val="0"/>
            <w:sz w:val="20"/>
            <w:u w:val="single"/>
            <w:vertAlign w:val="baseline"/>
          </w:rPr>
          <w:t>(81 FR 50861</w:t>
        </w:r>
      </w:hyperlink>
      <w:r>
        <w:rPr>
          <w:rFonts w:ascii="arial" w:eastAsia="arial" w:hAnsi="arial" w:cs="arial"/>
          <w:b w:val="0"/>
          <w:i w:val="0"/>
          <w:strike w:val="0"/>
          <w:noProof w:val="0"/>
          <w:color w:val="000000"/>
          <w:position w:val="0"/>
          <w:sz w:val="20"/>
          <w:u w:val="none"/>
          <w:vertAlign w:val="baseline"/>
        </w:rPr>
        <w:t xml:space="preserve"> through 50862). We also refer to section III.D.4.b.(2)(a) of the proposed rule </w:t>
      </w:r>
      <w:hyperlink r:id="rId9" w:history="1">
        <w:r>
          <w:rPr>
            <w:rFonts w:ascii="arial" w:eastAsia="arial" w:hAnsi="arial" w:cs="arial"/>
            <w:b w:val="0"/>
            <w:i/>
            <w:strike w:val="0"/>
            <w:noProof w:val="0"/>
            <w:color w:val="0077CC"/>
            <w:position w:val="0"/>
            <w:sz w:val="20"/>
            <w:u w:val="single"/>
            <w:vertAlign w:val="baseline"/>
          </w:rPr>
          <w:t>(81 FR 50849</w:t>
        </w:r>
      </w:hyperlink>
      <w:r>
        <w:rPr>
          <w:rFonts w:ascii="arial" w:eastAsia="arial" w:hAnsi="arial" w:cs="arial"/>
          <w:b w:val="0"/>
          <w:i w:val="0"/>
          <w:strike w:val="0"/>
          <w:noProof w:val="0"/>
          <w:color w:val="000000"/>
          <w:position w:val="0"/>
          <w:sz w:val="20"/>
          <w:u w:val="none"/>
          <w:vertAlign w:val="baseline"/>
        </w:rPr>
        <w:t xml:space="preserve"> through 50851) for </w:t>
      </w:r>
      <w:r>
        <w:rPr>
          <w:rFonts w:ascii="arial" w:eastAsia="arial" w:hAnsi="arial" w:cs="arial"/>
          <w:b/>
          <w:i w:val="0"/>
          <w:strike w:val="0"/>
          <w:noProof w:val="0"/>
          <w:color w:val="000000"/>
          <w:position w:val="0"/>
          <w:sz w:val="20"/>
          <w:u w:val="none"/>
          <w:vertAlign w:val="baseline"/>
        </w:rPr>
        <w:t> [*273] </w:t>
      </w:r>
      <w:r>
        <w:rPr>
          <w:rFonts w:ascii="arial" w:eastAsia="arial" w:hAnsi="arial" w:cs="arial"/>
          <w:b w:val="0"/>
          <w:i w:val="0"/>
          <w:strike w:val="0"/>
          <w:noProof w:val="0"/>
          <w:color w:val="000000"/>
          <w:position w:val="0"/>
          <w:sz w:val="20"/>
          <w:u w:val="none"/>
          <w:vertAlign w:val="baseline"/>
        </w:rPr>
        <w:t xml:space="preserve"> further discussion of our proposal for price MS-DRGs that could differ from the anchor MS-DRG in AMI episodes that included a chained anchor hospitalization, in order to provide pricing adjustments for episodes where the initial treating hospital was responsible for the AMI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Inpatient-to-inpatient transfers between AMI and CABG model participant hospitals were further considered in this section and specifically included beneficiaries experiencing an AMI who were transferred for revascularization (that is, PCI or CABG) or a higher level of medical AMI care. We noted that of all beneficiaries experiencing an AMI in historical episodes, about half received no revascularization (PCI or CABG) during the anchor hospitalization or the 90-day post-hospital discharge period, about 40 percent received a PCI, and less than 10 percent had CABG surgery. n66 Moreover, three-quarters of CABG procedures and over 90 percent of PCIs for beneficiaries experiencing an AMI occurred at the hospital that first admitted the beneficiary for an inpatient hospitalization. n67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 Episodes for beneficiaries with AMI initiated by all U.S. IPPS hospitals and constructed using standardized Medicare FFS Parts A and B claims, as proposed in the proposed rule, that end in CY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n67 Episodes for beneficiaries with AMI initiated by all U.S. IPPS hospitals and constructed using standardized Medicare FFS Parts A and B claims, as proposed in the proposed rule, that end in CY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given the asymmetric distribution of cardiac care capacity, we noted in the proposed rule </w:t>
      </w:r>
      <w:hyperlink r:id="rId9" w:history="1">
        <w:r>
          <w:rPr>
            <w:rFonts w:ascii="arial" w:eastAsia="arial" w:hAnsi="arial" w:cs="arial"/>
            <w:b w:val="0"/>
            <w:i/>
            <w:strike w:val="0"/>
            <w:noProof w:val="0"/>
            <w:color w:val="0077CC"/>
            <w:position w:val="0"/>
            <w:sz w:val="20"/>
            <w:u w:val="single"/>
            <w:vertAlign w:val="baseline"/>
          </w:rPr>
          <w:t>(81 FR 50837)</w:t>
        </w:r>
      </w:hyperlink>
      <w:r>
        <w:rPr>
          <w:rFonts w:ascii="arial" w:eastAsia="arial" w:hAnsi="arial" w:cs="arial"/>
          <w:b w:val="0"/>
          <w:i w:val="0"/>
          <w:strike w:val="0"/>
          <w:noProof w:val="0"/>
          <w:color w:val="000000"/>
          <w:position w:val="0"/>
          <w:sz w:val="20"/>
          <w:u w:val="none"/>
          <w:vertAlign w:val="baseline"/>
        </w:rPr>
        <w:t xml:space="preserve"> that there would be beneficiaries who initiated an AMI episode by admission to an initial treating hospital but then required transfer to an i-i transfer hospital for additional treatment during the AMI episode, resulting in a chained anchor hospitalization. For historical AMI episodes ending in CY 2014, only about 12 percent of beneficiaries who would have initiated an AMI episode through admission and assignment to an AMI MS-DRG at the initial treating hospital were transferred to an i-i transfer hospital, with 30 percent and 20 percent receiving PCI or CABG, respectively, at the i-i transfer hospital. Another 20 percent were discharged from the i-i transfer hospital in the chained anchor hospitalization under an AMI MS-DRG. The remaining 30 percent of beneficiaries were discharged from the i-i transfer hospital in the chained anchor hospitalization under other MS-DRGs that would not have initiated AMI or CABG episodes, including cardiac valve surgery, septicemia, and renal failure. From the perspective of hospital capacity and transfer patterns, most hospitals transferred less than 10 percent of beneficiaries initiating a historical AMI episode under an AMI MS-DRG at the first admitting hospital, and only a handful of hospitals transferred the majority of their patients in this scenario. n68 This small number of hospitals that transferred the majority of their patients included a range of urban and rural hospitals with 50 to 250 beds.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 Episodes for AMI beneficiaries initiated by all U.S. IPPS hospitals and constructed using standardized Medicare FFS Parts A and B claims, as proposed in the proposed rule, that end in CY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need to transfer a beneficiary in an AMI episode during the anchor hospitalization for appropriate care that resulted in a chained anchor hospitalization where the hospitals were both AMI or CABG model participants raised considerations about whether attribution of the AMI episode should be to the first treating hospital that admitted the beneficiary or the i-i transfer hospital, as well as considerations about the specific model (AMI or CABG) for attribution of the episode in some circumstances. For example, if the first treating hospital initiated an AMI episode by admitting a beneficiary and then transferred the beneficiary to another hospital where the beneficiary was treated and ultimately discharged from acute care, ending the chained anchor hospitalization under a CABG MS-DRG, then we needed to determine whether the beneficiary would be included in the AMI or CABG model, which hospital would assume financial responsibility for the beneficiary's episode, and under what circumstances, if any, would the AMI episode be canceled if a transfer occurred.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considering the model episode that would include the beneficiary's care and accountability for the beneficiary in inpatient-to-inpatient transfer scenarios between AMI and CABG model participant hospitals that resulted in a chained anchor hospitalization for AMI, several factors were relevant, including the timing of final discharge disposition of the beneficiary, including to post-acute care; the location of the post-acute care; the identity and location of the physician who was most responsible for managing the beneficiary's care after discharge; and consistency with other CMS transfer policies. We noted in the proposed rule </w:t>
      </w:r>
      <w:hyperlink r:id="rId9" w:history="1">
        <w:r>
          <w:rPr>
            <w:rFonts w:ascii="arial" w:eastAsia="arial" w:hAnsi="arial" w:cs="arial"/>
            <w:b w:val="0"/>
            <w:i/>
            <w:strike w:val="0"/>
            <w:noProof w:val="0"/>
            <w:color w:val="0077CC"/>
            <w:position w:val="0"/>
            <w:sz w:val="20"/>
            <w:u w:val="single"/>
            <w:vertAlign w:val="baseline"/>
          </w:rPr>
          <w:t>(81 FR 50837)</w:t>
        </w:r>
      </w:hyperlink>
      <w:r>
        <w:rPr>
          <w:rFonts w:ascii="arial" w:eastAsia="arial" w:hAnsi="arial" w:cs="arial"/>
          <w:b w:val="0"/>
          <w:i w:val="0"/>
          <w:strike w:val="0"/>
          <w:noProof w:val="0"/>
          <w:color w:val="000000"/>
          <w:position w:val="0"/>
          <w:sz w:val="20"/>
          <w:u w:val="none"/>
          <w:vertAlign w:val="baseline"/>
        </w:rPr>
        <w:t xml:space="preserve"> that while 64 percent of CABG beneficiaries in historical episodes received post-acute care services following discharge from the anchor hospitalization (most commonly home health services--43 percent received home health services only and 13 percent a combination of home health and SNF services), only 36 percent of historical AMI beneficiaries received post-acute services. n69 Of further relevance for beneficiaries with an AMI diagnosis was that significant follow up care was usually performed by cardiologists who managed the patient's underlying cardiovascular disease, rather than the interventional cardiologist or cardiothoracic surgeon that performed the revascularization procedure. PCI procedures, billed by interventional cardiologists, have a 0-day global period, reflecting that follow up care is not typically furnished by interventional cardiologists. We further noted that patients in commercial programs that require travel to regional centers of excellence for CABG generally only stay in the remote location away from the patient's home for a week or so post-hospital discharge. We expected that beneficiaries hospitalized for treatment of AMI, even if they were transferred to a revascularization hospital resulting in a chained anchor hospitalization, would receive most follow up care in their local communities, a view that was supported by many commenters on the CJR model proposed rule who believed that many patients requiring post-acute care prefer to return to their home communities for that care following hospital discharge </w:t>
      </w:r>
      <w:hyperlink r:id="rId41" w:history="1">
        <w:r>
          <w:rPr>
            <w:rFonts w:ascii="arial" w:eastAsia="arial" w:hAnsi="arial" w:cs="arial"/>
            <w:b w:val="0"/>
            <w:i/>
            <w:strike w:val="0"/>
            <w:noProof w:val="0"/>
            <w:color w:val="0077CC"/>
            <w:position w:val="0"/>
            <w:sz w:val="20"/>
            <w:u w:val="single"/>
            <w:vertAlign w:val="baseline"/>
          </w:rPr>
          <w:t>(80 FR 23457).</w:t>
        </w:r>
      </w:hyperlink>
      <w:r>
        <w:rPr>
          <w:rFonts w:ascii="arial" w:eastAsia="arial" w:hAnsi="arial" w:cs="arial"/>
          <w:b w:val="0"/>
          <w:i w:val="0"/>
          <w:strike w:val="0"/>
          <w:noProof w:val="0"/>
          <w:color w:val="000000"/>
          <w:position w:val="0"/>
          <w:sz w:val="20"/>
          <w:u w:val="none"/>
          <w:vertAlign w:val="baseline"/>
        </w:rPr>
        <w:t xml:space="preserve"> Finally, consistency across other CMS program policies when a beneficiary with an AMI experienced an inpatient-to-inpatient transfer was relevant to developing policies for the AMI and CABG models. Specifically, we noted that the Hospital-Level, Risk-Standardized Payment Associated with a 30-Day Episode of Care for AMI (NQF #2431) measure used in the hospital value-based purchasing (HVBP) Program attributes payments for transferred beneficiaries to the hospital that admitted the patient for the initial AMI hospitalization. n70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n69 Episodes for AMI and CABG beneficiaries initiated by all U.S. IPPS hospitals and constructed using standardized Medicare FFS Parts A and B claims, as proposed in the proposed rule, that end in CY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 </w:t>
      </w:r>
      <w:hyperlink r:id="rId42" w:history="1">
        <w:r>
          <w:rPr>
            <w:rFonts w:ascii="arial" w:eastAsia="arial" w:hAnsi="arial" w:cs="arial"/>
            <w:b w:val="0"/>
            <w:i/>
            <w:strike w:val="0"/>
            <w:noProof w:val="0"/>
            <w:color w:val="0077CC"/>
            <w:position w:val="0"/>
            <w:sz w:val="20"/>
            <w:u w:val="single"/>
            <w:vertAlign w:val="baseline"/>
          </w:rPr>
          <w:t>https://www.cms.gov/Medicare/Quality-Initiatives-Patient-Assessment-Instruments/HospitalQualityInits/Measure-Methodology.html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these considerations, we proposed that once an AMI episode was initiated at an AMI model participant hospital through an inpatient hospitalization, the AMI episode would continue under the financial responsibility of that participant hospital, regardless of whether the </w:t>
      </w:r>
      <w:r>
        <w:rPr>
          <w:rFonts w:ascii="arial" w:eastAsia="arial" w:hAnsi="arial" w:cs="arial"/>
          <w:b/>
          <w:i w:val="0"/>
          <w:strike w:val="0"/>
          <w:noProof w:val="0"/>
          <w:color w:val="000000"/>
          <w:position w:val="0"/>
          <w:sz w:val="20"/>
          <w:u w:val="none"/>
          <w:vertAlign w:val="baseline"/>
        </w:rPr>
        <w:t> [*274] </w:t>
      </w:r>
      <w:r>
        <w:rPr>
          <w:rFonts w:ascii="arial" w:eastAsia="arial" w:hAnsi="arial" w:cs="arial"/>
          <w:b w:val="0"/>
          <w:i w:val="0"/>
          <w:strike w:val="0"/>
          <w:noProof w:val="0"/>
          <w:color w:val="000000"/>
          <w:position w:val="0"/>
          <w:sz w:val="20"/>
          <w:u w:val="none"/>
          <w:vertAlign w:val="baseline"/>
        </w:rPr>
        <w:t xml:space="preserve"> beneficiary was transferred to another AMI or CABG model participant hospital for further medical management of AMI, or for a PCI or CABG during a chained anchor hospitalization. Under this proposal, the initial treating hospital's quality measure performance would determine the effective discount factor to be applied to the AMI model benchmark episode price for the episode at reconciliation as described in section III.D.4.b.(10) of the proposed rule (50861 through 50862) rule. Our proposal to cancel AMI episodes for beneficiaries discharged from the i-i transfer hospital under MS-DRGs that were not anchor MS-DRGs for AMI or CABG episodes was discussed in section III.C.4.b. of the proposed rule </w:t>
      </w:r>
      <w:hyperlink r:id="rId9" w:history="1">
        <w:r>
          <w:rPr>
            <w:rFonts w:ascii="arial" w:eastAsia="arial" w:hAnsi="arial" w:cs="arial"/>
            <w:b w:val="0"/>
            <w:i/>
            <w:strike w:val="0"/>
            <w:noProof w:val="0"/>
            <w:color w:val="0077CC"/>
            <w:position w:val="0"/>
            <w:sz w:val="20"/>
            <w:u w:val="single"/>
            <w:vertAlign w:val="baseline"/>
          </w:rPr>
          <w:t>(81 FR 50841</w:t>
        </w:r>
      </w:hyperlink>
      <w:r>
        <w:rPr>
          <w:rFonts w:ascii="arial" w:eastAsia="arial" w:hAnsi="arial" w:cs="arial"/>
          <w:b w:val="0"/>
          <w:i w:val="0"/>
          <w:strike w:val="0"/>
          <w:noProof w:val="0"/>
          <w:color w:val="000000"/>
          <w:position w:val="0"/>
          <w:sz w:val="20"/>
          <w:u w:val="none"/>
          <w:vertAlign w:val="baseline"/>
        </w:rPr>
        <w:t xml:space="preserve"> through 50842). We also referred to section III.D.4.b.(2)(a) of the proposed rule </w:t>
      </w:r>
      <w:hyperlink r:id="rId9" w:history="1">
        <w:r>
          <w:rPr>
            <w:rFonts w:ascii="arial" w:eastAsia="arial" w:hAnsi="arial" w:cs="arial"/>
            <w:b w:val="0"/>
            <w:i/>
            <w:strike w:val="0"/>
            <w:noProof w:val="0"/>
            <w:color w:val="0077CC"/>
            <w:position w:val="0"/>
            <w:sz w:val="20"/>
            <w:u w:val="single"/>
            <w:vertAlign w:val="baseline"/>
          </w:rPr>
          <w:t>(81 FR 50849</w:t>
        </w:r>
      </w:hyperlink>
      <w:r>
        <w:rPr>
          <w:rFonts w:ascii="arial" w:eastAsia="arial" w:hAnsi="arial" w:cs="arial"/>
          <w:b w:val="0"/>
          <w:i w:val="0"/>
          <w:strike w:val="0"/>
          <w:noProof w:val="0"/>
          <w:color w:val="000000"/>
          <w:position w:val="0"/>
          <w:sz w:val="20"/>
          <w:u w:val="none"/>
          <w:vertAlign w:val="baseline"/>
        </w:rPr>
        <w:t xml:space="preserve"> through 50851) for further discussion of the proposal for price MS-DRGs that could differ from the anchor MS-DRG in AMI episodes that included a chained anchor hospitalization, in order to provide pricing adjustments for episodes where the initial treating hospital was responsible for the AMI episode.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9" w:history="1">
        <w:r>
          <w:rPr>
            <w:rFonts w:ascii="arial" w:eastAsia="arial" w:hAnsi="arial" w:cs="arial"/>
            <w:b w:val="0"/>
            <w:i/>
            <w:strike w:val="0"/>
            <w:noProof w:val="0"/>
            <w:color w:val="0077CC"/>
            <w:position w:val="0"/>
            <w:sz w:val="20"/>
            <w:u w:val="single"/>
            <w:vertAlign w:val="baseline"/>
          </w:rPr>
          <w:t>(81 FR 50838),</w:t>
        </w:r>
      </w:hyperlink>
      <w:r>
        <w:rPr>
          <w:rFonts w:ascii="arial" w:eastAsia="arial" w:hAnsi="arial" w:cs="arial"/>
          <w:b w:val="0"/>
          <w:i w:val="0"/>
          <w:strike w:val="0"/>
          <w:noProof w:val="0"/>
          <w:color w:val="000000"/>
          <w:position w:val="0"/>
          <w:sz w:val="20"/>
          <w:u w:val="none"/>
          <w:vertAlign w:val="baseline"/>
        </w:rPr>
        <w:t xml:space="preserve"> we noted that we did not propose to cancel the AMI episode even if the transfer and admission to the i-i transfer hospital would otherwise initiate a CABG episode at the i-i transfer hospital. We believed that once the AMI episode had been initiated, all related care during the episode (including hospital care for transfers and related readmissions for CABG) should be fully attributed to the AMI episode in the manner described in this section for the episode and that the first hospital that initiated the AMI episode should be financially responsible for the AMI episode. Therefore, we did not propose to cancel the AMI episode if a CABG was performed during a chained anchor hospitalization, nor did we propose that a beneficiary could simultaneously be in an AMI and CABG episode for overlapping periods of time due to the different MS-DRGs that applied during the chained anchor hospitalization. Instead, we would make an AMI episode pricing adjustment for these circumstances by paying the AMI model participant based on a price MS-DRG that was different from the anchor MS-DRG to reflect Medicare payment for the CABG as discussed in section III.D.4.b.(2)(a) of the proposed rule </w:t>
      </w:r>
      <w:hyperlink r:id="rId9" w:history="1">
        <w:r>
          <w:rPr>
            <w:rFonts w:ascii="arial" w:eastAsia="arial" w:hAnsi="arial" w:cs="arial"/>
            <w:b w:val="0"/>
            <w:i/>
            <w:strike w:val="0"/>
            <w:noProof w:val="0"/>
            <w:color w:val="0077CC"/>
            <w:position w:val="0"/>
            <w:sz w:val="20"/>
            <w:u w:val="single"/>
            <w:vertAlign w:val="baseline"/>
          </w:rPr>
          <w:t>(81 FR 50849</w:t>
        </w:r>
      </w:hyperlink>
      <w:r>
        <w:rPr>
          <w:rFonts w:ascii="arial" w:eastAsia="arial" w:hAnsi="arial" w:cs="arial"/>
          <w:b w:val="0"/>
          <w:i w:val="0"/>
          <w:strike w:val="0"/>
          <w:noProof w:val="0"/>
          <w:color w:val="000000"/>
          <w:position w:val="0"/>
          <w:sz w:val="20"/>
          <w:u w:val="none"/>
          <w:vertAlign w:val="baseline"/>
        </w:rPr>
        <w:t xml:space="preserve"> through 50851).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considered several alternatives to our proposal for AMI episode attribution for inpatient-to-inpatient transfer scenario where both hospitals are AMI or CABG model participants. First, we considered canceling the AMI episode initiated at the initial treating hospital when a transfer occurs, and basing any AMI or CABG episode initiation on the MS-DRG for the final i-i transfer hospital admission in the chained anchor hospitalization as long as that latter hospital was an AMI or CABG model participant. This would place financial responsibility for the episode on the i-i transfer hospital if the beneficiary went on to be discharged from acute care at that hospital. Attributing episodes under this alternative policy would assign beneficiaries to the final i-i transfer hospital for the AMI or CABG episode based on the model episode definitions in sections III.C.4.a.(2) and (3) of the proposed rule </w:t>
      </w:r>
      <w:hyperlink r:id="rId9" w:history="1">
        <w:r>
          <w:rPr>
            <w:rFonts w:ascii="arial" w:eastAsia="arial" w:hAnsi="arial" w:cs="arial"/>
            <w:b w:val="0"/>
            <w:i/>
            <w:strike w:val="0"/>
            <w:noProof w:val="0"/>
            <w:color w:val="0077CC"/>
            <w:position w:val="0"/>
            <w:sz w:val="20"/>
            <w:u w:val="single"/>
            <w:vertAlign w:val="baseline"/>
          </w:rPr>
          <w:t>(81 FR 50834</w:t>
        </w:r>
      </w:hyperlink>
      <w:r>
        <w:rPr>
          <w:rFonts w:ascii="arial" w:eastAsia="arial" w:hAnsi="arial" w:cs="arial"/>
          <w:b w:val="0"/>
          <w:i w:val="0"/>
          <w:strike w:val="0"/>
          <w:noProof w:val="0"/>
          <w:color w:val="000000"/>
          <w:position w:val="0"/>
          <w:sz w:val="20"/>
          <w:u w:val="none"/>
          <w:vertAlign w:val="baseline"/>
        </w:rPr>
        <w:t xml:space="preserve"> through 50835). That is, if the beneficiary was discharged from the final admission in the chained anchor hospitalization under an AMI MS-DRG or a PCI MS-DRG, then the AMI episode initiated at the initial treating hospital would be canceled and the i-i transfer hospital accepting the beneficiary on referral would initiate an AMI episode. Similarly, if the beneficiary was discharged from the final admission in the chained anchor hospitalization under a CABG MS-DRG, then the AMI episode initiated at the first hospital would be canceled and the i-i transfer hospital accepting the beneficiary on referral would initiate a CABG episode. Under this alternative, the i-i transfer hospital's quality measure performance would determine the effective discount factor to be applied to the AMI or CABG model benchmark episode price for the episode at reconciliation as described in section III.D.4.b.(10) of the proposed rule </w:t>
      </w:r>
      <w:hyperlink r:id="rId9" w:history="1">
        <w:r>
          <w:rPr>
            <w:rFonts w:ascii="arial" w:eastAsia="arial" w:hAnsi="arial" w:cs="arial"/>
            <w:b w:val="0"/>
            <w:i/>
            <w:strike w:val="0"/>
            <w:noProof w:val="0"/>
            <w:color w:val="0077CC"/>
            <w:position w:val="0"/>
            <w:sz w:val="20"/>
            <w:u w:val="single"/>
            <w:vertAlign w:val="baseline"/>
          </w:rPr>
          <w:t>(81 FR 50861</w:t>
        </w:r>
      </w:hyperlink>
      <w:r>
        <w:rPr>
          <w:rFonts w:ascii="arial" w:eastAsia="arial" w:hAnsi="arial" w:cs="arial"/>
          <w:b w:val="0"/>
          <w:i w:val="0"/>
          <w:strike w:val="0"/>
          <w:noProof w:val="0"/>
          <w:color w:val="000000"/>
          <w:position w:val="0"/>
          <w:sz w:val="20"/>
          <w:u w:val="none"/>
          <w:vertAlign w:val="baseline"/>
        </w:rPr>
        <w:t xml:space="preserve"> through 50862). However, we did not propose this alternative because we believed that post-acute care and care management following hospital discharge would be more likely to be effectively provided near the beneficiary's home community, rather than near the i-i transfer hospital accepting the beneficiary upon referral.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we considered proposing an episode hierarchy such that, during a chained anchor hospitalization, the most resource-intensive MS-DRG during the whole chained anchor hospitalization would determine the model episode and the financially responsible hospital for the episode. For example, if we established CABG, PCI, and AMI MS-DRGs in descending order of inpatient hospital resource-intensity, we would initiate a model episode based on the most resource-intensive MS-DRG during the chained anchor hospitalization and attribute the model episode to the hospital discharging the beneficiary under that MS-DRG. Under this scenario, either the initial treating or i-i transfer hospital's quality measure performance would determine the effective discount factor to be applied to the AMI or CABG model benchmark episode price for the episode at reconciliation as described in section III.D.4.b.(10) of the proposed rule </w:t>
      </w:r>
      <w:hyperlink r:id="rId9" w:history="1">
        <w:r>
          <w:rPr>
            <w:rFonts w:ascii="arial" w:eastAsia="arial" w:hAnsi="arial" w:cs="arial"/>
            <w:b w:val="0"/>
            <w:i/>
            <w:strike w:val="0"/>
            <w:noProof w:val="0"/>
            <w:color w:val="0077CC"/>
            <w:position w:val="0"/>
            <w:sz w:val="20"/>
            <w:u w:val="single"/>
            <w:vertAlign w:val="baseline"/>
          </w:rPr>
          <w:t>(81 FR 50861</w:t>
        </w:r>
      </w:hyperlink>
      <w:r>
        <w:rPr>
          <w:rFonts w:ascii="arial" w:eastAsia="arial" w:hAnsi="arial" w:cs="arial"/>
          <w:b w:val="0"/>
          <w:i w:val="0"/>
          <w:strike w:val="0"/>
          <w:noProof w:val="0"/>
          <w:color w:val="000000"/>
          <w:position w:val="0"/>
          <w:sz w:val="20"/>
          <w:u w:val="none"/>
          <w:vertAlign w:val="baseline"/>
        </w:rPr>
        <w:t xml:space="preserve"> through 50862), depending on the specific hospital discharging the beneficiary under the most resource-intensive MS-DRG during the chained anchor hospitalization. However, we did not propose this alternative because we believed, like the first alternative we considered, this could frequently lead to episode responsibility being attributed to the i-i transfer hospital when the local hospital first caring for the beneficiary with AMI may be better positioned to coordinate care in the beneficiary's home community.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our proposal would have placed responsibility for care during the 90-day post-hospital discharge period in the AMI episode on the AMI model participant hospital to which the beneficiary initially presented for AMI care and was admitted, rather than on the i-i transfer hospital to which the beneficiary was transferred after initiating the AMI episode. Given the broad episode definition of AMI episodes, we believed that the post-discharge care required following hospitalization that included CABG, PCI, or medical management was best coordinated and managed by the hospital that originally admitted the beneficiary for the AMI. Such post-discharge care could include follow up for adherence to cardiac rehabilitation referral and management of the beneficiary's underlying CAD and comorbidities. Even in the case of the more common surgical complications of CABG, such as wound infection, the beneficiary commonly would be admitted to the local hospital for treatment.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further proposed that, as discussed in section III.I.3. of the proposed rule </w:t>
      </w:r>
      <w:hyperlink r:id="rId9" w:history="1">
        <w:r>
          <w:rPr>
            <w:rFonts w:ascii="arial" w:eastAsia="arial" w:hAnsi="arial" w:cs="arial"/>
            <w:b w:val="0"/>
            <w:i/>
            <w:strike w:val="0"/>
            <w:noProof w:val="0"/>
            <w:color w:val="0077CC"/>
            <w:position w:val="0"/>
            <w:sz w:val="20"/>
            <w:u w:val="single"/>
            <w:vertAlign w:val="baseline"/>
          </w:rPr>
          <w:t>(81 FR 50918</w:t>
        </w:r>
      </w:hyperlink>
      <w:r>
        <w:rPr>
          <w:rFonts w:ascii="arial" w:eastAsia="arial" w:hAnsi="arial" w:cs="arial"/>
          <w:b w:val="0"/>
          <w:i w:val="0"/>
          <w:strike w:val="0"/>
          <w:noProof w:val="0"/>
          <w:color w:val="000000"/>
          <w:position w:val="0"/>
          <w:sz w:val="20"/>
          <w:u w:val="none"/>
          <w:vertAlign w:val="baseline"/>
        </w:rPr>
        <w:t xml:space="preserve"> through 50920), hospitals could be collaborators in the AMI, CABG, and SHFFT models in order to increase the financial alignment of hospitals and other EPM collaborators with EPM participants that were financially responsible for EPM episodes. Therefore, we expected that community hospital participants in the AMI model would be able to enter into sharing arrangements with i-i transfer hospitals accepting AMI model beneficiaries on referral to allow sharing of episode reconciliation payments or </w:t>
      </w:r>
      <w:r>
        <w:rPr>
          <w:rFonts w:ascii="arial" w:eastAsia="arial" w:hAnsi="arial" w:cs="arial"/>
          <w:b/>
          <w:i w:val="0"/>
          <w:strike w:val="0"/>
          <w:noProof w:val="0"/>
          <w:color w:val="000000"/>
          <w:position w:val="0"/>
          <w:sz w:val="20"/>
          <w:u w:val="none"/>
          <w:vertAlign w:val="baseline"/>
        </w:rPr>
        <w:t> [*275] </w:t>
      </w:r>
      <w:r>
        <w:rPr>
          <w:rFonts w:ascii="arial" w:eastAsia="arial" w:hAnsi="arial" w:cs="arial"/>
          <w:b w:val="0"/>
          <w:i w:val="0"/>
          <w:strike w:val="0"/>
          <w:noProof w:val="0"/>
          <w:color w:val="000000"/>
          <w:position w:val="0"/>
          <w:sz w:val="20"/>
          <w:u w:val="none"/>
          <w:vertAlign w:val="baseline"/>
        </w:rPr>
        <w:t xml:space="preserve"> repayment responsibility with the i-i transfer hospitals if those hospitals played a significant role in care redesign of AMI or CABG care pathways or management of beneficiaries throughout AMI or CABG episodes, including during the 90 days post-hospital discharge. We expected that community hospitals would need to coordinate closely with i-i transfer hospitals accepting AMI model beneficiaries on referral as the beneficiaries in AMI episodes were discharged from those hospitals, in order to improve the quality and efficiency of AMI episodes. This coordination could potentially be enhanced if i-i transfer hospitals were AMI model collaborators with financial incentives that were aligned with those of the AMI model participants through sharing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AMI episode attribution in circumstances that involve inpatient-to-inpatient transfers of beneficiaries with AMI was included in proposed § 512.240(a)(2). We sought comment on our proposal for AMI episode attribution in circumstances that involved inpatient-to-inpatient transfers of beneficiaries with AMI, including comment on the alternatives considered.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outpatient-to-inpatient transfer scenario where a beneficiary with AMI was transferred from the emergency department of the initial treating hospital without admission to that hospital as an inpatient to an o-i transfer hospital for admission, we proposed that the AMI or CABG episode would begin at the o-i transfer hospital based on the MS-DRG (and AMI ICD-CM diagnosis code if a PCI MS-DRG applies) that was assigned to that anchor hospitalization. That is, if a beneficiary received initial AMI care in a hospital emergency department without admission and was transferred to an AMI or CABG model participant (the o-i transfer hospital) for admission, then the AMI or CABG episode would begin in the first hospital involved in the beneficiary's AMI or CABG care that admitted the beneficiary as an inpatient, specifically the o-i transfer hospital. Therefore, the o-i transfer hospital would be financially responsible for the AMI or CABG episode. This attribution was in accordance with the AMI and CABG model rules, as discussed in sections III.C.4.a.(2) and (3) of the proposed rule </w:t>
      </w:r>
      <w:hyperlink r:id="rId9" w:history="1">
        <w:r>
          <w:rPr>
            <w:rFonts w:ascii="arial" w:eastAsia="arial" w:hAnsi="arial" w:cs="arial"/>
            <w:b w:val="0"/>
            <w:i/>
            <w:strike w:val="0"/>
            <w:noProof w:val="0"/>
            <w:color w:val="0077CC"/>
            <w:position w:val="0"/>
            <w:sz w:val="20"/>
            <w:u w:val="single"/>
            <w:vertAlign w:val="baseline"/>
          </w:rPr>
          <w:t>(81 FR 50834</w:t>
        </w:r>
      </w:hyperlink>
      <w:r>
        <w:rPr>
          <w:rFonts w:ascii="arial" w:eastAsia="arial" w:hAnsi="arial" w:cs="arial"/>
          <w:b w:val="0"/>
          <w:i w:val="0"/>
          <w:strike w:val="0"/>
          <w:noProof w:val="0"/>
          <w:color w:val="000000"/>
          <w:position w:val="0"/>
          <w:sz w:val="20"/>
          <w:u w:val="none"/>
          <w:vertAlign w:val="baseline"/>
        </w:rPr>
        <w:t xml:space="preserve"> through 50835), that initiated an AMI episode with a hospitalization that results in discharge from an AMI MS-DRG or PCI MS-DRG with an AMI ICD-CM diagnosis code in the principal or secondary position from an AMI model participant or a CABG episode with a hospitalization that resulted in discharge from a CABG MS-DRG. Under this proposal, the o-i transfer hospital's quality measure performance would determine the effective discount factor to be applied to the AMI or CABG model benchmark episode price for the episode at reconciliation as described in section III.D.4.b.(10) of the proposed rule </w:t>
      </w:r>
      <w:hyperlink r:id="rId9" w:history="1">
        <w:r>
          <w:rPr>
            <w:rFonts w:ascii="arial" w:eastAsia="arial" w:hAnsi="arial" w:cs="arial"/>
            <w:b w:val="0"/>
            <w:i/>
            <w:strike w:val="0"/>
            <w:noProof w:val="0"/>
            <w:color w:val="0077CC"/>
            <w:position w:val="0"/>
            <w:sz w:val="20"/>
            <w:u w:val="single"/>
            <w:vertAlign w:val="baseline"/>
          </w:rPr>
          <w:t>(81 FR 50861</w:t>
        </w:r>
      </w:hyperlink>
      <w:r>
        <w:rPr>
          <w:rFonts w:ascii="arial" w:eastAsia="arial" w:hAnsi="arial" w:cs="arial"/>
          <w:b w:val="0"/>
          <w:i w:val="0"/>
          <w:strike w:val="0"/>
          <w:noProof w:val="0"/>
          <w:color w:val="000000"/>
          <w:position w:val="0"/>
          <w:sz w:val="20"/>
          <w:u w:val="none"/>
          <w:vertAlign w:val="baseline"/>
        </w:rPr>
        <w:t xml:space="preserve"> through 50862). Under this proposal, regardless of whether the initial treating hospital was an AMI or CABG model participant, an AMI or CABG episode would only be initiated at the o-i transfer hospital if that hospital was an AMI or CABG model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an overarching alternative policy that would begin every AMI or CABG episode at the first AMI or CABG model participant at which either:</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presented to the emergency department for initial AMI care before being transferred to an o-i transfer hospital; or</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was admitted for an AMI MS-DRG, PCI MS-DRG with an AMI ICD-CM diagnosis code, or a CABG MS-DRG.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AMI or CABG model participant where the episode began would then be financially responsible for the AMI or CABG episode unless the episode was canceled. Under this alternative, there would no changes to our proposals for attributing episodes with no transfers or inpatient-to-inpatient transfers.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under this alternative, if the beneficiary presented for initial AMI care to the emergency department of an AMI or CABG model participant, the AMI or CABG episode would begin at this initial treating hospital when a beneficiary was transferred from the emergency department for his or her first inpatient hospitalization which occurred at an o-i transfer hospital. This would place financial responsibility for the AMI or CABG episode on the initial treating hospital despite the fact that the beneficiary was transferred from that hospital without being admitted, and the initial treating hospital's quality measure performance would determine the effective discount factor to be applied to the AMI or CABG model benchmark episode price for the episode at reconciliation as described in section III.D.4.b.(10) of the proposed rule </w:t>
      </w:r>
      <w:hyperlink r:id="rId9" w:history="1">
        <w:r>
          <w:rPr>
            <w:rFonts w:ascii="arial" w:eastAsia="arial" w:hAnsi="arial" w:cs="arial"/>
            <w:b w:val="0"/>
            <w:i/>
            <w:strike w:val="0"/>
            <w:noProof w:val="0"/>
            <w:color w:val="0077CC"/>
            <w:position w:val="0"/>
            <w:sz w:val="20"/>
            <w:u w:val="single"/>
            <w:vertAlign w:val="baseline"/>
          </w:rPr>
          <w:t>(81 FR 50861</w:t>
        </w:r>
      </w:hyperlink>
      <w:r>
        <w:rPr>
          <w:rFonts w:ascii="arial" w:eastAsia="arial" w:hAnsi="arial" w:cs="arial"/>
          <w:b w:val="0"/>
          <w:i w:val="0"/>
          <w:strike w:val="0"/>
          <w:noProof w:val="0"/>
          <w:color w:val="000000"/>
          <w:position w:val="0"/>
          <w:sz w:val="20"/>
          <w:u w:val="none"/>
          <w:vertAlign w:val="baseline"/>
        </w:rPr>
        <w:t xml:space="preserve"> through 50862).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Identifying the emergency department visit at the initial treating hospital would require using Field (Form Locator) 15--Point of Origin for Admission or Visit code on the CMS 1450 IPPS claim from the o-i transfer hospital to identify transfer from another hospital and linking that claim to the hospital outpatient claims from the initial treating hospital for the emergency department visit and other hospital outpatient services that occurred within a certain period of time prior to the o-i transfer hospital admission and that were related to the AMI care. The episode would be assigned to the AMI model even if the beneficiary received a CABG at the o-i transfer hospital, and we would assign financial responsibility for the AMI episode to the initial treating hospital. Under this alternative, the initial treating hospital's quality measure performance would determine the effective discount factor to be applied to the AMI model benchmark episode price for the episode at reconciliation as described in section III.D.4.b.(10) of the propose rule </w:t>
      </w:r>
      <w:hyperlink r:id="rId9" w:history="1">
        <w:r>
          <w:rPr>
            <w:rFonts w:ascii="arial" w:eastAsia="arial" w:hAnsi="arial" w:cs="arial"/>
            <w:b w:val="0"/>
            <w:i/>
            <w:strike w:val="0"/>
            <w:noProof w:val="0"/>
            <w:color w:val="0077CC"/>
            <w:position w:val="0"/>
            <w:sz w:val="20"/>
            <w:u w:val="single"/>
            <w:vertAlign w:val="baseline"/>
          </w:rPr>
          <w:t>(81 FR 50861</w:t>
        </w:r>
      </w:hyperlink>
      <w:r>
        <w:rPr>
          <w:rFonts w:ascii="arial" w:eastAsia="arial" w:hAnsi="arial" w:cs="arial"/>
          <w:b w:val="0"/>
          <w:i w:val="0"/>
          <w:strike w:val="0"/>
          <w:noProof w:val="0"/>
          <w:color w:val="000000"/>
          <w:position w:val="0"/>
          <w:sz w:val="20"/>
          <w:u w:val="none"/>
          <w:vertAlign w:val="baseline"/>
        </w:rPr>
        <w:t xml:space="preserve"> through 50862). We would also need to identify other types of related services to include in the episode that would begin prior to the o-i transfer hospital admission, such as physicians' services for care in the emergency department.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alternative would have had the benefit of consistently including all care in each AMI or CABG episode that occurred following presentation of a beneficiary with AMI to the emergency department of an AMI or CABG model participant to the AMI or CABG episode, regardless of whether an AMI or CABG episode involved no transfer, o-i transfer, or i-i transfer. However, because this alternative would have begun the AMI episode prior to the initial hospital admission, we would have needed to establish additional policies for identifying the beneficiaries who initiated these episodes and defined the timeframe and services that would have been included in the AMI or CABG episode prior to admission to the o-i transfer hospital.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propose this alternative because we believed the policies necessary to begin the AMI or CABG episode at the first treating hospital when an inpatient hospitalization did not occur would be complex, challenging to operationalize, and required assumptions about the relationship of care to the AMI based solely on administrative claims data that were insufficient to ensure we could accurately identify related care. We believed it remained problematic to define the services to be included in AMI or CABG episodes if those services preceded an inpatient hospitalization that would otherwise initiate the AMI or CABG episode. For example, we would need to define the timeframe for beginning an AMI or CABG episode with an emergency department visit for AMI that resulted in a transfer to the o- </w:t>
      </w:r>
      <w:r>
        <w:rPr>
          <w:rFonts w:ascii="arial" w:eastAsia="arial" w:hAnsi="arial" w:cs="arial"/>
          <w:b/>
          <w:i w:val="0"/>
          <w:strike w:val="0"/>
          <w:noProof w:val="0"/>
          <w:color w:val="000000"/>
          <w:position w:val="0"/>
          <w:sz w:val="20"/>
          <w:u w:val="none"/>
          <w:vertAlign w:val="baseline"/>
        </w:rPr>
        <w:t> [*276] </w:t>
      </w:r>
      <w:r>
        <w:rPr>
          <w:rFonts w:ascii="arial" w:eastAsia="arial" w:hAnsi="arial" w:cs="arial"/>
          <w:b w:val="0"/>
          <w:i w:val="0"/>
          <w:strike w:val="0"/>
          <w:noProof w:val="0"/>
          <w:color w:val="000000"/>
          <w:position w:val="0"/>
          <w:sz w:val="20"/>
          <w:u w:val="none"/>
          <w:vertAlign w:val="baseline"/>
        </w:rPr>
        <w:t xml:space="preserve"> i transfer hospital, as well as the Part A and Part B services to be included in the AMI or CABG episode that would result. As we discussed in section III.C.4.a.(1) of the proposed rule </w:t>
      </w:r>
      <w:hyperlink r:id="rId9" w:history="1">
        <w:r>
          <w:rPr>
            <w:rFonts w:ascii="arial" w:eastAsia="arial" w:hAnsi="arial" w:cs="arial"/>
            <w:b w:val="0"/>
            <w:i/>
            <w:strike w:val="0"/>
            <w:noProof w:val="0"/>
            <w:color w:val="0077CC"/>
            <w:position w:val="0"/>
            <w:sz w:val="20"/>
            <w:u w:val="single"/>
            <w:vertAlign w:val="baseline"/>
          </w:rPr>
          <w:t>(81 FR 50834),</w:t>
        </w:r>
      </w:hyperlink>
      <w:r>
        <w:rPr>
          <w:rFonts w:ascii="arial" w:eastAsia="arial" w:hAnsi="arial" w:cs="arial"/>
          <w:b w:val="0"/>
          <w:i w:val="0"/>
          <w:strike w:val="0"/>
          <w:noProof w:val="0"/>
          <w:color w:val="000000"/>
          <w:position w:val="0"/>
          <w:sz w:val="20"/>
          <w:u w:val="none"/>
          <w:vertAlign w:val="baseline"/>
        </w:rPr>
        <w:t xml:space="preserve"> we did not propose to begin any EPM episode prior to the anchor hospitalization because of the clinical variability leading up to all EPM episodes and the challenge of identifying unrelated services prior to the inpatient hospitalization. Thus, we did not propose to make an exception for transfers from the emergency department of the initial treating AMI or CABG model participant hospital when the beneficiary with AMI was not admitted to that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the proposal for AMI and CABG episode initiation and attribution for the outpatient-to-inpatient transfer scenario, as well as the alternative considered that would begin an episode upon presentation of a beneficiary for initial AMI care to the emergency department of an AMI or CABG model participant when the care resulted in an outpatient-to-inpatient transfer.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7 included in the proposed rule </w:t>
      </w:r>
      <w:hyperlink r:id="rId9" w:history="1">
        <w:r>
          <w:rPr>
            <w:rFonts w:ascii="arial" w:eastAsia="arial" w:hAnsi="arial" w:cs="arial"/>
            <w:b w:val="0"/>
            <w:i/>
            <w:strike w:val="0"/>
            <w:noProof w:val="0"/>
            <w:color w:val="0077CC"/>
            <w:position w:val="0"/>
            <w:sz w:val="20"/>
            <w:u w:val="single"/>
            <w:vertAlign w:val="baseline"/>
          </w:rPr>
          <w:t>(81 FR 50840)</w:t>
        </w:r>
      </w:hyperlink>
      <w:r>
        <w:rPr>
          <w:rFonts w:ascii="arial" w:eastAsia="arial" w:hAnsi="arial" w:cs="arial"/>
          <w:b w:val="0"/>
          <w:i w:val="0"/>
          <w:strike w:val="0"/>
          <w:noProof w:val="0"/>
          <w:color w:val="000000"/>
          <w:position w:val="0"/>
          <w:sz w:val="20"/>
          <w:u w:val="none"/>
          <w:vertAlign w:val="baseline"/>
        </w:rPr>
        <w:t xml:space="preserve"> provided a summary of episode initiation and attribution at the beginning of AMI care for no transfer, inpatient-to-inpatient transfer, and outpatient-to-inpatient transfer scenarios, including a description of how these related to the participation in the AMI or CABG models of hospitals providing initial AMI care.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7--Proposed Initiation and Attribution of AMI and CABG Episodes That</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Involve No Transfer, or Outpatient-to-Inpatient or Inpatient-to-Inpatient</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Transfers at the Beginning of AMI Care</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Scenario</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episode initiation and</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attribution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transfer (participant): Beneficiary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Initiate AMI or CABG episode based 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admitted to an initial treating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anchor hospitalization MS-DRG.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that is a participant in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Attribute episode to the initial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AMI or CABG model for an AMI MS-DRG,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treating hospital.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PCI MS-DRG with AMI ICD-CM diagnosis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code, or CABG MS-DRG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transfer (nonparticipant):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AMI or CABG episode is initiated.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 admitted to an initial</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treating hospital that is not a</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in the AMI or CABG model</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an AMI MS-DRG, PCI MS-DRG with AMI</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ICD-CM diagnosis code, or CABG MS-DRG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Inpatient-to-inpatient transfer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Initiate AMI or CABG episode based 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(nonparticipant to participant):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MS-DRG at i-i transfer hospital.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 admitted to an initial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Attribute episode to the i-i transfer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treating hospital that is not an AMI</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CABG model participant and later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transferred to an i-i transfer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that is an AMI or CABG model</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for an AMI MS-DRG, PCI</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MS-DRG with AMI ICD-CM diagnosis code,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CABG MS-DRG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Inpatient-to-inpatient transfer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Initiate AMI or CABG episode based 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to participant 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anchor hospitalization MS-DRG at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to nonparticipant):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treating hospital. If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 admitted to an initial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chained anchor hospitalization results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treating hospital that is an AMI 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a final AMI, PCI, or CABG MS-DRG,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model participant for an AMI</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calculate episode benchmark price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MS-DRG, PCI MS-DRG with AMI ICD-CM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 on the AMI, PCI or CABG MS-DRG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diagnosis code, or CABG MS-DRG and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the highest IPPS weight. If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later transferred to an i-i transfer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final MS-DRG is not an AMI, PCI,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for an AMI, PCI, or CABG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MS-DRG, cancel the episode.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MS-DRG, regardless of whether the i-i</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Attribute episode to the initial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 hospital is an AMI or CABG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treating hospital.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 participant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Outpatient-to-inpatient transfer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Initiate AMI or CABG episode based 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(nonparticipant to participant 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anchor hospitalization MS-DRG at o-i</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to participant):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 hospital. Attribute episode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 transferred without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the o-i transfer hospital.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admission from the initial treating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regardless of whether the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treating hospital is an AMI or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model participant, to a o-i</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 hospital that is an AMI or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model participant and is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from the o-i transfer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for an AMI MS-DRG, PCI MS-DRG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AMI ICD-CM diagnosis code, or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MS-DRG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Outpatient-to-inpatient transfer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AMI or CABG episode is initiated.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to nonparticipant):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 transferred without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admission from the initial treating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that is an AMI or CABG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to an o-i transfer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that is not an AMI or CABG</w:t>
            </w:r>
          </w:p>
        </w:tc>
        <w:tc>
          <w:tcPr>
            <w:tcW w:w="4680" w:type="dxa"/>
          </w:tcP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 participant</w:t>
            </w:r>
          </w:p>
        </w:tc>
        <w:tc>
          <w:tcPr>
            <w:tcW w:w="46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number of commenters expressed support for the proposed AMI model transfer episode initiation and attribution policy that would initiate an AMI episode under the responsibility of an initial treating hospital that is an AMI model participant where the beneficiary is assigned to an AMI MS-DRG or PCI MS-DRG with AMI ICD-CM diagnosis code and the beneficiary is later transferred to another hospital and ultimately discharged from an AMI, PCI, or CABG MS-DRG. One commenter further recommended that CMS consider implementing this policy in the BPCI initiative and future episode payment models that are under development. Several commenters stressed the importance of beneficiaries receiving rehabilitation services in their home communities to improve adherence to the treatment plan, and acknowledged that CMS' AMI model transfer attribution proposal would encourage this care pattern. Another commenter pointed out that CMS should differentiate patient-directed presentation with AMI at a hospital emergency department versus emergency medical services-directed delivery to the hospital emergency department. The commenter explained that the usual practice in the case of STEMI identified in the field by emergency medical services would be to transport the beneficiary to a hospital with appropriate capacity to avoid any need for transfer that could delay treatment and impair outcomes. The commenter added that the trend nationally for emergency medical services delivery of patients with an AMI is for the patient to be taken to a facility that is capable of managing that patient rather than taking them to the closest hospital. Thus, the commenter believes the transfer issues should be only applicable to the minority of beneficiaries who present to the emergency department under their own power.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who supported the proposed AMI model transfer episode initiation and attribution policy, including the proposal to cancel </w:t>
      </w:r>
      <w:r>
        <w:rPr>
          <w:rFonts w:ascii="arial" w:eastAsia="arial" w:hAnsi="arial" w:cs="arial"/>
          <w:b/>
          <w:i w:val="0"/>
          <w:strike w:val="0"/>
          <w:noProof w:val="0"/>
          <w:color w:val="000000"/>
          <w:position w:val="0"/>
          <w:sz w:val="20"/>
          <w:u w:val="none"/>
          <w:vertAlign w:val="baseline"/>
        </w:rPr>
        <w:t> [*277] </w:t>
      </w:r>
      <w:r>
        <w:rPr>
          <w:rFonts w:ascii="arial" w:eastAsia="arial" w:hAnsi="arial" w:cs="arial"/>
          <w:b w:val="0"/>
          <w:i w:val="0"/>
          <w:strike w:val="0"/>
          <w:noProof w:val="0"/>
          <w:color w:val="000000"/>
          <w:position w:val="0"/>
          <w:sz w:val="20"/>
          <w:u w:val="none"/>
          <w:vertAlign w:val="baseline"/>
        </w:rPr>
        <w:t xml:space="preserve"> episodes that contain a chained anchor hospitalization with a final discharge MS-DRG that is not an AMI, PCI, or CABG MS-DRG, however expressed concern that the proposal for a price MS-DRG payment adjustment does not go far enough to provide a level playing field for AMI episodes involving a chained anchor hospitalization. One of these commenters presented analysis showing that while only a minority of episodes involving a chained anchor hospitalization resulted in a final discharge MS-DRG other than an AMI, PCI, or CABG MS-DRG, the episode costs were very high in those cases because they were atypical. The commenter concluded that CMS' proposal to cancel these episodes was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analysis by the commenter demonstrated that hospitals that transfer AMI beneficiaries frequently are more likely to be smaller community hospitals with much higher episode spending, who would be penalized by the lack of a more robust transfer-adjustment methodology just because they do not have the most sophisticated cardiac care available. Several commenters stated that these hospitals often have no choice but to transfer their most complicated patients to larger, tertiary hospitals so that the patients can receive the most appropriate cardiac care and that hospitals should not be penalized for doing so. These commenters requested that CMS exclude the IPPS amount paid to the initial admitting hospital when calculating quality-adjusted target prices and actual episode spending to put these hospitals on a more level playing field with larger referral hospitals that offer comprehensive cardiac care in order to encourage the best provision of care to beneficiaries in AMI episodes. Additionally, the commenters recommended that CMS provide additional explanation of the framework for chained anchor hospitalizations in the final rule and include illustrative examples about how the methodology works.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expressed support for the second of the two alternatives considered by CMS for attributing AMI episodes in inpatient-to-inpatient transfer scenarios that would begin an AMI episode and assign episode responsibility to the hospital in the chained anchor hospitalization discharging the beneficiary under the most resource-intensive MS-DRG according to a hierarchy of CABG, PCI, and AMI MS-DRGs in descending order of inpatient hospital resource-intensity. The commenter reasoned that in comparison with CMS' proposal, this approach would provide a more direct association in the transfer policy between hospital episode responsibility and the hospital providing the highest level of care for the beneficiary with AMI during the chained anchor hospitalization. The commenter stated that if a hospital admits a beneficiary but then has to transfer the beneficiary to another hospital for more advanced cardiac care that the initial treating hospital cannot provide, it does not seem reasonable to make that initial hospital responsible for all follow up care post-discharge for that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commenters opposed CMS' proposed AMI model transfer episode initiation and attribution policy, with the majority addressing the inpatient-to-inpatient transfer scenario where the initial treating hospital and the i-i transfer hospital are both AMI and CABG model participants. In general, the commenters believe the inpatient-to-inpatient transfer proposal was too complex and would be unmanageable for EPM participants. They stated that while CMS partially predicated its AMI model transfer episode initiation and attribution proposal on public input on the CJR model that beneficiaries often prefer to receive follow up care after hospital discharge in their community, the AMI and CABG models are sufficiently different from the CJR model that this perspective may not apply to the proposed models. In the AMI and CABG models, the commenters emphasized that beneficiaries would be more likely to require emergent care and, therefore, have less of an opportunity to seek care from a facility located outside of their region. Thus, the commenters believe that many AMI model beneficiaries experiencing a chained anchor hospitalization during their initial hospital treatment for AMI would remain in the same region as the i-i transfer hospital for post-acute care services, in contrast to primarily elective LEJR under the CJR model where procedures may be planned in advance and involve farther travel for the surgery. Thus, the commenters reasoned that the initial treating hospital and the i-i transfer hospital caring for a beneficiary in an AMI episode would be likely to be in the same region as one another and the beneficiary's home community. Thus, they concluded that CMS' interest in AMI model attribution policy for inpatient-to-inpatient transfers that could support beneficiary follow up in their own community following discharge could be met equally well through AMI episode attribution to the i-i transfer hospital as to the initial treating hospital.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for inpatient-to-inpatient transfer scenarios for AMI model beneficiaries, many commenters who disagreed with CMS' proposal recommended CMS to adopt the first alternative considered for i-i transfers once an AMI episode is initiated at the initial treating hospital. Consistent with CMS' discussion of this alternative considered in the proposed rule </w:t>
      </w:r>
      <w:hyperlink r:id="rId9" w:history="1">
        <w:r>
          <w:rPr>
            <w:rFonts w:ascii="arial" w:eastAsia="arial" w:hAnsi="arial" w:cs="arial"/>
            <w:b w:val="0"/>
            <w:i/>
            <w:strike w:val="0"/>
            <w:noProof w:val="0"/>
            <w:color w:val="0077CC"/>
            <w:position w:val="0"/>
            <w:sz w:val="20"/>
            <w:u w:val="single"/>
            <w:vertAlign w:val="baseline"/>
          </w:rPr>
          <w:t>(81 FR 50838),</w:t>
        </w:r>
      </w:hyperlink>
      <w:r>
        <w:rPr>
          <w:rFonts w:ascii="arial" w:eastAsia="arial" w:hAnsi="arial" w:cs="arial"/>
          <w:b w:val="0"/>
          <w:i w:val="0"/>
          <w:strike w:val="0"/>
          <w:noProof w:val="0"/>
          <w:color w:val="000000"/>
          <w:position w:val="0"/>
          <w:sz w:val="20"/>
          <w:u w:val="none"/>
          <w:vertAlign w:val="baseline"/>
        </w:rPr>
        <w:t xml:space="preserve"> the commenters encouraged CMS to cancel the AMI episode initiated at the initial treating hospital every time an inpatient-to-inpatient transfer occurs, and base any AMI or CABG episode initiation on the MS-DRG for the final i-i transfer hospital admission in the chained anchor hospitalization if the i-i transfer is an AMI or CABG model participant. This would place financial responsibility for the episode on the i-i transfer hospital if the beneficiary went on to be discharged from acute care at that hospital and the hospital was an AMI or CABG model participant. The commenters claimed this approach would greatly simplify the initiation, attribution, and pricing methodologies under the AMI and CABG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favoring AMI episode initiation and episode assignment to the i-i transfer hospital contended that CMS' proposal to assign AMI episode responsibility to the initial treating hospital could encourage the initial treating hospital to either prematurely transfer patients who present to the emergency department with symptoms of AMI or not transfer AMI patients at all to retain control of the episode and its associated costs. The commenters speculated that while these hospital responses could be clinically appropriate, it is unclear whether this would be the best approach for beneficiaries and whether long-term this type of transfer policy within the AMI model could reduce the capacity of small and rural hospitals to effectively manage care for cardiac patients, while creating an overreliance on larger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commenters stated that CMS' proposal placed too much importance on the role of the local hospital and physicians associated with the initial AMI treatment and too little importance on the role of the hospital providing the majority of the AMI care. They maintained that the i-i transfer hospital would be more likely to influence the post-discharge plan and post-acute care the beneficiary receives and would be in a better position to retain financial responsibility for the beneficiary and assume final risk for the EPM episode. The commenters claimed that it is the </w:t>
      </w:r>
      <w:r>
        <w:rPr>
          <w:rFonts w:ascii="arial" w:eastAsia="arial" w:hAnsi="arial" w:cs="arial"/>
          <w:b/>
          <w:i w:val="0"/>
          <w:strike w:val="0"/>
          <w:noProof w:val="0"/>
          <w:color w:val="000000"/>
          <w:position w:val="0"/>
          <w:sz w:val="20"/>
          <w:u w:val="none"/>
          <w:vertAlign w:val="baseline"/>
        </w:rPr>
        <w:t> [*278] </w:t>
      </w:r>
      <w:r>
        <w:rPr>
          <w:rFonts w:ascii="arial" w:eastAsia="arial" w:hAnsi="arial" w:cs="arial"/>
          <w:b w:val="0"/>
          <w:i w:val="0"/>
          <w:strike w:val="0"/>
          <w:noProof w:val="0"/>
          <w:color w:val="000000"/>
          <w:position w:val="0"/>
          <w:sz w:val="20"/>
          <w:u w:val="none"/>
          <w:vertAlign w:val="baseline"/>
        </w:rPr>
        <w:t xml:space="preserve"> discharging i-i transfer hospital that would develop the discharge plan; make recommendations on the type of post-acute care services necessary and make arrangements with specific post-acute care providers; schedule follow up appointments; educate the beneficiary and caregivers about the beneficiary's clinical condition; and communicate post-discharge instructions.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several commenters pointed out that the initial treating hospital may not know the beneficiary's final MS-DRG until days after discharge from the i-i transfer hospital. They stated that this time lag makes it problematic to assign episode responsibility to the initial treating hospital because that hospital would not be able to identify and intervene with AMI model beneficiaries prior to their discharge from acute care, a care redesign strategy that the commenters believe is important for AMI model success. Some commenters stated that CMS failed to appreciate the complexity of accurate beneficiary identification and its impact on facilitating effective post-acute care services in the proposed AMI model transfer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recognized CMS' intent to link transferring hospitals with larger, tertiary hospitals through the AMI model transfer episode initiation and attribution proposal in order to strengthen the quality and efficiency of health care within communities. The commenters agreed that there needs to be increased communication and collaboration among these hospitals in order to achieve better patient outcomes, yet they also believe that ongoing challenges with the timely communication of beneficiary information among providers and the current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healthcare landscape are not conducive to this type of collaboration.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many commenters expressed concern that the complexity of the AMI model's proposed transfer attribution policies and the potential resulting confusion about beneficiary notification and hospital episode responsibility in an environment that lacks established electronic tracking programs that can communicate among many hospitals in different systems. Several commenters believe the proposed policy could focus an AMI model participant's limited resources on administrative issues that do not actually improve care and reduce episode costs for AMI beneficiaries. They stated that hospital time and resources would be better spent improving care, developing sharing arrangements among providers, and tracking beneficiary outcomes. The commenters emphasized that this is especially true since transfers are expected to occur in a small minority of AMI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majority of commenters also expressed various concerns about potential beneficiary harm due to AMI model transfer policies under an EPM, whether those proposed or recommended by some of the commenters, that would establish new financial incentives for hospitals around transfers for beneficiaries with AMI in the absence of clear best transfer practices for hospitals with varying levels of cardiac care capacity. The commenters claimed that CMS' proposal did not include sufficient protections against EPM participants engaging in adverse patient selection to improve quality and cost performance in each type of transfer scenario (no transfer, outpatient-to-inpatient, and inpatient-to-inpatient). The commenters believe that inappropriate transfers and cost-shifting among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in a geographic market could occur under the AMI model, and they recommended to CMS to provide robust patient protections and transfer methodologies in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commenters expressed support for CMS' proposal to initiate AMI episodes upon admission to the o-i transfer hospital in an outpatient-to-inpatient transfer scenario, as well as attribute responsibility for the episode to the o-i transfer hospital. The commenters agreed with CMS that this approach would not require potentially flawed assumptions about the relatedness of services preceding the hospital admission and, therefore, would result in clearly defined AMI episodes. However, several commenters recommended CMS to address the operational issues identified in the proposed rule </w:t>
      </w:r>
      <w:hyperlink r:id="rId9" w:history="1">
        <w:r>
          <w:rPr>
            <w:rFonts w:ascii="arial" w:eastAsia="arial" w:hAnsi="arial" w:cs="arial"/>
            <w:b w:val="0"/>
            <w:i/>
            <w:strike w:val="0"/>
            <w:noProof w:val="0"/>
            <w:color w:val="0077CC"/>
            <w:position w:val="0"/>
            <w:sz w:val="20"/>
            <w:u w:val="single"/>
            <w:vertAlign w:val="baseline"/>
          </w:rPr>
          <w:t>(81 FR 50839)</w:t>
        </w:r>
      </w:hyperlink>
      <w:r>
        <w:rPr>
          <w:rFonts w:ascii="arial" w:eastAsia="arial" w:hAnsi="arial" w:cs="arial"/>
          <w:b w:val="0"/>
          <w:i w:val="0"/>
          <w:strike w:val="0"/>
          <w:noProof w:val="0"/>
          <w:color w:val="000000"/>
          <w:position w:val="0"/>
          <w:sz w:val="20"/>
          <w:u w:val="none"/>
          <w:vertAlign w:val="baseline"/>
        </w:rPr>
        <w:t xml:space="preserve"> related to outpatient-to-inpatient transfers that would not allow CMS to begin AMI episodes when an initial treating hospital provides only outpatient emergency care prior to transfer to an o-i transfer hospital. The commenters believe it would be important to mitigate these concerns in order to avoid the potential unintended consequences of unnecessary and medically inappropriate outpatient-to-inpatient beneficiary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complexity of transfer scenarios and the lack of clarity about the best approaches to caring for beneficiaries with AMI under an EPM in communities with varying cardiac care capacity distributed among hospitals in the region, several commenters further recommended that CMS gather clinical expert advice through an advisory panel or other dialogue with stakeholders to further explore the AMI model transfer policy consequences on hospitals' willingness to transfer patients. Finally, many commenters recommended CMS to provide clarification and ongoing guidance and support to AMI model participants related to transfers and episode attribution and monitor for any unintended consequences of the final AMI model transfer episode initiation and attribution policies.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variety of perspectives of the commenters on the proposed AMI model transfer episode initiation and attribution policies. We agree with the commenters that this area of policy is both complex and significant under the AMI model, given the variety of care patterns experienced by beneficiaries with AMI and the variation in cardiac care capacity among hospitals. The transfer policy has substantial implications for AMI and CABG model participants with varying cardiac care capacity, beneficiaries who experience transfers during emergency treatment of AMI, and CMS due to the potential for the AMI model transfer policy to result in changes in transfer patterns that do not improve the quality or efficiency of care for beneficiaries with AMI, both those beneficiaries included the model and those whose care is not included in the AMI model. We recognized the importance of considering the potential advantages and disadvantages of various approaches to AMI model transfer episode initiation and attribution for beneficiaries and hospitals in our extensive discussion in the proposed rule </w:t>
      </w:r>
      <w:hyperlink r:id="rId9" w:history="1">
        <w:r>
          <w:rPr>
            <w:rFonts w:ascii="arial" w:eastAsia="arial" w:hAnsi="arial" w:cs="arial"/>
            <w:b w:val="0"/>
            <w:i/>
            <w:strike w:val="0"/>
            <w:noProof w:val="0"/>
            <w:color w:val="0077CC"/>
            <w:position w:val="0"/>
            <w:sz w:val="20"/>
            <w:u w:val="single"/>
            <w:vertAlign w:val="baseline"/>
          </w:rPr>
          <w:t>(81 FR 50838</w:t>
        </w:r>
      </w:hyperlink>
      <w:r>
        <w:rPr>
          <w:rFonts w:ascii="arial" w:eastAsia="arial" w:hAnsi="arial" w:cs="arial"/>
          <w:b w:val="0"/>
          <w:i w:val="0"/>
          <w:strike w:val="0"/>
          <w:noProof w:val="0"/>
          <w:color w:val="000000"/>
          <w:position w:val="0"/>
          <w:sz w:val="20"/>
          <w:u w:val="none"/>
          <w:vertAlign w:val="baseline"/>
        </w:rPr>
        <w:t xml:space="preserve"> through 50840) about alternatives considered for outpatient-to-inpatient and inpatient-to-inpatient transfer scenarios. We also continue to believe that collaboration among community hospitals and referral hospitals with more advanced cardiac care capacity is important to improving the quality and efficiency of health care in communities, especially for beneficiaries with conditions requiring emergency evaluation and treatment such as AMI.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considered the analysis provided by some commenters and the commenters' different perspectives on the proposed AMI model transfer episode initiation and attribution proposal and the alternatives considered, including the potential for unintended consequences under any transfer policy we would establish for the AMI model. At this point in time, we appreciate that there are important advantages and disadvantages to each of the potential AMI model transfer </w:t>
      </w:r>
      <w:r>
        <w:rPr>
          <w:rFonts w:ascii="arial" w:eastAsia="arial" w:hAnsi="arial" w:cs="arial"/>
          <w:b/>
          <w:i w:val="0"/>
          <w:strike w:val="0"/>
          <w:noProof w:val="0"/>
          <w:color w:val="000000"/>
          <w:position w:val="0"/>
          <w:sz w:val="20"/>
          <w:u w:val="none"/>
          <w:vertAlign w:val="baseline"/>
        </w:rPr>
        <w:t> [*279] </w:t>
      </w:r>
      <w:r>
        <w:rPr>
          <w:rFonts w:ascii="arial" w:eastAsia="arial" w:hAnsi="arial" w:cs="arial"/>
          <w:b w:val="0"/>
          <w:i w:val="0"/>
          <w:strike w:val="0"/>
          <w:noProof w:val="0"/>
          <w:color w:val="000000"/>
          <w:position w:val="0"/>
          <w:sz w:val="20"/>
          <w:u w:val="none"/>
          <w:vertAlign w:val="baseline"/>
        </w:rPr>
        <w:t xml:space="preserve"> episode initiation and attribution policies that require ongoing consideration over the longer-term during AMI model implementation in order to optimize the interests of beneficiaries, hospitals, and CMS, while limiting the risk of unintended consequences that could create problems for beneficiaries, hospitals, and CMS. For example, several commenters stressed that changes to current AMI transfer patterns under transfer policies of the AMI model that encourage the initial treating hospital to either more quickly transfer patients who present to the emergency department with symptoms of AMI or not transfer AMI patients at all to retain control of the episode and its associated cost could be clinically appropriate but also could reflect premature transfers that were not medically necessary or a care pattern that poses a risk to beneficiaries' health. Thus, while we are finalizing a policy now to address transfer situations under the AMI model to allow for implementation of the model, we are also coupling this policy with heightened monitoring and evaluation of transfers of Medicare AMI beneficiaries to and from AMI and CABG model participants and may propose refinements to the policy or payment adjustments in the future depending on our findings.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policy for outpatient-to-inpatient transfers of beneficiaries with AMI, we proposed to begin AMI and CABG episodes upon the first inpatient admission to a treating hospital that is an AMI or CABG model participant, rather than in the outpatient department of the initial treating hospital that did not admit the beneficiary. In the proposed rule </w:t>
      </w:r>
      <w:hyperlink r:id="rId9" w:history="1">
        <w:r>
          <w:rPr>
            <w:rFonts w:ascii="arial" w:eastAsia="arial" w:hAnsi="arial" w:cs="arial"/>
            <w:b w:val="0"/>
            <w:i/>
            <w:strike w:val="0"/>
            <w:noProof w:val="0"/>
            <w:color w:val="0077CC"/>
            <w:position w:val="0"/>
            <w:sz w:val="20"/>
            <w:u w:val="single"/>
            <w:vertAlign w:val="baseline"/>
          </w:rPr>
          <w:t>(81 FR 50839),</w:t>
        </w:r>
      </w:hyperlink>
      <w:r>
        <w:rPr>
          <w:rFonts w:ascii="arial" w:eastAsia="arial" w:hAnsi="arial" w:cs="arial"/>
          <w:b w:val="0"/>
          <w:i w:val="0"/>
          <w:strike w:val="0"/>
          <w:noProof w:val="0"/>
          <w:color w:val="000000"/>
          <w:position w:val="0"/>
          <w:sz w:val="20"/>
          <w:u w:val="none"/>
          <w:vertAlign w:val="baseline"/>
        </w:rPr>
        <w:t xml:space="preserve"> we also considered an overarching alternative policy that could begin every AMI and CABG episode at the first AMI or CABG model participant at which the beneficiary was either admitted for an AMI MS-DRG, PCI MS-DRG with an AMI ICD-CM diagnosis code, or CABG MS-DRG or presented to the emergency department for initial AMI care (including observation status) before being transferred to an o-i transfer hospital. However, we are not beginning AMI or CABG episodes with care furnished by an AMI or CABG model participant when the beneficiary is not admitted as an inpatient to that hospital. Given the commenters' concerns about our proposal to begin AMI episodes at the initial treating hospital under the circumstance of an inpatient-to-inpatient transfer, we believe that beginning AMI episodes at a hospital furnishing only emergency AMI care could interfere with the hospital's focus on emergency stabilization and transfer of the beneficiary. It could also place an undue burden on the initial treating hospital for long-term responsibility for the AMI episode in which the initial treating hospital had a role that was limited to stabilization prior to transfer for AMI treatment. We would not expect the initial treating hospital in these circumstances to be substantially involved in the beneficiary's AMI treatment after the initial emergency care. The commenters confirmed our concerns, as discussed in the proposed rule </w:t>
      </w:r>
      <w:hyperlink r:id="rId9" w:history="1">
        <w:r>
          <w:rPr>
            <w:rFonts w:ascii="arial" w:eastAsia="arial" w:hAnsi="arial" w:cs="arial"/>
            <w:b w:val="0"/>
            <w:i/>
            <w:strike w:val="0"/>
            <w:noProof w:val="0"/>
            <w:color w:val="0077CC"/>
            <w:position w:val="0"/>
            <w:sz w:val="20"/>
            <w:u w:val="single"/>
            <w:vertAlign w:val="baseline"/>
          </w:rPr>
          <w:t>(81 FR 50839),</w:t>
        </w:r>
      </w:hyperlink>
      <w:r>
        <w:rPr>
          <w:rFonts w:ascii="arial" w:eastAsia="arial" w:hAnsi="arial" w:cs="arial"/>
          <w:b w:val="0"/>
          <w:i w:val="0"/>
          <w:strike w:val="0"/>
          <w:noProof w:val="0"/>
          <w:color w:val="000000"/>
          <w:position w:val="0"/>
          <w:sz w:val="20"/>
          <w:u w:val="none"/>
          <w:vertAlign w:val="baseline"/>
        </w:rPr>
        <w:t xml:space="preserve"> that this approach would be complex, challenging to operationalize, and require assumptions about the relationship of care to the AMI based solely on administrative claims data that would be insufficient to ensure we could accurately identify related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we have concluded that it remains problematic to define the services to be included in AMI episodes if those services precede an inpatient hospitalization that would otherwise initiate the AMI or CABG episode. As we discuss in section III.C.4.a.(1) of this final rule, we are not beginning an EPM episode prior to the anchor hospitalization because of the clinical variability leading up to all EPM episodes and the challenge of identifying unrelated services prior to the inpatient hospitalization. Thus, we will not make an exception for transfers from the emergency department or observation status of the initial treating AMI or CABG model participant when the beneficiary with AMI is not admitted to that hospital. As discussed in sections III.G.4. through 6. and IV. of this final rule, we will be engaged in monitoring and evaluation specifically as they relate to the risks associated with this policy of adverse patient selections that could result in increased transfers of complex beneficiaries with AMI to other hospitals so that an AMI model participant can avoid high-cost episodes. Should we observe concerning outpatient-to-inpatient transfer patterns, we may engage in future rulemaking to refine the AMI episode initiation policy or to make a payment adjustment for this scenario.</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proposed policy for inpatient-to-inpatient transfers, we appreciate the detailed comments on the proposal as well as on the two alternatives considered in the proposed rule </w:t>
      </w:r>
      <w:hyperlink r:id="rId9" w:history="1">
        <w:r>
          <w:rPr>
            <w:rFonts w:ascii="arial" w:eastAsia="arial" w:hAnsi="arial" w:cs="arial"/>
            <w:b w:val="0"/>
            <w:i/>
            <w:strike w:val="0"/>
            <w:noProof w:val="0"/>
            <w:color w:val="0077CC"/>
            <w:position w:val="0"/>
            <w:sz w:val="20"/>
            <w:u w:val="single"/>
            <w:vertAlign w:val="baseline"/>
          </w:rPr>
          <w:t>(81 FR 50838).</w:t>
        </w:r>
      </w:hyperlink>
      <w:r>
        <w:rPr>
          <w:rFonts w:ascii="arial" w:eastAsia="arial" w:hAnsi="arial" w:cs="arial"/>
          <w:b w:val="0"/>
          <w:i w:val="0"/>
          <w:strike w:val="0"/>
          <w:noProof w:val="0"/>
          <w:color w:val="000000"/>
          <w:position w:val="0"/>
          <w:sz w:val="20"/>
          <w:u w:val="none"/>
          <w:vertAlign w:val="baseline"/>
        </w:rPr>
        <w:t xml:space="preserve"> In response to the commenters who contended that the proposal to assign AMI episode responsibility to the initial treating hospital in an inpatient-to-inpatient transfer scenario could increase premature transfers, we are unclear that this would be the case since we also proposed not to initiate AMI episodes based only on care in the outpatient department. Thus, we believe it would be more likely expected that AMI model participants pursuing early transfer would transfer the beneficiary prior to admission to the hospital. However, we are concerned that the proposal to assign AMI episode responsibility to the initial treating hospital could lead to beneficiaries not being transferred in circumstances where they need a higher level of cardiac care, as a number of commenters claimed.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appreciate the support of the commenter for the second alternative we discussed in the proposed rule </w:t>
      </w:r>
      <w:hyperlink r:id="rId9" w:history="1">
        <w:r>
          <w:rPr>
            <w:rFonts w:ascii="arial" w:eastAsia="arial" w:hAnsi="arial" w:cs="arial"/>
            <w:b w:val="0"/>
            <w:i/>
            <w:strike w:val="0"/>
            <w:noProof w:val="0"/>
            <w:color w:val="0077CC"/>
            <w:position w:val="0"/>
            <w:sz w:val="20"/>
            <w:u w:val="single"/>
            <w:vertAlign w:val="baseline"/>
          </w:rPr>
          <w:t>(81 FR 50838)</w:t>
        </w:r>
      </w:hyperlink>
      <w:r>
        <w:rPr>
          <w:rFonts w:ascii="arial" w:eastAsia="arial" w:hAnsi="arial" w:cs="arial"/>
          <w:b w:val="0"/>
          <w:i w:val="0"/>
          <w:strike w:val="0"/>
          <w:noProof w:val="0"/>
          <w:color w:val="000000"/>
          <w:position w:val="0"/>
          <w:sz w:val="20"/>
          <w:u w:val="none"/>
          <w:vertAlign w:val="baseline"/>
        </w:rPr>
        <w:t xml:space="preserve"> for inpatient-to-inpatient transfer, which would assign AMI or CABG episode responsibility to the hospital in the chained anchor hospitalization discharging the beneficiary under the most resource-intensive MS-DRG according to a hierarchy of CABG, PCI, and AMI MS-DRGs in descending order of inpatient hospital resource-intensity. While we continue to believe that this alternative could have merit by placing AMI episode responsibility on the hospital that furnished the most intensive treatment to the AMI beneficiary during the chained anchor hospitalization, we are not adopting this policy due to concerns about the episode attribution complexity that it would present. Many commenters pointed out significant challenges for AMI model participants that would arise under our proposal to assign AMI episode responsibility consistently to the initial treating hospital that admitted the beneficiary regarding the ability of AMI model participants to meet the requirements of the model, such as timely beneficiary notification. They also raised concerns about the timeliness of the responsible hospital's identification of model beneficiaries especially if the hospital is not the one discharging the beneficiary from acute care and stated that a delay in beneficiary identification could seriously impede the hospital's ability to intervene with AMI and CABG model beneficiaries to begin coordinating care prior to hospital discharge. Thus, we believe that an inpatient-to-inpatient transfer policy that assigns AMI episode responsibility in some cases to the initial treating hospital and in other cases to the i-i transfer hospital depending on the different MS-DRGs during the chained anchor hospitalization would be even more </w:t>
      </w:r>
      <w:r>
        <w:rPr>
          <w:rFonts w:ascii="arial" w:eastAsia="arial" w:hAnsi="arial" w:cs="arial"/>
          <w:b/>
          <w:i w:val="0"/>
          <w:strike w:val="0"/>
          <w:noProof w:val="0"/>
          <w:color w:val="000000"/>
          <w:position w:val="0"/>
          <w:sz w:val="20"/>
          <w:u w:val="none"/>
          <w:vertAlign w:val="baseline"/>
        </w:rPr>
        <w:t> [*280] </w:t>
      </w:r>
      <w:r>
        <w:rPr>
          <w:rFonts w:ascii="arial" w:eastAsia="arial" w:hAnsi="arial" w:cs="arial"/>
          <w:b w:val="0"/>
          <w:i w:val="0"/>
          <w:strike w:val="0"/>
          <w:noProof w:val="0"/>
          <w:color w:val="000000"/>
          <w:position w:val="0"/>
          <w:sz w:val="20"/>
          <w:u w:val="none"/>
          <w:vertAlign w:val="baseline"/>
        </w:rPr>
        <w:t xml:space="preserve"> complex and could lead to even greater hospital confusion than our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considered the potential for making a payment adjustment while holding the initial treating hospital accountable for the AMI episode as recommended by a number of commenters, in order to put hospitals with lesser cardiac care capacity that more frequently need to transfer AMI beneficiaries on a more level playing field with hospitals that can themselves furnish comprehensive cardiac care. While this recommendation from the commenters would be operationally feasible and address some of the concerns raised by commenters about the transfer incentives inherent in our proposal, while maintaining the responsible hospital for the AMI episode in an inpatient-to-inpatient transfer scenario as the initial treating hospital that would be most likely to be in the beneficiary's community, this recommendation would add even greater complexity to the AMI model pricing methodology, already an area of significant concern to the commenters. This refinement also would not address the challenges for the initial treating hospital raised by other commenters related to timely beneficiary identification and notification. Therefore, we are not adopting this recommendation for the AMI model. However, we note that because we are changing the responsible hospital for AMI and CABG episodes that involve inpatient-to-inpatient transfers in our final policy as discussed later in this section, we believe the commenters' interest in creating a more level playing field among AMI model participants that transfer beneficiaries to variable degrees is addressed through that final policy.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commenters favored the first alternative we discussed in the proposed rule </w:t>
      </w:r>
      <w:hyperlink r:id="rId9" w:history="1">
        <w:r>
          <w:rPr>
            <w:rFonts w:ascii="arial" w:eastAsia="arial" w:hAnsi="arial" w:cs="arial"/>
            <w:b w:val="0"/>
            <w:i/>
            <w:strike w:val="0"/>
            <w:noProof w:val="0"/>
            <w:color w:val="0077CC"/>
            <w:position w:val="0"/>
            <w:sz w:val="20"/>
            <w:u w:val="single"/>
            <w:vertAlign w:val="baseline"/>
          </w:rPr>
          <w:t>(81 FR 50838)</w:t>
        </w:r>
      </w:hyperlink>
      <w:r>
        <w:rPr>
          <w:rFonts w:ascii="arial" w:eastAsia="arial" w:hAnsi="arial" w:cs="arial"/>
          <w:b w:val="0"/>
          <w:i w:val="0"/>
          <w:strike w:val="0"/>
          <w:noProof w:val="0"/>
          <w:color w:val="000000"/>
          <w:position w:val="0"/>
          <w:sz w:val="20"/>
          <w:u w:val="none"/>
          <w:vertAlign w:val="baseline"/>
        </w:rPr>
        <w:t xml:space="preserve"> for AMI model transfer episode initiation and attribution in the inpatient-to-inpatient transfer scenario. Specifically, this policy would cancel the AMI episode initiated at the initial treating hospital that is an AMI model participant when any inpatient-to-inpatient transfer occurs. The beneficiary would initiate a new AMI or CABG episode at the i-i transfer hospital if that hospital is an AMI or CABG model participant and the MS-DRG for that hospitalization is an AMI MS-DRG, PCI MS-DRG with AMI ICD-CM diagnosis code, or CABG MS-DRG. If the i-i transfer hospital is not an AMI or CABG model participant, then the beneficiary would not be included in any AMI or CABG episode regardless of the MS-DRG assigned. This approach would place financial responsibility for the AMI or CABG episode on the i-i transfer hospital if the beneficiary went on to be discharged from acute care at that hospital. Episode initiation and attribution in this way addresses the concerns of commenters about establishing a level playing field for AMI model participants that more frequently transfer beneficiaries for AMI treatment because it would not hold those hospitals accountable for AMI episodes with inpatient-to-inpatient transfers that are, on average, higher-cost than AMI episodes without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approach also addresses the commenters' significant concerns about the potential burden our proposal would have placed on the initial treating hospital to track beneficiaries transferred to the i-i transfer hospital and determine if they were discharged from the i-i transfer hospital under an MS-DRG that would assign the beneficiary to an AMI episode for which the initial treating hospital would be responsible. The resources necessary for the initial treating hospital to coordinate with the i-i transfer hospital that was actually discharging the beneficiary around the discharge and follow up plan could be substantial, given that the i-i transfer hospital would hold the discharge planning responsibility for that beneficiary. It is not clear that the opportunity for the initial treating hospital to enter into financial arrangements to share upside and/or downside risk with the i-i transfer hospital as discussed in section III.I. of this final rule would have been sufficient to incentivize the degree of timely collaboration and coordination by the i-i transfer hospital that would be needed by the responsible initial treating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believe the most prudent final AMI model transfer episode initiation and attribution policy at this time is to cancel the AMI episode initiated at the initial treating hospital whenever an inpatient-to-inpatient transfer occurs, and base any new AMI or CABG episode initiation on the MS- DRG for the i-i transfer hospital admission if the i-i transfer hospital is an AMI or CABG model participant. This attribution approach is simple and unambiguous. It eliminates the need for us to adopt the concept of chained anchor hospitalization altogether, as well as the complex policy that would have established a price MS-DRG that could be different from the MS-DRG that was assigned to the hospitalization that initiates the AMI episodes as discussed in section III.D.4.b.(2)(a) of this final rule. We do not believe there is a need to make any additional pricing adjustments for inpatient-to-inpatient transfer scenarios that include more than one IPPS payment for continuous acute care services in the beginning of AMI episodes in order to ensure a level playing field for hospitals that more commonly transfer beneficiaries for AMI treatment. By making the hospital ultimately discharging the beneficiary from acute care responsible for the AMI or CABG episode and beginning the episode at that hospital, we reduce the hospital's uncertainty as much as possible around identifying beneficiaries in the model. In the inpatient-to-inpatient transfer scenario, the uncertainty about identification of beneficiaries who were transferred is no different than if all the care for the beneficiary occurred at a single hospital. We also do not hold a hospital financially responsible for inpatient or outpatient hospital and Part B services that precede the beneficiary's admission to the responsible hospital, services the responsible hospital would be unable to influence according to the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are finalizing this AMI model transfer episode initiation and attribution policy at this time for the AMI model that differs from our proposal for the reasons discussed, we continue to have some concerns about the care patterns that could be perpetuated and changes that could be incentivized by the policy. First, we recognize that this policy does not encourage any efficiencies in the transfer patterns of beneficiaries with AMI, while we know that episodes which include inpatient-to-inpatient transfers in the beginning of AMI care are costly for the Medicare program. A recent analysis by DataGen of 90-day episodes of care for AMI found that nationally, Medicare payments (that is, costs to the program) for AMI acute care transfers (not just those receiving PCI) were second only to the costs for patients going to long-term care. n71 This analysis is consistent with information provided by the commenters that AMI episodes that include inpatient-to-inpatient transfers are significantly more costly than AMI episodes that do not include such transfers. The analysis identified three scenarios for AMI care as follows: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 The Truth Behind Variation in Episode Payments; May 5, 2014. Accessed October 18, 2016 at </w:t>
      </w:r>
      <w:hyperlink r:id="rId43" w:history="1">
        <w:r>
          <w:rPr>
            <w:rFonts w:ascii="arial" w:eastAsia="arial" w:hAnsi="arial" w:cs="arial"/>
            <w:b w:val="0"/>
            <w:i/>
            <w:strike w:val="0"/>
            <w:noProof w:val="0"/>
            <w:color w:val="0077CC"/>
            <w:position w:val="0"/>
            <w:sz w:val="20"/>
            <w:u w:val="single"/>
            <w:vertAlign w:val="baseline"/>
          </w:rPr>
          <w:t>http://www.beckershospitalreview.com/finance/the-truth-behind-variation-in-episode-payments.html</w:t>
        </w:r>
      </w:hyperlink>
      <w:r>
        <w:rPr>
          <w:rFonts w:ascii="arial" w:eastAsia="arial" w:hAnsi="arial" w:cs="arial"/>
          <w:b w:val="0"/>
          <w:i w:val="0"/>
          <w:strike w:val="0"/>
          <w:noProof w:val="0"/>
          <w:color w:val="000000"/>
          <w:position w:val="0"/>
          <w:sz w:val="20"/>
          <w:u w:val="none"/>
          <w:vertAlign w:val="baseline"/>
        </w:rPr>
        <w:t>.</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hospitals that are licensed to perform PCIs, a patient who is admitted with AMI and needs a PCI receives his or her full treatment at that hospital. This results in one MS-DRG assignment and payment for the PCI. </w:t>
      </w:r>
      <w:r>
        <w:rPr>
          <w:rFonts w:ascii="arial" w:eastAsia="arial" w:hAnsi="arial" w:cs="arial"/>
          <w:b/>
          <w:i w:val="0"/>
          <w:strike w:val="0"/>
          <w:noProof w:val="0"/>
          <w:color w:val="000000"/>
          <w:position w:val="0"/>
          <w:sz w:val="20"/>
          <w:u w:val="none"/>
          <w:vertAlign w:val="baseline"/>
        </w:rPr>
        <w:t> [*281] </w:t>
      </w:r>
    </w:p>
    <w:p>
      <w:pPr>
        <w:keepNext w:val="0"/>
        <w:numPr>
          <w:numId w:val="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hospitals not licensed to perform PCIs, a patient admitted with an AMI who needs a PCI is assigned an AMI MS-DRG at the initial treating hospital and then transferred to an i-i transfer hospital for the PCI. This results in two MS-DRG payments, one for the AMI care and one for the PCI. In this case, the inpatient acute care costs for the initial AMI treatment are substantially higher. The analysis found that the average length-of-stay at the initial treating hospital was 3 days, but it was not possible to determine from administrative claims whether that relatively long length-of-stay was due to patient stabilization or the need to wait for the PCI to be scheduled at the i-i transfer hospital.</w:t>
      </w:r>
    </w:p>
    <w:p>
      <w:pPr>
        <w:keepNext w:val="0"/>
        <w:numPr>
          <w:numId w:val="1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hospitals that are licensed to perform PCIs, a patient who is admitted with an AMI and needs a PCI receives some care at the initial treating hospital and then is transferred to an i-i transfer hospital for the PCI. This also results in two MS-DRG payments and substantially higher inpatient acute care costs for the initial AMI treatment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medically unnecessary or inappropriate inpatient-to-inpatient transfers lead to inefficiencies in initial AMI treatment, yet both the second and third scenarios may provide opportunities for care redesign. However, the final AMI model transfer episode initiation and attribution policy is not able to test such opportunities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not creating incentives for transfer efficiency, the final AMI model policy may create additional incentives for an AMI model participant to transfer complex beneficiaries or beneficiaries with potentially avoidable complications resulting from AMI treatment who would be expected to result in high-cost episodes to i-i transfer hospitals. Transfers could occur to i-i transfer hospitals that are also participants in the AMI model where the costs of care at the initial treating hospital would not be included in the AMI episode initiated at the i-i transfer hospital or to hospitals outside the MSA that would not be participants in the AMI model. Such transfer patterns could ultimately result in either complex beneficiaries or those with complications resulting from the initial AMI treatment disproportionately not being the financial responsibility of the initial AMI model treating hospital or not being included in the AMI model at 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these concerns about the potential missed opportunities and unintended consequences due to the final AMI model transfer episode initiation and attribution policy, we will be examining AMI transfers to and from AMI model participants very closely through our monitoring and evaluation activities as discussed in sections III.G.4. through 6. and IV. of this final rule, both of beneficiaries that ultimately are included in AMI episodes and those that are not. We may revisit the transfer policy or propose payment adjustments through future rulemaking if we see reduced AMI transfer efficiency; opportunities to increase transfer efficiency; disproportionate transfers of complex AMI beneficiaries suggesting that AMI model participants are engaging in adverse patient selection; high rates of transfers of beneficiaries with potentially avoidable complications of AMI treatment at the initial treating hospital; inordinate loss of beneficiaries from the AMI model due to transfer outside of the MSAs where the AMI and CABG models are being tested; or other patterns of concern.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policies for initiation and attribution of AMI and CABG episodes that involve no transfer, outpatient-to-inpatient transfer, or inpatient-to-inpatient transfers at the beginning of AMI care are summarized in Table 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that CMS establish a transfer attribution policy for the SHFFT model as well, because beneficiaries with SHFFT are occasionally transferred from the initial treating hospital to another hospital for SHFFT surgery. The commenter recommended that the SHFFT episode be attributed to the transfer hospital, that is, the hospital receiving the beneficiary upon transfer from the initial treating hospital.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suggestion. However, we do not believe it is necessary to establish a specific transfer policy for the SHFFT model. A SHFFT episode would only be initiated in the hospital where the beneficiary had SHFFT surgery and where a SHFFT model MS-DRG is first assigned to the beneficiary's hospitalization. The initial treating hospital would only assign a SHFFT model MS-DRG to the beneficiary if the beneficiary received SHFFT surgery at that hospital and the transfer hospital could not assign a SHFFT model MS-DRG unless the beneficiary had surgery on the other hip, an unlikely scenario. Therefore, under the circumstances described by the commenter, without any special policies beyond the standard rules of SHFFT episode initiation, the SHFFT episode would be initiated at the transfer hospital, which would be responsible for the SHFFT episode. We note that if the SHFFT surgery was performed at the initial treating hospital where an episode was initiated and then the beneficiary was transferred to another hospital for additional care, the SHFFT episode would continue under the responsibility of the initial treating hospital. We note that we would apply the SHFFT model exclusion list to the transfer hospital MS-DRG to determine whether those inpatient services were included in the SHFFT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not finalizing our proposal to attribute AMI episodes to the initial treating hospital when an inpatient-to-inpatient transfer occurs during the anchor hospitalization. Instead, we are adopting a final policy to cancel the AMI episode initiated at the initial treating hospital when an inpatient-to-inpatient transfer occurs, and base any AMI or CABG episode initiation on the MS-DRG for the final i-i transfer hospital admission if the i-i transfer hospital is an AMI or CABG model participant. If the i-i transfer hospital is not an AMI or CABG model participant, the beneficiary's care is not included in any AMI or CABG episode. We are not using the terms chained anchor hospitalization and price MS-DRG in the final episode definition and pricing policies for the AMI model as discussed in sections III.C.4.a.(5) and III.D.4.b.(2)(a) of this final rule. Instead, the episode definition and pricing is determined only by the anchor MS-DRG for the AMI or CABG model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AMI episode attribution in circumstances that involve inpatient-to-inpatient transfers of beneficiaries with AMI was included in proposed § 512.240(a)(2). We no longer need a specific attribution provision for the AMI model because attribution of AMI and CABG episodes occurs in the usual manner to the AMI or CABG model participant that discharges the beneficiary under an AMI MS-DRG, PCI MS-DRG with AMI ICD-CM diagnosis code, or CABG MS-DRGs that initiates the AMI or CABG episode at that hospital. Therefore, we are renumbering proposed § 512.240(a)(3) (Cancellation of an AMI model episode) to § 512.240(a)(2), and revising proposed § 512.240(a)(3)(iii) which has been renumbered § 512.240(a)(2)(iii) to specify that an AMI model episode is canceled if the beneficiary is transferred during the anchor hospitalization to another hospital for inpatient hospitalization.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policies for initiation and attribution of AMI and CABG episodes that involve no transfer, outpatient-to-inpatient transfer, or inpatient-to-inpatient transfers at the beginning of AMI care are summarized in Table 8. </w:t>
      </w:r>
      <w:r>
        <w:rPr>
          <w:rFonts w:ascii="arial" w:eastAsia="arial" w:hAnsi="arial" w:cs="arial"/>
          <w:b/>
          <w:i w:val="0"/>
          <w:strike w:val="0"/>
          <w:noProof w:val="0"/>
          <w:color w:val="000000"/>
          <w:position w:val="0"/>
          <w:sz w:val="20"/>
          <w:u w:val="none"/>
          <w:vertAlign w:val="baseline"/>
        </w:rPr>
        <w:t> [*282]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8--Final Initiation and Attribution of AMI and CABG Episodes That</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Involve No Transfer, or Outpatient-to-Inpatient or Inpatient-to-Inpatient</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Transfers at the Beginning of AMI Care</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Scenario</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 episode initiation and</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attribution policy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transfer (participant): Beneficiary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Initiate AMI or CABG episode based 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admitted to an initial treating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anchor hospitalization MS-DRG.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that is a participant in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Attribute episode to the initial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AMI or CABG model for an AMI MS-DRG,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treating hospital.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PCI MS-DRG with AMI ICD-CM diagnosis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code, or CABG MS-DRG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transfer (nonparticipant):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AMI or CABG episode is initiated.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 admitted to an initial</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treating hospital that is not a</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in the AMI or CABG model</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an AMI MS-DRG, PCI MS-DRG with AMI</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ICD-CM diagnosis code, or CABG MS-DRG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Inpatient-to-inpatient transfer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Initiate AMI or CABG episode based 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(nonparticipant to participant):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MS-DRG at i-i transfer hospital.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 admitted to an initial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Attribute episode to the i-i transfer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treating hospital that is not an AMI</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CABG model participant and later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transferred to an i-i transfer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that is an AMI or CABG model</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for an AMI MS-DRG, PCI</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MS-DRG with AMI ICD-CM diagnosis code,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CABG MS-DRG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Inpatient-to-inpatient transfer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Cancel AMI episode. No other AMI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to nonparticipant):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episode is initiated.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 admitted to an initial</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treating hospital that is an AMI or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model participant for an AMI</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MS-DRG or PCI MS-DRG with AMI ICD-CM</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diagnosis code and later transferred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an i-i transfer hospital for an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AMI, PCI, or CABG MS-DRG, where the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 transfer hospital is not an AMI or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model participant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Inpatient-to-inpatient transfer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Cancel AMI episode at the initial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to participant):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treating hospital. Initiate an AMI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 admitted to an initial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episode at the i-i transfer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treating hospital that is an AMI 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Attribute episode to the i-i</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model participant for an AMI</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 hospital.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MS-DRG or PCI MS-DRG with AMI ICD-CM</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diagnosis code later transferred to an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 transfer hospital for an AMI, PCI,</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CABG MS-DRG, where the i-i transfer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is an AMI or CABG model</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Outpatient-to-inpatient transfer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Initiate AMI or CABG episode based 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(nonparticipant to participant 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anchor hospitalization MS-DRG at o-i</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to participant):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 hospital. Attribute episode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 transferred without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the o-i transfer hospital.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admission from the initial treating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regardless of whether the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treating hospital is an AMI or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model participant, to a o-i</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 hospital that is an AMI or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model participant and is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from the o-i transfer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for an AMI MS-DRG, PCI MS-DRG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AMI ICD-CM diagnosis code, or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MS-DRG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Outpatient-to-inpatient transfer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AMI or CABG episode is initiated.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to nonparticipant):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 transferred without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admission from the initial treating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that is an AMI or CABG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to an o-i transfer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that is not an AMI or CABG</w:t>
            </w:r>
          </w:p>
        </w:tc>
        <w:tc>
          <w:tcPr>
            <w:tcW w:w="4680" w:type="dxa"/>
          </w:tcP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 participant</w:t>
            </w:r>
          </w:p>
        </w:tc>
        <w:tc>
          <w:tcPr>
            <w:tcW w:w="46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Middle of EPM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CJR model, we proposed that once an EPM episode begins, it would continue until the end of the episode as described in the following section, unless certain circumstances arise during the episode </w:t>
      </w:r>
      <w:hyperlink r:id="rId21" w:history="1">
        <w:r>
          <w:rPr>
            <w:rFonts w:ascii="arial" w:eastAsia="arial" w:hAnsi="arial" w:cs="arial"/>
            <w:b w:val="0"/>
            <w:i/>
            <w:strike w:val="0"/>
            <w:noProof w:val="0"/>
            <w:color w:val="0077CC"/>
            <w:position w:val="0"/>
            <w:sz w:val="20"/>
            <w:u w:val="single"/>
            <w:vertAlign w:val="baseline"/>
          </w:rPr>
          <w:t>(80 FR 73318).</w:t>
        </w:r>
      </w:hyperlink>
      <w:r>
        <w:rPr>
          <w:rFonts w:ascii="arial" w:eastAsia="arial" w:hAnsi="arial" w:cs="arial"/>
          <w:b w:val="0"/>
          <w:i w:val="0"/>
          <w:strike w:val="0"/>
          <w:noProof w:val="0"/>
          <w:color w:val="000000"/>
          <w:position w:val="0"/>
          <w:sz w:val="20"/>
          <w:u w:val="none"/>
          <w:vertAlign w:val="baseline"/>
        </w:rPr>
        <w:t xml:space="preserve"> When an EPM episode was canceled, we proposed that the services furnished to beneficiaries prior to and following the EPM episode cancellation would continue to be paid by Medicare as usual but there would be no actual EPM episode spending calculation that would be reconciled against the EPM quality-adjusted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we proposed that the following circumstances occurring during an EPM episode would cancel the EPM episode:</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beneficiary ceases to meet any of the general beneficiary inclusion criteria described in section III.C.4.a.(1) of the proposed rule </w:t>
      </w:r>
      <w:hyperlink r:id="rId9" w:history="1">
        <w:r>
          <w:rPr>
            <w:rFonts w:ascii="arial" w:eastAsia="arial" w:hAnsi="arial" w:cs="arial"/>
            <w:b w:val="0"/>
            <w:i/>
            <w:strike w:val="0"/>
            <w:noProof w:val="0"/>
            <w:color w:val="0077CC"/>
            <w:position w:val="0"/>
            <w:sz w:val="20"/>
            <w:u w:val="single"/>
            <w:vertAlign w:val="baseline"/>
          </w:rPr>
          <w:t>(81 FR 50834),</w:t>
        </w:r>
      </w:hyperlink>
      <w:r>
        <w:rPr>
          <w:rFonts w:ascii="arial" w:eastAsia="arial" w:hAnsi="arial" w:cs="arial"/>
          <w:b w:val="0"/>
          <w:i w:val="0"/>
          <w:strike w:val="0"/>
          <w:noProof w:val="0"/>
          <w:color w:val="000000"/>
          <w:position w:val="0"/>
          <w:sz w:val="20"/>
          <w:u w:val="none"/>
          <w:vertAlign w:val="baseline"/>
        </w:rPr>
        <w:t xml:space="preserve"> except the three criteria regarding inclusion in other episode payment model episodes.</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dies during the anchor hospitalization.</w:t>
      </w:r>
    </w:p>
    <w:p>
      <w:pPr>
        <w:keepNext w:val="0"/>
        <w:numPr>
          <w:numId w:val="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initiates any BPCI model episode.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purposes of cancellation of EPM episodes for beneficiary overlap with other episode payment models, we proposed that if a beneficiary in an EPM episode would initiate any BPCI model episode, the EPM episode would be canceled. We refer to section III.D.6.c.(1) of the proposed rule </w:t>
      </w:r>
      <w:hyperlink r:id="rId9" w:history="1">
        <w:r>
          <w:rPr>
            <w:rFonts w:ascii="arial" w:eastAsia="arial" w:hAnsi="arial" w:cs="arial"/>
            <w:b w:val="0"/>
            <w:i/>
            <w:strike w:val="0"/>
            <w:noProof w:val="0"/>
            <w:color w:val="0077CC"/>
            <w:position w:val="0"/>
            <w:sz w:val="20"/>
            <w:u w:val="single"/>
            <w:vertAlign w:val="baseline"/>
          </w:rPr>
          <w:t>(81 FR 50868)</w:t>
        </w:r>
      </w:hyperlink>
      <w:r>
        <w:rPr>
          <w:rFonts w:ascii="arial" w:eastAsia="arial" w:hAnsi="arial" w:cs="arial"/>
          <w:b w:val="0"/>
          <w:i w:val="0"/>
          <w:strike w:val="0"/>
          <w:noProof w:val="0"/>
          <w:color w:val="000000"/>
          <w:position w:val="0"/>
          <w:sz w:val="20"/>
          <w:u w:val="none"/>
          <w:vertAlign w:val="baseline"/>
        </w:rPr>
        <w:t xml:space="preserve"> for further discussion of our proposals addressing potential overlap of beneficiaries in the EPMs with the BPCI initiative. We also refer to section III.D.6.c.(3) of the proposed rule </w:t>
      </w:r>
      <w:hyperlink r:id="rId9" w:history="1">
        <w:r>
          <w:rPr>
            <w:rFonts w:ascii="arial" w:eastAsia="arial" w:hAnsi="arial" w:cs="arial"/>
            <w:b w:val="0"/>
            <w:i/>
            <w:strike w:val="0"/>
            <w:noProof w:val="0"/>
            <w:color w:val="0077CC"/>
            <w:position w:val="0"/>
            <w:sz w:val="20"/>
            <w:u w:val="single"/>
            <w:vertAlign w:val="baseline"/>
          </w:rPr>
          <w:t>(81 FR 50869</w:t>
        </w:r>
      </w:hyperlink>
      <w:r>
        <w:rPr>
          <w:rFonts w:ascii="arial" w:eastAsia="arial" w:hAnsi="arial" w:cs="arial"/>
          <w:b w:val="0"/>
          <w:i w:val="0"/>
          <w:strike w:val="0"/>
          <w:noProof w:val="0"/>
          <w:color w:val="000000"/>
          <w:position w:val="0"/>
          <w:sz w:val="20"/>
          <w:u w:val="none"/>
          <w:vertAlign w:val="baseline"/>
        </w:rPr>
        <w:t xml:space="preserve"> through 50871) for discussion of our proposal to cancel EPM episodes for beneficiaries who become assigned to specified ACOs during EPM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proposal to only cancel the EPM episode if a beneficiary dies during the anchor hospitalization differs from the final CJR model policy that cancels an episode if a beneficiary dies any time during the episode </w:t>
      </w:r>
      <w:hyperlink r:id="rId21" w:history="1">
        <w:r>
          <w:rPr>
            <w:rFonts w:ascii="arial" w:eastAsia="arial" w:hAnsi="arial" w:cs="arial"/>
            <w:b w:val="0"/>
            <w:i/>
            <w:strike w:val="0"/>
            <w:noProof w:val="0"/>
            <w:color w:val="0077CC"/>
            <w:position w:val="0"/>
            <w:sz w:val="20"/>
            <w:u w:val="single"/>
            <w:vertAlign w:val="baseline"/>
          </w:rPr>
          <w:t>(80 FR 73318).</w:t>
        </w:r>
      </w:hyperlink>
      <w:r>
        <w:rPr>
          <w:rFonts w:ascii="arial" w:eastAsia="arial" w:hAnsi="arial" w:cs="arial"/>
          <w:b w:val="0"/>
          <w:i w:val="0"/>
          <w:strike w:val="0"/>
          <w:noProof w:val="0"/>
          <w:color w:val="000000"/>
          <w:position w:val="0"/>
          <w:sz w:val="20"/>
          <w:u w:val="none"/>
          <w:vertAlign w:val="baseline"/>
        </w:rPr>
        <w:t xml:space="preserve"> As discussed in the CJR Final Rule for LEJR episodes, we believe that it also would be appropriate to cancel an episode in the AMI, CABG, and SHFFT models when a beneficiary dies during the anchor hospitalization as there would be limited incentives for efficiency that could be expected during the anchor hospitalization itself </w:t>
      </w:r>
      <w:hyperlink r:id="rId21" w:history="1">
        <w:r>
          <w:rPr>
            <w:rFonts w:ascii="arial" w:eastAsia="arial" w:hAnsi="arial" w:cs="arial"/>
            <w:b w:val="0"/>
            <w:i/>
            <w:strike w:val="0"/>
            <w:noProof w:val="0"/>
            <w:color w:val="0077CC"/>
            <w:position w:val="0"/>
            <w:sz w:val="20"/>
            <w:u w:val="single"/>
            <w:vertAlign w:val="baseline"/>
          </w:rPr>
          <w:t>(80 FR 73318).</w:t>
        </w:r>
      </w:hyperlink>
      <w:r>
        <w:rPr>
          <w:rFonts w:ascii="arial" w:eastAsia="arial" w:hAnsi="arial" w:cs="arial"/>
          <w:b w:val="0"/>
          <w:i w:val="0"/>
          <w:strike w:val="0"/>
          <w:noProof w:val="0"/>
          <w:color w:val="000000"/>
          <w:position w:val="0"/>
          <w:sz w:val="20"/>
          <w:u w:val="none"/>
          <w:vertAlign w:val="baseline"/>
        </w:rPr>
        <w:t xml:space="preserve"> We agreed with commenters on the CJR model proposed rule that we should cancel CJR episodes for death any time during those episodes, because beneficiary deaths following LEJR would be uncommon and expected to vary unpredictably, leading to extremely high or low episode spending that was not typical for a LEJR episode. A recent analysis that pooled results from 32 studies showed the incidence of mortality during the first 30 and 90 days following hip replacement to be 0.30 percent and 0.65 percent, respectively, confirming our expectation of low mortality rates during LEJR episodes. n72 </w:t>
      </w:r>
      <w:r>
        <w:rPr>
          <w:rFonts w:ascii="arial" w:eastAsia="arial" w:hAnsi="arial" w:cs="arial"/>
          <w:b/>
          <w:i w:val="0"/>
          <w:strike w:val="0"/>
          <w:noProof w:val="0"/>
          <w:color w:val="000000"/>
          <w:position w:val="0"/>
          <w:sz w:val="20"/>
          <w:u w:val="none"/>
          <w:vertAlign w:val="baseline"/>
        </w:rPr>
        <w:t> [*283] </w:t>
      </w:r>
      <w:r>
        <w:rPr>
          <w:rFonts w:ascii="arial" w:eastAsia="arial" w:hAnsi="arial" w:cs="arial"/>
          <w:b w:val="0"/>
          <w:i w:val="0"/>
          <w:strike w:val="0"/>
          <w:noProof w:val="0"/>
          <w:color w:val="000000"/>
          <w:position w:val="0"/>
          <w:sz w:val="20"/>
          <w:u w:val="none"/>
          <w:vertAlign w:val="baseline"/>
        </w:rPr>
        <w:t xml:space="preserve"> In contrast, the 30-day national CABG and AMI mortality rates as displayed on Hospital Compare are significantly higher at approximately 3 percent and 14 percent respectively. n73 Several CMS programs use 30-day mortality measures for CABG and AMI as measures of hospital quality, and these measures were proposed for use in the pay-for-performance methodology for the CABG and AMI models as discussed in section III.E.3.f. of the proposed rule </w:t>
      </w:r>
      <w:hyperlink r:id="rId9" w:history="1">
        <w:r>
          <w:rPr>
            <w:rFonts w:ascii="arial" w:eastAsia="arial" w:hAnsi="arial" w:cs="arial"/>
            <w:b w:val="0"/>
            <w:i/>
            <w:strike w:val="0"/>
            <w:noProof w:val="0"/>
            <w:color w:val="0077CC"/>
            <w:position w:val="0"/>
            <w:sz w:val="20"/>
            <w:u w:val="single"/>
            <w:vertAlign w:val="baseline"/>
          </w:rPr>
          <w:t>(81 FR 50880).</w:t>
        </w:r>
      </w:hyperlink>
      <w:r>
        <w:rPr>
          <w:rFonts w:ascii="arial" w:eastAsia="arial" w:hAnsi="arial" w:cs="arial"/>
          <w:b w:val="0"/>
          <w:i w:val="0"/>
          <w:strike w:val="0"/>
          <w:noProof w:val="0"/>
          <w:color w:val="000000"/>
          <w:position w:val="0"/>
          <w:sz w:val="20"/>
          <w:u w:val="none"/>
          <w:vertAlign w:val="baseline"/>
        </w:rPr>
        <w:t xml:space="preserve"> Similarly, a 2009 study shows a 30-day hip fracture mortality rate for Medicare beneficiaries of approximately 5 percent, significantly higher than the mortality rate following LEJR procedures. n74 Thus, we would expect that deaths during SHFFT episodes would be more common than in CJR episodes. Because beneficiaries in AMI, CABG, and SHFFT episodes would be at significant risk of death during these episodes that we proposed to extend 90 days post-hospital discharge, we considered mortality to be a harmful beneficiary outcome that should be targeted for improvement through care redesign incentivized by the EPMs for these clinical conditions. Therefore, in the proposed rule </w:t>
      </w:r>
      <w:hyperlink r:id="rId9" w:history="1">
        <w:r>
          <w:rPr>
            <w:rFonts w:ascii="arial" w:eastAsia="arial" w:hAnsi="arial" w:cs="arial"/>
            <w:b w:val="0"/>
            <w:i/>
            <w:strike w:val="0"/>
            <w:noProof w:val="0"/>
            <w:color w:val="0077CC"/>
            <w:position w:val="0"/>
            <w:sz w:val="20"/>
            <w:u w:val="single"/>
            <w:vertAlign w:val="baseline"/>
          </w:rPr>
          <w:t>(81 FR 50841)</w:t>
        </w:r>
      </w:hyperlink>
      <w:r>
        <w:rPr>
          <w:rFonts w:ascii="arial" w:eastAsia="arial" w:hAnsi="arial" w:cs="arial"/>
          <w:b w:val="0"/>
          <w:i w:val="0"/>
          <w:strike w:val="0"/>
          <w:noProof w:val="0"/>
          <w:color w:val="000000"/>
          <w:position w:val="0"/>
          <w:sz w:val="20"/>
          <w:u w:val="none"/>
          <w:vertAlign w:val="baseline"/>
        </w:rPr>
        <w:t xml:space="preserve"> we discussed our belief that it would not be appropriate to exclude beneficiaries from AMI, CABG, or SHFFT episodes who die any time during the episode like we do in the CJR model. Instead, we proposed to maintain beneficiary episodes in the EPMs even if death occurred during the episodes, meaning we would calculate actual EPM episode spending when beneficiaries die following discharge from the anchor hospitalization but within the 90-day post-hospital discharge episode duration and reconcile it against the quality-adjusted target price. We believed this proposal would encourage EPM participants to actively manage EPM beneficiaries to reduce their risk of death, especially as death would often be preceded by expensive care for emergencies and complications. Because of the higher mortality rates for all of the EPM episodes than for LEJR episodes in the CJR model, we did not consider mortality following hospital discharge to be atypical and, therefore, we proposed to cancel EPM episodes only for death during the anchor hospitalization.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n72 Berstock JR, Beswick AD, Lenguerrand E, Whitehouse MR, Blom AW. Mortality after total hip replacement surgery: A systematic review. Bone &amp; Joint Research. 2014; 3(6):175-182. doi:10.1302/2046-3758.36.2000239.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 </w:t>
      </w:r>
      <w:hyperlink r:id="rId44" w:history="1">
        <w:r>
          <w:rPr>
            <w:rFonts w:ascii="arial" w:eastAsia="arial" w:hAnsi="arial" w:cs="arial"/>
            <w:b w:val="0"/>
            <w:i/>
            <w:strike w:val="0"/>
            <w:noProof w:val="0"/>
            <w:color w:val="0077CC"/>
            <w:position w:val="0"/>
            <w:sz w:val="20"/>
            <w:u w:val="single"/>
            <w:vertAlign w:val="baseline"/>
          </w:rPr>
          <w:t>https://www.medicare.gov/hospitalcompare/search.html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n74 Brauer CA, Coca-Perraillon M, Cutler DM, Rosen AB. Incidence and Mortality of Hip Fractures in the United States. JAMA. 2009;302(14):1573-1579. doi:10.1001/jama.2009.1462.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proposed that the following circumstances also would cancel an AMI episode in the circumstances of a chained anchor hospitalization when the beneficiary was discharged from acute care under an MS-DRG from the final transfer hospital in the chained anchor hospitalization that could not, itself, initiate an AMI or CABG episode, regardless of whether the final transfer hospital was an AMI or CABG model participant (that is, the episode would be canceled if the final transfer hospital MS-DRG was any MS-DRG other than an AMI MS-DRG, PCI MS-DRG, or CABG MS-DRG).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proposed to begin an AMI episode with the first hospitalization in the chained anchor hospitalization that would initiate an episode as discussed in section III.C.4.a.(5) of the proposed rule </w:t>
      </w:r>
      <w:hyperlink r:id="rId9" w:history="1">
        <w:r>
          <w:rPr>
            <w:rFonts w:ascii="arial" w:eastAsia="arial" w:hAnsi="arial" w:cs="arial"/>
            <w:b w:val="0"/>
            <w:i/>
            <w:strike w:val="0"/>
            <w:noProof w:val="0"/>
            <w:color w:val="0077CC"/>
            <w:position w:val="0"/>
            <w:sz w:val="20"/>
            <w:u w:val="single"/>
            <w:vertAlign w:val="baseline"/>
          </w:rPr>
          <w:t>(81 FR 50836</w:t>
        </w:r>
      </w:hyperlink>
      <w:r>
        <w:rPr>
          <w:rFonts w:ascii="arial" w:eastAsia="arial" w:hAnsi="arial" w:cs="arial"/>
          <w:b w:val="0"/>
          <w:i w:val="0"/>
          <w:strike w:val="0"/>
          <w:noProof w:val="0"/>
          <w:color w:val="000000"/>
          <w:position w:val="0"/>
          <w:sz w:val="20"/>
          <w:u w:val="none"/>
          <w:vertAlign w:val="baseline"/>
        </w:rPr>
        <w:t xml:space="preserve"> through 50840), we also proposed to cancel AMI episodes under the circumstances when a beneficiary in an AMI episode was discharged from acute care under an MS-DRG from the final i-i transfer hospital in the chained anchor hospitalization that was not an AMI, PCI, or CABG MS-DRG that could initiate an AMI or CABG episode (that is, the episode would be canceled if the final transfer hospitalization MS-DRG was any MS-DRG other than an AMI, PCI, or CABG MS-DRG). Overall, this proposal treated the hospital that initiated the AMI episode and then transferred the beneficiary most similarly to a hospital that furnished all of the beneficiary's inpatient care itself, with respect to whether or not the beneficiary's care was ultimately included as an episode in the AMI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did not propose to cancel an AMI episode altogether for a CABG readmission during the 90-day post-hospital discharge period or cancel the AMI episode and initiate a CABG episode because planned CABG readmission following an anchor hospitalization that initiates an AMI episode may be an appropriate clinical pathway for certain beneficiaries. Instead, we proposed to provide an adjusted AMI model-episode benchmark price that includes a CABG readmission in such circumstances so as not to financially penalize participant hospitals for relatively uncommon, costly, clinically appropriate care patterns for beneficiaries in AMI episodes. We refer to section III.D.4.b.(2)(c) of the proposed rule (81 FR 508520 for discussion of the adjusted AMI model-episode benchmark price that would apply in the case of CABG readmission during an AMI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cancellation of EPM episodes were included in proposed §§ 512.240(a)(3), (b)(2), and (c)(2). We sought comment on our proposals for cancellation of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With the exception of the proposal for cancellation of EPM episodes for death only during the anchor hospitalization, many commenters expressed support for the other proposed EPM episode cancellation policies, especially the proposal to cancel EPM episodes in the circumstances of a chained anchor hospitalization when the beneficiary is discharged from acute care under an MS-DRG from the final transfer hospital in the chained anchor hospitalization that could not, itself, initiate an AMI or CABG episode. The commenters pointed out that when a transfer results in discharge from the final hospital in the chained anchor hospitalization under an MS-DRG that could not initiate an AMI or CABG episode, those episodes are disproportionately likely to reflect high-cost episodes that would not be conducive to care redesign due to beneficiary complexity and the need for atypical beneficiary care. Several commenters encouraged CMS to monitor cancellation circumstances because EPM participants could engage in gaming by discharging a dying patient from the hospital to garner a low-cost episode or encouraging beneficiaries to enroll in a Medicare Advantage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requested that CMS cancel EPM episodes when a beneficiary has an excluded readmission because the Part A and Part B services furnished following that readmission would be related to the clinical condition that was the basis for the readmission, and not the condition that was the focus of the EPM.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for our proposals to cancel an EPM episode when a beneficiary initiates an EPM episode but then fails to meet the general beneficiary care inclusion criteria sometime during the episode, which include enrollment in Medicare Part A and Part B; eligibility for Medicare not on the basis of end-stage renal disease; not enrolled in any managed care plan; not covered under a United Mine Workers of American health plan; have Medicare as their primary payer; and not to an ACO in the Next Generation ACO model or an ACO in a track of the Comprehensive ESRD Care Model incorporating downside risk for financial losses. In addition, we appreciate the support for our proposals to cancel an AMI episode when a beneficiary initiates any BPCI episode and when an AMI model beneficiary is discharged from the final hospital in a </w:t>
      </w:r>
      <w:r>
        <w:rPr>
          <w:rFonts w:ascii="arial" w:eastAsia="arial" w:hAnsi="arial" w:cs="arial"/>
          <w:b/>
          <w:i w:val="0"/>
          <w:strike w:val="0"/>
          <w:noProof w:val="0"/>
          <w:color w:val="000000"/>
          <w:position w:val="0"/>
          <w:sz w:val="20"/>
          <w:u w:val="none"/>
          <w:vertAlign w:val="baseline"/>
        </w:rPr>
        <w:t> [*284] </w:t>
      </w:r>
      <w:r>
        <w:rPr>
          <w:rFonts w:ascii="arial" w:eastAsia="arial" w:hAnsi="arial" w:cs="arial"/>
          <w:b w:val="0"/>
          <w:i w:val="0"/>
          <w:strike w:val="0"/>
          <w:noProof w:val="0"/>
          <w:color w:val="000000"/>
          <w:position w:val="0"/>
          <w:sz w:val="20"/>
          <w:u w:val="none"/>
          <w:vertAlign w:val="baseline"/>
        </w:rPr>
        <w:t xml:space="preserve"> chained anchor hospitalization under an MS-DRG that is not an AMI, PCI, or CABG MS-DRG, regardless of whether the final transfer hospital is an AMI or CABG model participant. As discussed in section III.C.4.a.(5) of this final rule, we are finalizing this proposal, but with modification to cancel all AMI episodes that begin at an initial treating hospital when an inpatient-to-inpatient transfer occurs after the AMI episode has begun.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those commenters requesting that we cancel EPM episodes for the occurrence of an excluded readmission, we do not agree that all Part A and Part B services furnished following discharge from the excluded readmission but within the original 90-day post-discharge period for the EPM episode would be unrelated to the clinical condition that is the focus of the EPM. Instead, we believe care during that period would also be furnished for EPM beneficiary management and recovery following the AMI, CABG, or SHFFT hospitalization that initiated the EPM episode. The application of our exclusion list for readmissions and Part B services continues to identify those readmissions and Part B services that would be excluded from the EPM episode definition throughout the full post-discharge episode duration, regardless of the occurrence of an excluded readmission during the EPM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as discussed in sections III.G.4. through 6. of this final rule, we plan to monitor EPM participants' claims data and audit EPM participants' and their EPM collaborators medical records and claims as we deem appropriate and will include canceled EPM episodes in this monitoring to ensure that we do not observe patterns of cancellation suggestive of gaming of the EPM episode cancellation policies.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support for CMS' proposal to cancel EPM episodes for death during the anchor hospitalization but not for death during the 90-day post-discharge episode period. These commenters agreed that death during the inpatient hospitalization would be atypical and should result in EPM episode cancellation, whereas death within the 90 days following hospital discharge would not be rare for the clinical conditions in the EPMs and could appropriately be targeted for improvement through EPM care redesign. The commenters pointed out that CMS' proposals to use AMI and CABG mortality rates in the AMI and CABG model pay-for-performance methodologies was consistent with the opportunities for EPM care redesign to reduce mortality rates in the 30 days following discharge from the anchor hospitalization for AMI and CABG. A few commenters suggested that CMS should not cancel EPM episodes for any death once they are initiated, even for death during the anchor hospitalization, arguing that such cancellations could skew episode costs and that some in-hospital deaths may be preventable, which the EPMs should provide incentives to prevent.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many commenters, including MedPAC, recommended that CMS adopt the same policy as the CJR model and cancel episodes for death at any time during the EPM episode, including during the 90 days post-hospital discharge. Some of the commenters stated that episodes during which a beneficiary dies usually involve atypical courses of care, which may include extensive end-of-life care that hospitals should not be penalized for providing. MedPAC speculated that on the one hand, stays during which the EPM beneficiary dies could be exceptionally high-cost if the patient lives for most of the 90 days and receives end-of-life care. On the other hand, if the EPM beneficiary dies shortly after discharge from the hospital, the patient may receive little post-acute care services or end-of-life care, resulting in unusually low-cost episodes. They concluded that in either case, the episode spending would not be typical and, therefore, these stays should be excluded from calculating the target price and reconciliation payment for the EPM participant. They stated that excluding these episodes would make the spending data less "noisy" and better reflect the typical spending for the EPM participant's episodes. MedPAC also claimed that CMS has better tools than including in the EPMs beneficiaries who die in the 90 days following hospital discharge that encourage lower mortality rates, such as use of the AMI and CABG mortality rates in the HVBP Program, and care coordination, such as the Medicare Spending Per Beneficiary (MSPB) measure in the HVBP Program and the HRRP.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further contended that the proposal to cancel SHFFT episodes only for death during the anchor hospitalization compared to CJR model episode cancellation for beneficiary death any time during a LEJR episode leads to a lack of consistency between hip fracture beneficiaries included in the CJR and SHFFT models. Under CMS' proposal, hip fracture beneficiaries treated with a SHFFT would be subject to one set of rules, while those treated with a hip replacement would be subject to another set, leading to confusion among the hospitals that would be participants in both the CJR and SHFFT models and inequitable treatment of beneficiaries with the same clinical condition of hip fracture. The commenters also believe that CMS' rationale for not canceling SHFFT episodes for beneficiaries who die following discharge from the anchor hospitalization due to a higher risk of death for hip fracture patients than patients receiving LEJR ignored the fact that a substantial portion of the hip fracture population is treated with a LEJR. These commenters concluded that this overlap of fracture beneficiaries between SHFFT and LEJR confounded the comparison CMS was trying to make between the higher mortality rate of beneficiaries following SHFFT versus LEJR and led to questions about its validity.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appreciate that there may be some opportunities to reduce in-hospital deaths for beneficiaries treated with CABG or SHFFT, we believe that there are limited efficiencies that could be expected during the anchor hospitalization itself. Furthermore, we note that there are three separate MS-DRGs for beneficiaries who die during a hospitalization for AMI (MS-DRG 283 Acute Myocardial Infarction, Expired with MCC; MS-DRG 284 Acute Myocardial Infarction, Expired with CC; MS-DRG 285 Acute Myocardial Infarction, Expired without CC/MCC), and we did not propose that these MS-DRGs would initiate AMI episodes. Thus, there would be no situations when AMI episodes were canceled for death during an anchor hospitalization. Thus, we do not believe it would be appropriate to include beneficiaries who die during the anchor hospitalization in any of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beneficiary deaths in the 90-days post-discharge from the anchor hospitalization would be expected to be more common in AMI, CABG, and SHFFT episodes than in the LEJR episodes included in the CJR model, we agree with the commenters that the costs of such episodes are likely to vary unpredictably across EPM participants. We also agree with the commenters' argument about the importance of policy consistency in similar episode payment models for deaths because adopting different cancellation policies for death under the CJR model than we proposed for the EPMs could be confusing for those hospitals that are participants in both the SHFFT and CJR models. While we continue to believe that reductions in mortality following discharge from a hospitalization for AMI, CABG, or SHFFT are a harmful </w:t>
      </w:r>
      <w:r>
        <w:rPr>
          <w:rFonts w:ascii="arial" w:eastAsia="arial" w:hAnsi="arial" w:cs="arial"/>
          <w:b/>
          <w:i w:val="0"/>
          <w:strike w:val="0"/>
          <w:noProof w:val="0"/>
          <w:color w:val="000000"/>
          <w:position w:val="0"/>
          <w:sz w:val="20"/>
          <w:u w:val="none"/>
          <w:vertAlign w:val="baseline"/>
        </w:rPr>
        <w:t> [*285] </w:t>
      </w:r>
      <w:r>
        <w:rPr>
          <w:rFonts w:ascii="arial" w:eastAsia="arial" w:hAnsi="arial" w:cs="arial"/>
          <w:b w:val="0"/>
          <w:i w:val="0"/>
          <w:strike w:val="0"/>
          <w:noProof w:val="0"/>
          <w:color w:val="000000"/>
          <w:position w:val="0"/>
          <w:sz w:val="20"/>
          <w:u w:val="none"/>
          <w:vertAlign w:val="baseline"/>
        </w:rPr>
        <w:t xml:space="preserve"> beneficiary outcome that should be targeted for improvement through care redesign incentivized by the EPMs for these clinical conditions, we agree with the commenters that it would be appropriate to cancel all EPM episodes for beneficiary death any time during the episode. We note that our use of 30-day AMI and CABG mortality measures in the pay-for-performance methodologies of the AMI and CABG models, respectively, as discussed in sections III.E.2.b. and c. of this final rule encourages AMI and CABG model participant to actively manage AMI and CABG beneficiaries to reduce this risk of death, to supplement existing incentives in other CMS programs that encourage lower mortality rates.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that CMS clarify its administrative policies for identifying and informing EPM participants about beneficiaries whose episodes are initiated and then canceled. The commenters stated that CMS should inform EPM participants in a timely manner when an episode is canceled for any reason, with one commenter specifying at least quarterly notification. The commenters pointed out that an EPM participant's awareness of episode cancellation is important for several reasons, including the EPM participant's simultaneous calculation of EPM episode spending; beneficiary notification; provision of beneficiary engagement incentives; and determination of beneficiary eligibility for certain Medicare program rule waivers which is discussed further in section III.J. of this final rule. The commenters claimed that while the EPM participant is in the best position to know when the triggering procedures or services they have been providing will result in a MS-DRG that would initiate an EPM episode, the EPM participant will not always know when a patient meets certain exclusion criteria throughout the course of the EPM episode. The commenters emphasized that it is important for the EPM participant to know if beneficiaries they expect to be part of the EPM episode are going to be part of the EPM episode on a timely basis for cancellations or events that would serve to disqualify the beneficiary from a given hospital's attribution of an episode. Therefore, the commenters recommended that CMS inform EPM participant and CJR participant hospitals timely when an episode is canceled for any reason.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of the commenters in conducting timely analysis of EPM episode spending, as well as ensuring that the requirements of the EPM are met in their treatment of Medicare beneficiaries. Given our plans for providing and updating episode claims data to EPM participants upon request as frequently as quarterly as discussed in section III.K.5 of this final rule, we will explore adding indicators to the beneficiary-identifiable claims data supplied to EPM participants that provide information about circumstances that could result in EPM episode cancellation, such as admission of a beneficiary to a hospital that initiates episodes under a BPCI model for care that could potentially cancel an EPM episode. To the extent adding such indicators to the claims data is feasible, providing this information through the claims data to EPM participants would ensure that EPM participants are informed as frequently as quarterly about beneficiary circumstances that could result in EPM episode cancellation. This information would not be real-time, however, and while our best estimate, would likely be incomplete even based on the best available information at the time. At a minimum, it would always reflect the time lag for the EPM episode claims to be submitted and processed and then reported back to the EPM participant in the updated claims data. We note that at reconciliation, complete information would be provided to EPM participants that have requested beneficiary-level claims data or summary beneficiary claims data reports about those episodes that were ultimately included in the EPM participant's reconciliation report as discussed in section III.D.5.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we expect EPM participants to be actively managing all of their beneficiaries with conditions characterized by AMI, CABG, or SHFFT based on their care pathways developed for such beneficiaries, regardless of the model or program that may ultimately apply to the beneficiary under the uncommon circumstances of EPM episode cancellation. We also emphasize the importance of strong, ongoing communication among providers in a given geographic area caring for beneficiaries in similar models or programs where provider interests in delivering high quality, efficient health care should align.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512.240(a)(2), (b)(2), and (c)(2) for cancellation of EPM episodes, with modification to also cancel EPM episodes if the beneficiary dies during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canceling EPM episodes for the following circumstances:</w:t>
      </w:r>
    </w:p>
    <w:p>
      <w:pPr>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ceases to meet any of the general beneficiary inclusion criteria described in section III.C.4.a.(1) of this final rule, except the three criteria regarding inclusion in other episode payment model episodes.</w:t>
      </w:r>
    </w:p>
    <w:p>
      <w:pPr>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dies.</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initiates any BPCI model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in the AMI model we are canceling the AMI episode when a beneficiary is transferred during the anchor hospitalization for inpatient hospitalization at another hospital as discussed in section III.C.4.a.(5)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we are not finalizing the proposed AMI model transfer episode initiation and attribution policy, as discussed in section III.C.4.a.(5) of this final rule, we are not adopting the policy included in proposed § 512.240(a)(2). Therefore, we are renumbering proposed § 512.240(a)(3) to § 512.240(a)(2) to specify the final AMI episode cancellation policy. This includes renumbering proposed § 512.240(a)(3)(iii) to final § 512.240(a)(2)(iii) and revising the provision to specify the final inpatient-to-inpatient transfer policy that cancels an AMI model episode if the beneficiary is transferred during the anchor hospitalization for inpatient hospitalization at another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End of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AMI and CABG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a 90-day post-hospital discharge episode duration for AMI episodes. AMI in general, whether managed medically or with revascularization, has a lengthy recovery period, during which the beneficiary has a higher than average risk of additional cardiac events and other complications, as well as higher utilization of diagnostic testing and related cardiac procedures. AMI frequently serves as a sentinel event that marks the need for a heightened focus on medical management of coronary artery disease and other beneficiary risk factors for future cardiac events, cardiac rehabilitation over multiple months, and beneficiary education and engagement. Given the broad episode definition for AMI episodes that includes beneficiaries receiving both medical and PCI management for an acute event, we do not believe that an episode longer than 90 days would be feasible due to the higher risk of including unrelated services in the episode beyond several months after hospital discharge. However, we believe that 90-day post-hospital discharge episodes would provide substantial </w:t>
      </w:r>
      <w:r>
        <w:rPr>
          <w:rFonts w:ascii="arial" w:eastAsia="arial" w:hAnsi="arial" w:cs="arial"/>
          <w:b/>
          <w:i w:val="0"/>
          <w:strike w:val="0"/>
          <w:noProof w:val="0"/>
          <w:color w:val="000000"/>
          <w:position w:val="0"/>
          <w:sz w:val="20"/>
          <w:u w:val="none"/>
          <w:vertAlign w:val="baseline"/>
        </w:rPr>
        <w:t> [*286] </w:t>
      </w:r>
      <w:r>
        <w:rPr>
          <w:rFonts w:ascii="arial" w:eastAsia="arial" w:hAnsi="arial" w:cs="arial"/>
          <w:b w:val="0"/>
          <w:i w:val="0"/>
          <w:strike w:val="0"/>
          <w:noProof w:val="0"/>
          <w:color w:val="000000"/>
          <w:position w:val="0"/>
          <w:sz w:val="20"/>
          <w:u w:val="none"/>
          <w:vertAlign w:val="baseline"/>
        </w:rPr>
        <w:t xml:space="preserve"> incentives for aggressive medical management, cardiac rehabilitation, and beneficiary education and engagement, whereas a shorter episode duration would have less effect. We acknowledge that ongoing disease management for beneficiaries with cardiovascular disease must extend long after the conclusion of the AMI episodes. However, we believe the 90-day post-hospital discharge episode duration remains appropriate for an episode payment model focused around a hospitalization. We expect that the medical management and care coordination during AMI episodes would continue to be provided as beneficiaries transition out of AMI episodes, potentially into a primary care medical home or other model or program with accountability for population health, such as an ACO.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note based on analysis of historical episodes that about 10 percent of beneficiaries hospitalized with AMI who received a CABG received the CABG between 2 and 90 days post-discharge from the anchor hospitalization (these beneficiaries would be in AMI episodes), while the remaining 90 percent of CABGs for beneficiaries hospitalized with AMI were provided during the initial hospitalization (these beneficiaries would in CABG episodes). In contrast, fewer than 3 percent of those AMI model beneficiaries who received an inpatient or outpatient PCI during an AMI episode received the PCI between 2 and 90 days post-discharge from the anchor hospitalization, while more than 97 percent received the PCI during the anchor hospitalization. n75 We refer to section III.D.4.b.(2)(c) of this final rule for further discussion of pricing adjustments and alternatives considered for setting EPM-episode benchmark prices for AMI episodes where PCI or CABG occurs during the AMI episode but post-discharge from the anchor or chained anchor hospitalization.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n75 Episodes for AMI beneficiaries initiated by all U.S. IPPS hospitals and constructed using standardized Medicare FFS Parts A and B claims, as proposed in the proposed rule, that end in CY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for similar reasons, we believe CABG episodes should extend 90 days post-hospital discharge. About one-third of CABG procedures are performed in the context of a hospital admission for AMI, leading to the same considerations discussed previously in this section around the appropriate episode duration for beneficiaries with AMI. The remaining CABG model beneficiaries are likely to have significant ischemic heart disease, making the occurrence of CABG itself a sentinel event, like AMI, that marks the need for a heightened focus on medical management of CAD and other beneficiary risk factors for future cardiac events, cardiac rehabilitation over multiple months, and beneficiary education and engagement. Moreover, CABG procedures have 90-day global periods under the Physician Fee Schedule, consistent with the lengthy period of recovery associated with major chest surgery. Thus, a 90-day post-hospital discharge episode duration is consistent with the recovery period from CABG surgery. We acknowledge that ongoing disease management for beneficiaries with cardiovascular disease must extend long after the conclusion of the CABG episodes. However, we believe the 90-day post-hospital discharge episode duration remains appropriate for an episode payment model focused around a hospitalization. We expect that the medical management and care coordination during CABG episodes would continue to be provided as beneficiaries transition out of CABG episodes, potentially into a primary care medical home or other model or program with accountability for population health, such as an ACO.</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in the CJR model, we proposed that the day of discharge from the anchor hospitalization counts as day 1 of the post-hospital discharge period </w:t>
      </w:r>
      <w:hyperlink r:id="rId21" w:history="1">
        <w:r>
          <w:rPr>
            <w:rFonts w:ascii="arial" w:eastAsia="arial" w:hAnsi="arial" w:cs="arial"/>
            <w:b w:val="0"/>
            <w:i/>
            <w:strike w:val="0"/>
            <w:noProof w:val="0"/>
            <w:color w:val="0077CC"/>
            <w:position w:val="0"/>
            <w:sz w:val="20"/>
            <w:u w:val="single"/>
            <w:vertAlign w:val="baseline"/>
          </w:rPr>
          <w:t>(80 FR 73324).</w:t>
        </w:r>
      </w:hyperlink>
      <w:r>
        <w:rPr>
          <w:rFonts w:ascii="arial" w:eastAsia="arial" w:hAnsi="arial" w:cs="arial"/>
          <w:b w:val="0"/>
          <w:i w:val="0"/>
          <w:strike w:val="0"/>
          <w:noProof w:val="0"/>
          <w:color w:val="000000"/>
          <w:position w:val="0"/>
          <w:sz w:val="20"/>
          <w:u w:val="none"/>
          <w:vertAlign w:val="baseline"/>
        </w:rPr>
        <w:t xml:space="preserve"> Since the post-hospital discharge period is intended to extend 90 days for recovery following hospital discharge, we believe it is appropriate under these circumstances to begin the 90-day count when the beneficiary is ultimately discharged from acute care for the first time during the AMI episode. However, the hospital that initiated the AMI episode in the chained anchor hospitalization would continue to be responsible in the AMI model for the episode discussed previously in section III.C.4.a.(5)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end of AMI and CABG episodes were included in proposed §§ 512.240(a)(1) and (b)(1), respectively. We sought comment on our proposals to end AMI and CABG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a number of comments on the proposed episode duration for the AMI and CABG models, although most commenters provide similar rationale and recommendations for the three proposed EPMs. Thus, we refer to the next section for a discussion of the comments regarding the proposed ending of EPM episodes, including SHFFT as well as AMI and CABG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SHFFT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SHFFT model beneficiaries are similar to CJR model beneficiaries who undergo hip replacement for fracture. We believe that the same episode duration as the CJR model of 90 days is appropriate for SHFFT episodes in order to include the full time for recovery of function for these beneficiaries, which extends beyond 60 days based on patterns of post-acute care provider use </w:t>
      </w:r>
      <w:hyperlink r:id="rId21" w:history="1">
        <w:r>
          <w:rPr>
            <w:rFonts w:ascii="arial" w:eastAsia="arial" w:hAnsi="arial" w:cs="arial"/>
            <w:b w:val="0"/>
            <w:i/>
            <w:strike w:val="0"/>
            <w:noProof w:val="0"/>
            <w:color w:val="0077CC"/>
            <w:position w:val="0"/>
            <w:sz w:val="20"/>
            <w:u w:val="single"/>
            <w:vertAlign w:val="baseline"/>
          </w:rPr>
          <w:t>(80 FR 73319</w:t>
        </w:r>
      </w:hyperlink>
      <w:r>
        <w:rPr>
          <w:rFonts w:ascii="arial" w:eastAsia="arial" w:hAnsi="arial" w:cs="arial"/>
          <w:b w:val="0"/>
          <w:i w:val="0"/>
          <w:strike w:val="0"/>
          <w:noProof w:val="0"/>
          <w:color w:val="000000"/>
          <w:position w:val="0"/>
          <w:sz w:val="20"/>
          <w:u w:val="none"/>
          <w:vertAlign w:val="baseline"/>
        </w:rPr>
        <w:t xml:space="preserve"> through 73324). Therefore, we proposed a 90-day post-hospital discharge duration for SHFFT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the end of SHFFT episodes was included in proposed § 512.240(c)(1). We sought comment on our proposal to end SHFFT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number of commenters expressed support for the proposed 90-day post-discharge episode duration for the AMI, CABG, and SHFFT models. These commenters reasoned that 90 days following discharge from an inpatient hospitalization was the most clinically appropriate length for the proposed conditions and would enhance the commitment of EPM participants and their collaborators to caring for patients over time. They added that this duration would be sufficiently long to capture many complications of treating EPM clinical conditions and engage multiple providers in inpatient, outpatient, and post-acute care provider settings. The commenters believe that the proposed episode length would move providers closer to achieving long-term population health management. Several commenters pointed out that hospitals are well-prepared to assume responsibility for EPM episodes that continue for 90 days after hospital discharge.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stated that the proposed 90-day EPM episode duration was too long, especially in the context of the proposals to include a broad array of related items services in EPM episodes. In general, the commenters who stated for a shorter episode duration believe that during the early stages of required bundled payment models, it would be more reasonable for hospitals to assume episode performance risk for 30 days post-discharge than 90 days as proposed and that CMS should adopt 30-days post-discharge as the standard EPM episode duration permanently or temporarily, such as for the first two model years, and then reevaluate.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contended that in using an episode definition that </w:t>
      </w:r>
      <w:r>
        <w:rPr>
          <w:rFonts w:ascii="arial" w:eastAsia="arial" w:hAnsi="arial" w:cs="arial"/>
          <w:b/>
          <w:i w:val="0"/>
          <w:strike w:val="0"/>
          <w:noProof w:val="0"/>
          <w:color w:val="000000"/>
          <w:position w:val="0"/>
          <w:sz w:val="20"/>
          <w:u w:val="none"/>
          <w:vertAlign w:val="baseline"/>
        </w:rPr>
        <w:t> [*287] </w:t>
      </w:r>
      <w:r>
        <w:rPr>
          <w:rFonts w:ascii="arial" w:eastAsia="arial" w:hAnsi="arial" w:cs="arial"/>
          <w:b w:val="0"/>
          <w:i w:val="0"/>
          <w:strike w:val="0"/>
          <w:noProof w:val="0"/>
          <w:color w:val="000000"/>
          <w:position w:val="0"/>
          <w:sz w:val="20"/>
          <w:u w:val="none"/>
          <w:vertAlign w:val="baseline"/>
        </w:rPr>
        <w:t xml:space="preserve"> includes 90-day post-discharge, CMS was, in effect, making hospitals managers of population health. These commenters believe that hospitals lack the resources, skill sets, and infrastructure to engage in the mission of managing population health, and stated that the requirements are much different and more complex and demanding than what is need for episode payments. Several commenters reasoned that since the proposed quality metrics for the EPMs were 30 days after discharge and they believe that hospitals are more effective managing the first 30 days of an episode, the episode duration should be shortened to 30 days so the quality and performance metrics would be aligned.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requested that CMS shorten the episode duration to 30 days because 30 days is a more appropriate duration for exacerbations of existing, unrelated chronic conditions to the condition that is the focus of the episode. Some commenters claimed that a post-surgical or post-event episode duration under the AMI, CABG, and SHFFT models longer than 30 days poses a greater risk for variability due to medical events outside the intended scope of the model and control of the hospital. They stated that this is particularly true for ill patients who are likely to have major complications or comorbidities when admitted and are at higher risk for developing new complications post-discharge. The commenters stated that because all the proposed models are urgent or emergent, rather than elective or time-sensitive, this danger poses greater concern than under other Innovation Center episode payment models, such as the CJR model and OCM. While such comorbidities contributing to all-cause readmission can be reasonably controlled in the immediate and 30-day post-operative or post-event period, the commenters contended that the most complex patients develop complications after discharge, which are highly varied and predominantly unrelated to the quality of care they receive. Therefore, they concluded that care for chronic conditions and other non-anchor MS-DRG-related conditions becomes much more prevalent in days 31 to 90 following hospital discharge. One commenter observed based on experience in its hospitals that after 30 days, an over 30 percent increase in readmissions to a hospital other than the original facility occurred, creating a need for additional strategies to coordinate episode care after 30 days. The commenters stated that hospitals do not have the time, money, skill set or recourse to develop the infrastructure to support episode care management during the 31- to 90-day post-discharge period. Finally, several commenters observed that Medicare beneficiaries may have more than one residence during the year, creating challenges with follow up for an episode that extends 90 day following hospital discharge.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of many commenters for the proposed 90-day post-hospital discharge EPM episode duration. We agree with the commenters that the episode duration should capture the majority of health care services that are related to the episode and be sufficiently long to include many complications and follow-up care to the anchor hospitalization. We believe that hospitalization is often a sentinel event for Medicare beneficiaries, representing an opportunity for increased care coordination and, in the case of the EPMs, improved care management of chronic conditions that may have led to the hospitalization for the cardiac event or cardiac or orthopedic surgery. This episode duration provides EPM participants with a substantial period of time in which to work to improve the quality and efficiency of EPM episode performance for beneficiaries who are hospitalized for the targeted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substantial BPCI Model 2 experience in testing AMI, PCI, CABG, and SHFFT episodes that include beneficiaries who are most similar to those who would be included in the proposed EPMs. Almost all BPCI Model 2 Awardees testing these episodes have selected the 90-day episode duration, compared to the 30-day and 60-day alternative durations that are available in BPCI Model 2. Ninety days post-hospital discharge is also the episode duration in the CJR model. Our goal in the EPMs is to incentivize efficient, high quality care that returns beneficiaries to the community in the best health possible, and we believe that a 90-day post-discharge duration reflects a full continuum of clinical services and transition of care for average SHFFT, AMI, and CABG model beneficiaries, at which time the beneficiary's functional recovery and stabilization of medical conditions are relatively complete so the beneficiary is able to resume most usual activities of daily living.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LEJR episodes under the CJR model, in our analysis of episode spending for the EPMs we observed the concentration of Medicare post-discharge episode spending in the earlier part of the episode following discharge from the anchor hospitalization in all the EPMs. n76 Specifically, in the first 30 days following anchor hospitalization discharge in AMI episodes, excluding those AMI episodes with readmissions for CABG for which we make a payment adjustment under the AMI model as discussed in section III.D.4.b.(2)(c) of this final rule, we found 61 percent and 54 percent of post-discharge episode spending for AMI MS-DRG-anchored and PCI MS-DRG-anchored AMI episodes, respectively. Similarly, in the 30 days following discharge, we observed 68 percent and 69 percent of post-discharge episode spending for CABG and SHFFT episodes. For all of the EPMs, about 60 to 70 percent of the remaining post-discharge spending occurred in days 31-60 post-discharge, and one-third in days 61-90 post-discharge. Thus, while the 90-day post-discharge episode duration increases the EPM participant's financial risk somewhat compared to episodes that extend only 30 days, because we found that significant services related to the clinical condition that is the focus of the models occurred during days 31-90 post-discharge, we believe there are significant opportunities for improved quality and efficiency in EPM episodes after 30 days and extending through 90 days post-discharge from the anchor hospitalization. If, as some commenters speculated, a post-surgical or post-event episode duration under the AMI, CABG, and SHFFT models longer than 30 days posed a significant risk of variability primarily due to medical events that are unrelated to the clinical condition that is the focus of the EPM episode, we would have expected to see an equal percentage of post-discharge episode spending in the periods of time from days 31-60 and 61-90. That was not the case in our analysis, because we continued to see EPM episode spending as a proportion of post-discharge spending drop off in relation to increasing time after discharge, suggesting that the EPM episode definitions are capturing related episode spending that declines, as would be expected, over the period of time post-discharge as the beneficiary recovers and returns to the community.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n76 Episodes for AMI, CABG, and SHFFT beneficiaries initiated by all U.S. IPPS hospitals not in Maryland and constructed using standardized Medicare FFS Parts A and B claims, as proposed in the proposed rule, that began in CY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understand that uncommon events during the 90-day post-discharge episode duration may occur for an individual beneficiary, resulting in an unanticipated or unavoidable need for costly health care services, we believe </w:t>
      </w:r>
      <w:r>
        <w:rPr>
          <w:rFonts w:ascii="arial" w:eastAsia="arial" w:hAnsi="arial" w:cs="arial"/>
          <w:b/>
          <w:i w:val="0"/>
          <w:strike w:val="0"/>
          <w:noProof w:val="0"/>
          <w:color w:val="000000"/>
          <w:position w:val="0"/>
          <w:sz w:val="20"/>
          <w:u w:val="none"/>
          <w:vertAlign w:val="baseline"/>
        </w:rPr>
        <w:t> [*288] </w:t>
      </w:r>
      <w:r>
        <w:rPr>
          <w:rFonts w:ascii="arial" w:eastAsia="arial" w:hAnsi="arial" w:cs="arial"/>
          <w:b w:val="0"/>
          <w:i w:val="0"/>
          <w:strike w:val="0"/>
          <w:noProof w:val="0"/>
          <w:color w:val="000000"/>
          <w:position w:val="0"/>
          <w:sz w:val="20"/>
          <w:u w:val="none"/>
          <w:vertAlign w:val="baseline"/>
        </w:rPr>
        <w:t xml:space="preserve"> that our EPM episode definitions that exclude unrelated items and services and our payment policies, namely the adjustment for high payment episodes and stop-loss policies discussed in sections III.D.3.d., III.D.7.b.(1), and III.D.7.d. of this final rule, provide sufficient protections for EPM participants from undue financial responsibility for the care of unrelated clinical conditions as well as for unusual circumstances. We also believe that shorter episode durations may incur a higher clinical risk for beneficiaries if EPM participants delay services beyond the EPM episode, and the risk to beneficiaries of this response by providers to episode payment can be minimized by the longer 90-day episode duration that we proposed for the EPMs. We refer to sections III.G.4. through 6. of this final rule for discussion of our plans to monitor for access to care, quality of care, and delayed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commenters recommending a shorter episode duration in the earlier stages of bundled payment, as noted previously we have several years of experience with BPCI Model 2 where the majority of Awardee have selected a 90-day episode duration for episodes of a similar design to the EPMs that target the same clinical conditions. While entities choose to participate in the BPC models, we have also established a 90-day episode duration in the CJR model, which is the first episode payment model which has a geographic basis. Thus, we do not believe that it is necessary to adopt a shorter episode duration for the EPMs either permanently or temporarily.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those commenters who believe that the 90-day post discharge episode duration and broad episode definitions would make hospitals responsible for population health, we note that the EPMs are not total cost-of-care models. As discussed in section III.C.3.b of this final rule, we exclude items and services that are unrelated to EPM episodes, namely those that are not directly related to the EPM episode or the quality or safety of the EPM episode care that is included in the EPM episode; for chronic conditions that are generally not affected by the EPM episode care; and for acute clinical conditions not arising from existing EPM episode-related chronic clinical conditions or complications of EPM episode care. We agree with the commenters in favor of the proposed 90-day post-discharge episode duration for the EPMs who stated that the proposed EPMs of this episode duration move providers closer to long-term population health management. Given the diversity of commenters' views on hospitals' readiness to assume responsibility for episodes of the proposed duration, we appreciate that EPM participants in models where participation is required are in various stages of readiness for managing the quality and cost performance of episode, based on their prior experience, resources, and infrastructure. We believe that all EPM participants have substantial opportunities to increase their capacity to manage the quality and cost of EPM episodes and achieve significant financial rewards from good performance, regardless of their starting point. We note that many of the EPM policies such as data sharing, financial arrangements, the phase-in of two-sided risk, and stop-loss limits afford hospitals the opportunity to learn about EPM episode care patterns, collaborate with others who have expertise in care redesign, and implement their initial EPM care plans for their beneficiaries in an initial environment of limited financial risk.</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not believe that the measurement period for the quality measures and the duration of the EPM episodes must necessarily align, although we note that we sought comment in the EPM proposed rule about potentially using quality measures that examine patient outcomes over a period that extends at least as long as the EPM episode </w:t>
      </w:r>
      <w:hyperlink r:id="rId9" w:history="1">
        <w:r>
          <w:rPr>
            <w:rFonts w:ascii="arial" w:eastAsia="arial" w:hAnsi="arial" w:cs="arial"/>
            <w:b w:val="0"/>
            <w:i/>
            <w:strike w:val="0"/>
            <w:noProof w:val="0"/>
            <w:color w:val="0077CC"/>
            <w:position w:val="0"/>
            <w:sz w:val="20"/>
            <w:u w:val="single"/>
            <w:vertAlign w:val="baseline"/>
          </w:rPr>
          <w:t>(81 FR 50901).</w:t>
        </w:r>
      </w:hyperlink>
      <w:r>
        <w:rPr>
          <w:rFonts w:ascii="arial" w:eastAsia="arial" w:hAnsi="arial" w:cs="arial"/>
          <w:b w:val="0"/>
          <w:i w:val="0"/>
          <w:strike w:val="0"/>
          <w:noProof w:val="0"/>
          <w:color w:val="000000"/>
          <w:position w:val="0"/>
          <w:sz w:val="20"/>
          <w:u w:val="none"/>
          <w:vertAlign w:val="baseline"/>
        </w:rPr>
        <w:t xml:space="preserve"> We proposed to use existing AMI and CABG outcome measures that assess outcomes over a 30-day period following discharge, at least initially, because they are in wide use and have gained acceptance among hospitals and because the AMI and CABG mortality measures have been reviewed and endorsed by the National Quality Forum. However, we believe that 90 days is a period over which hospitals have substantial ability to influence the quality and efficiency of care that EPM beneficiaries receive. Rather than shorten EPM episodes to align with the existing 30-day quality measure timeframe as some commenters recommended, we believe it would be more appropriate to seek to adapt the existing measures or to develop new related measures to assess outcomes over a longer timeframe, including timeframes at least as long as the EPMs. We refer to section III.E.4 of this final rule for further discussion of our plans regarding future quality measures that could be incorporated into the EPM pay-for performance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appreciate the perspective of the commenters who believe that a 30-day episode duration would be more appropriate because a longer episode duration poses a greater risk for variability due to events outside the intended scope of the model and control of the hospital, including readmissions to a different hospital, and that this risk is higher for the EPMs than other Innovation Center bundled payment models due to the urgent or emergent clinical conditions included in the EPMs. We agree with the commenters that the EPMs test different clinical scenarios than the CJR model that targets LEJR, which is primarily elective, and that the complexity of many EPM beneficiaries requires new approaches to redesigning and coordinating care for the 90 days post-hospital discharge. While EPM beneficiaries may be more likely to develop a variety of complications requiring more related services following discharge than those in the CJR model, we continue to believe that complications most commonly have patterns and bear a significant relationship to the quality of care and effectiveness of care coordination following hospital discharge. Even though some EPM beneficiaries may be medically complex and fragile, we continue to believe there are substantial opportunities to improve the quality and efficiency of their care under the EPMs where EPM participants have quality and cost performance responsibility for episodes that extend 90-day post-discharge from the anchor hospitalization. We also agree with the commenters that EPM participants who are required to participate in the EPMs be protected from undue financial risk. We refer to section III.D.4.b.(2) of this final rule for further discussion of risk adjustment under the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512.240(a)(1), (b)(1), and (c)(1) for the end of AMI, CABG, and SHFFT episodes, respectively, based on an EPM episode duration that extends 90 days following discharge from the anchor hospitalization, with modification to revise § 512.240(a)(1) to eliminate proposed paragraphs (a)(1)(i) and (ii) and incorporate the 90-day post-discharge episode duration in the general provision. We no longer need to specify the episode duration separately for an AMI episode that includes an inpatient-to-inpatient transfer after an AMI episode has been initiated because we are not adopting the proposed policies for chained anchor hospitalizations. As discussed in section III.C.4.a.(5). of this final rule, we are not finalizing the AMI model transfer episode initiation and attribution proposal that would have required us to </w:t>
      </w:r>
      <w:r>
        <w:rPr>
          <w:rFonts w:ascii="arial" w:eastAsia="arial" w:hAnsi="arial" w:cs="arial"/>
          <w:b/>
          <w:i w:val="0"/>
          <w:strike w:val="0"/>
          <w:noProof w:val="0"/>
          <w:color w:val="000000"/>
          <w:position w:val="0"/>
          <w:sz w:val="20"/>
          <w:u w:val="none"/>
          <w:vertAlign w:val="baseline"/>
        </w:rPr>
        <w:t> [*289] </w:t>
      </w:r>
      <w:r>
        <w:rPr>
          <w:rFonts w:ascii="arial" w:eastAsia="arial" w:hAnsi="arial" w:cs="arial"/>
          <w:b w:val="0"/>
          <w:i w:val="0"/>
          <w:strike w:val="0"/>
          <w:noProof w:val="0"/>
          <w:color w:val="000000"/>
          <w:position w:val="0"/>
          <w:sz w:val="20"/>
          <w:u w:val="none"/>
          <w:vertAlign w:val="baseline"/>
        </w:rPr>
        <w:t xml:space="preserve"> identify chained anchor hospitalizations.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Methodology for Setting EPM Episode Prices and Paying EPM Participants in the AMI, CABG, and SHFFT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AMI, CABG, and SHFFT models would provide incentives for EPM participants to work with other health care providers and suppliers to improve the quality and efficiency of care for Medicare beneficiaries by paying EPM participants or holding them responsible for repaying Medicare based on EPM participants' performance with respect to the quality and spending for AMI, CABG, and SHFFT episodes in a manner similar to the CJR model. Given the general similarity between the design of the CJR model and these EPMs, there is precedent for adopting the general payment and pricing parameters used under the CJR model, with modification to appropriately pay for EPM episodes that include the different clinical conditions treated in AMI, CABG, and SHFFT model episodes. The following sections describe our proposals for the:</w:t>
      </w:r>
    </w:p>
    <w:p>
      <w:pPr>
        <w:keepNext w:val="0"/>
        <w:numPr>
          <w:numId w:val="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Performance year, retrospective episode payments, and two-sided risk EPMs.</w:t>
      </w:r>
    </w:p>
    <w:p>
      <w:pPr>
        <w:keepNext w:val="0"/>
        <w:numPr>
          <w:numId w:val="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Adjustments to actual EPM-episode payments and to historical episode payments used to set episode prices.</w:t>
      </w:r>
    </w:p>
    <w:p>
      <w:pPr>
        <w:keepNext w:val="0"/>
        <w:numPr>
          <w:numId w:val="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EPM episode price-setting methodologies.</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Process for reconciliation.</w:t>
      </w:r>
    </w:p>
    <w:p>
      <w:pPr>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Adjustments for overlaps with other Innovation Center models and CMS programs.</w:t>
      </w:r>
    </w:p>
    <w:p>
      <w:pPr>
        <w:keepNext w:val="0"/>
        <w:numPr>
          <w:numId w:val="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Limits or adjustments to EPM participants' financial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Key Terms for EPM Episode Pricing and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purposes of ease of understanding of the technical discussion that follows around EPM episode pricing and payment, our proposed rule provided the following definitions of terms that were used in sections that precede their technical definition and cross-references to other sections of the proposed rule for more detailed discussion of the policies associated with these terms.</w:t>
      </w:r>
    </w:p>
    <w:p>
      <w:pPr>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Anchor hospitalization--hospitalization that initiates an EPM episode and has no subsequent inpatient-to-inpatient transfer chained anchor hospitalization.</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Chained anchor hospitalization--an anchor hospitalization that initiates an AMI model episode and has at least one subsequent inpatient-to-inpatient transfer.</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Anchor MS-DRG--MS-DRG assigned to the first hospitalization discharge, which initiates an EPM episode.</w:t>
      </w:r>
    </w:p>
    <w:p>
      <w:pPr>
        <w:keepNext w:val="0"/>
        <w:numPr>
          <w:numId w:val="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Price MS-DRG--for EPM episodes without a chained anchor hospitalization, the price MS-DRG is the anchor MS-DRG. For AMI model episodes with a chained anchor hospitalization, the price MS-DRG is the MS-DRG assigned to the AMI model episode according to the hierarchy that was described in III.D.4.b.(2)(i) of the proposed rule.</w:t>
      </w: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Episode benchmark price--dollar amount assigned to EPM episodes based on historical EPM-episode data (3 years of historical Medicare payment data grouped into EPM episodes according to the EPM episode definitions as discussed in sections III.C.3. and III.C.4. of the proposed rule) prior to the application of the effective discount factor, as described throughout sections III.D.4.b through e. of the proposed rule.</w:t>
      </w:r>
    </w:p>
    <w:p>
      <w:pPr>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CABG readmission AMI model episode benchmark price--episode benchmark price assigned to certain AMI model episodes with price MS-DRG 280-282 or 246-251 and with a readmission for MS-DRG 231-236, as described in sections III.D.4.b.(2)(c) and III.D.4.e. of the proposed rule.</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Quality-adjusted target price--dollar amount assigned to EPM episodes as the result of reducing the episode benchmark price by the EPM participant's effective discount factor based on the EPM participant's quality performance, as described in sections III.D.4.b.(10) and III.E.3.f. of the proposed rule.</w:t>
      </w:r>
    </w:p>
    <w:p>
      <w:pPr>
        <w:keepNext w:val="0"/>
        <w:numPr>
          <w:numId w:val="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Excess EPM-episode spending--dollar amount corresponding to the amount by which actual EPM-episode payments for all EPM episodes attributed to an EPM participant exceed the quality-adjusted target prices for the same EPM episodes, as discussed in section III.D.2.c.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Performance Years, Retrospective Episode Payments, and Two-Sided Risk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methodology for the CJR model, we proposed 5 performance years (PYs) for the EPMs, which would include EPM episodes for the periods displayed in the following Table 9:</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1200"/>
        <w:gridCol w:w="5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9--Proposed Performance Years for EPMs</w:t>
            </w:r>
          </w:p>
        </w:tc>
      </w:tr>
      <w:tr>
        <w:tblPrEx>
          <w:tblW w:w="0" w:type="auto"/>
          <w:jc w:val="center"/>
          <w:tblLayout w:type="fixed"/>
          <w:tblCellMar>
            <w:left w:w="108" w:type="dxa"/>
            <w:right w:w="108" w:type="dxa"/>
          </w:tblCellMar>
        </w:tblPrEx>
        <w:trPr>
          <w:tblHeader/>
          <w:jc w:val="center"/>
        </w:trPr>
        <w:tc>
          <w:tcPr>
            <w:tcW w:w="2760" w:type="dxa"/>
            <w:tcBorders>
              <w:bottom w:val="nil"/>
              <w:right w:val="nil"/>
            </w:tcBorders>
            <w:tcMar>
              <w:top w:w="20" w:type="dxa"/>
              <w:bottom w:w="20" w:type="dxa"/>
            </w:tcMar>
            <w:vAlign w:val="top"/>
          </w:tcPr>
          <w:p/>
        </w:tc>
        <w:tc>
          <w:tcPr>
            <w:tcW w:w="1200" w:type="dxa"/>
            <w:tcBorders>
              <w:bottom w:val="nil"/>
              <w:right w:val="nil"/>
            </w:tcBorders>
          </w:tcPr>
          <w:p/>
        </w:tc>
        <w:tc>
          <w:tcPr>
            <w:tcW w:w="5280" w:type="dxa"/>
          </w:tcPr>
          <w:p/>
        </w:tc>
      </w:tr>
      <w:tr>
        <w:tblPrEx>
          <w:tblW w:w="0" w:type="auto"/>
          <w:jc w:val="center"/>
          <w:tblLayout w:type="fixed"/>
          <w:tblCellMar>
            <w:left w:w="108" w:type="dxa"/>
            <w:right w:w="108" w:type="dxa"/>
          </w:tblCellMar>
        </w:tblPrEx>
        <w:trPr>
          <w:tblHeader/>
          <w:jc w:val="center"/>
        </w:trPr>
        <w:tc>
          <w:tcPr>
            <w:tcW w:w="27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 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5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EPM episodes included in performance year</w:t>
            </w:r>
          </w:p>
        </w:tc>
      </w:tr>
      <w:tr>
        <w:tblPrEx>
          <w:tblW w:w="0" w:type="auto"/>
          <w:jc w:val="center"/>
          <w:tblLayout w:type="fixed"/>
          <w:tblCellMar>
            <w:left w:w="108" w:type="dxa"/>
            <w:right w:w="108" w:type="dxa"/>
          </w:tblCellMar>
        </w:tblPrEx>
        <w:trPr>
          <w:tblHeader/>
          <w:jc w:val="center"/>
        </w:trPr>
        <w:tc>
          <w:tcPr>
            <w:tcW w:w="27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528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EPM episodes that start on or after July 1,</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 and end on or before December 31,</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EPM episodes that end between January 1,</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 and December 31, 2018, inclusive.</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EPM episodes that end between January 1,</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 and December 31, 2019, inclusive.</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EPM episodes that end between January 1,</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 and December 31, 2020, inclusive.</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EPM episodes that end between January 1,</w:t>
            </w:r>
          </w:p>
        </w:tc>
      </w:tr>
      <w:tr>
        <w:tblPrEx>
          <w:tblW w:w="0" w:type="auto"/>
          <w:jc w:val="center"/>
          <w:tblLayout w:type="fixed"/>
          <w:tblCellMar>
            <w:left w:w="108" w:type="dxa"/>
            <w:right w:w="108" w:type="dxa"/>
          </w:tblCellMar>
        </w:tblPrEx>
        <w:trPr>
          <w:jc w:val="center"/>
        </w:trPr>
        <w:tc>
          <w:tcPr>
            <w:tcW w:w="276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5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 and December 31, 2021, inclusive.</w:t>
            </w:r>
          </w:p>
        </w:tc>
      </w:tr>
    </w:tbl>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displayed in Table 9, some EPM episodes that would begin in a given calendar year may be captured in the following performance year due to some EPM episodes ending after December 31st of a given calendar year. For example, EPM episodes beginning in December 2017 and ending in March 2018 would be part of performance year 2. As we noted in our proposed rule, we believe that the proposed period of time for the EPMs, which generally aligns with the performance period for other Innovation Center models, for example, the CJR and Pioneer ACO models, should be sufficient to test and gather the data needed to evaluate the EPMs </w:t>
      </w:r>
      <w:hyperlink r:id="rId21" w:history="1">
        <w:r>
          <w:rPr>
            <w:rFonts w:ascii="arial" w:eastAsia="arial" w:hAnsi="arial" w:cs="arial"/>
            <w:b w:val="0"/>
            <w:i/>
            <w:strike w:val="0"/>
            <w:noProof w:val="0"/>
            <w:color w:val="0077CC"/>
            <w:position w:val="0"/>
            <w:sz w:val="20"/>
            <w:u w:val="single"/>
            <w:vertAlign w:val="baseline"/>
          </w:rPr>
          <w:t>(80 FR 73325).</w:t>
        </w:r>
      </w:hyperlink>
      <w:r>
        <w:rPr>
          <w:rFonts w:ascii="arial" w:eastAsia="arial" w:hAnsi="arial" w:cs="arial"/>
          <w:b w:val="0"/>
          <w:i w:val="0"/>
          <w:strike w:val="0"/>
          <w:noProof w:val="0"/>
          <w:color w:val="000000"/>
          <w:position w:val="0"/>
          <w:sz w:val="20"/>
          <w:u w:val="none"/>
          <w:vertAlign w:val="baseline"/>
        </w:rPr>
        <w:t xml:space="preserve"> In contrast, we were concerned whether an EPM with fewer than 5 performance years would be sufficient for these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considered extending the first PY, for example, to 18 months. As discussed further in section III.D.2.c. of the proposed rule, however, we instead proposed to delay the requirement for participants to begin accepting downside risk until the second quarter of PY2. As such, EPM participants would have a comparable transition period to that of CJR participants with respect to when they must accept downside risk while still allowing us to make timely reconciliation payments to EPM participants as well as to most effectively align EPM reconciliation </w:t>
      </w:r>
      <w:r>
        <w:rPr>
          <w:rFonts w:ascii="arial" w:eastAsia="arial" w:hAnsi="arial" w:cs="arial"/>
          <w:b/>
          <w:i w:val="0"/>
          <w:strike w:val="0"/>
          <w:noProof w:val="0"/>
          <w:color w:val="000000"/>
          <w:position w:val="0"/>
          <w:sz w:val="20"/>
          <w:u w:val="none"/>
          <w:vertAlign w:val="baseline"/>
        </w:rPr>
        <w:t> [*290] </w:t>
      </w:r>
      <w:r>
        <w:rPr>
          <w:rFonts w:ascii="arial" w:eastAsia="arial" w:hAnsi="arial" w:cs="arial"/>
          <w:b w:val="0"/>
          <w:i w:val="0"/>
          <w:strike w:val="0"/>
          <w:noProof w:val="0"/>
          <w:color w:val="000000"/>
          <w:position w:val="0"/>
          <w:sz w:val="20"/>
          <w:u w:val="none"/>
          <w:vertAlign w:val="baseline"/>
        </w:rPr>
        <w:t xml:space="preserve"> with the reconciliation processes for other models and programs with which the EPMs overlap (for example, the Shared Savings Program, Pioneer ACO model, Comprehensive Primary Care Initiative, and Oncology Care Model). As stated in our proposed rule, we believe that it is important to synchronize the timing of reconciliation for EPMs with other efforts that need this information when making their financial calculations. We sought comment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requested that CMS delay implementation of the models; typically, for at least 6 months to a year--or a year from the final rule's issuance--so that participants would have a sufficient time to prepare for the new models. Some commenters recommended delaying the models entirely until CMS had additional time to consider evaluation results for BPCI or the CJR model. Other commenters recommended a phased-in approach for implementing the models, for example, by (1) first implementing the SHFFT model no sooner than January 1, 2018 and then implementing the cardiac EPM models no sooner than 6 months later as well as additional time if the final rule is delayed beyond January 1, 2018 or (2) conversely delaying the SHFFT model, given that hospitals are in the early stages of building infrastructure for the CJR model and having to do so for the SHFFT model as well could be too great a burden. A commenter recommended that CMS delay the start date to January 1, 2018 as it would better align with private payers' regulatory and business models, which are also developing and rolling out bundled payment models. In their view, this synchronization would reduce burden by simplifying record keeping requirements, performance metric submission, and financial tracking by both CMS and private payers.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reasons cited for a delay, some commenters expressed concern with the rapid pace of implementing additional models--particularly, geographic-based models, which a number of commenters have said they oppose. For example, commenters expressed concerns that CMS was moving forward with new models in the absence of empirical results from the CJR model or promising results from BPCI. Specifically, results from the evaluation of year 2 results for BPCI showed no statistically significant difference in Medicare payments and an increase in mortality for the cardiovascular surgical episodes between the BPCI participants (which were voluntary), and comparison groups. Further, while there was a significant reduction in utilization of institutional post-acute care settings, there were instances where BPCI patients exhibited less functional improvement. As one commenter noted, CMS has not yet been able to ensure that the quality of care and beneficiary outcomes under the model are at least equivalent, if not better than, those in traditional fee-for-service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pointed to the pre-implementation efforts that would be needed for participants to be successful with episode payment bundles, which they believe would take more time than would be granted under the proposal. For example, hospitals need more time than proposed to better understand the models' requirements and clinical and financial risk of their patient populations; build the clinical, legal, financial and quality infrastructure; analyze and understand the clinical and cost factors that affect their performance; and identify changes to care pattern to be successful. Moreover, there is considerable variation in hospital preparedness and capabilities to implement these models without a delay as well as challenges in doing so while simultaneously fulfilling the requirements of multiple models including the CJR model, MACRA, and the end of the grace period for ICD-10.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noted that, given the broad-based clinical experience with continuity-of-care across episodes, appropriate workforce capacity and technology infrastructure, and significant investment by both the public and private sectors needed to be successful, the cardiac models could be particularly challenging. Further, these challenges could be especially acute for small hospitals that often have limited financial resources, have low case volume across which to spread financial experience, have high amounts of uncompensated care or are located in lower income geographic regions, do not yet have experience with episode-based payments, or lack existing networks with physicians and other providers. In addition to provider readiness, a commenter questioned whether CMS has the administrative and personal resources to manage the complexities of the newly proposed and expanded models in a way that would meet hospitals' needs to be successful under the models. Another commenter believed that, despite CMS proposing certain waivers under the models, insufficient protections existed with regard to regulatory and legal risk.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concerns commenters expressed on our proposed start date as well as their requests to delay the proposed models. Our general goals for the proposed models are to improve care quality for Medicare beneficiaries and efficiency in service delivery to better control growth in Medicare spending. Hence, we wish to move forward in implementing the proposed models as quickly as is reasonably possible. Many commenters expressed concerns about their readiness to participate in the models under our proposal; particularly, with the requirement to assume downside risk within 6 months of the models being implemented. We understand these concerns and share in hospitals' desire to be successful in improving care and increasing efficiencies under the models so that they earn reconciliation payments and Medicare and its beneficiaries realize improvements in care and efficiency. Thus, while we are not proposing to delay implementation of the models, as discussed in section III.D.2.c. of this final rule, we are modifying our proposal requiring participants to assume downside risk in the second quarter of PY2 so that they would have an additional 9 months of experience in the models without assuming downside risk. EPM participants would not be required to assume downside risk for episodes until PY3, but could voluntarily elect to do so in PY2. We believe that delaying the requirement for participants to assume downside risk under the models appropriately balances our interests in implementing the models in a timely way with the concerns and interests of participants with respect to their readiness to participate successfully in the models as well as accommodate to the proposed requirements in conjunction with other requirements under the Medicare program. As such, we do not believe it is also necessary to further delay or phase-in the models. Likewise, we do not believe it is necessary to delay our models so that they are better aligned with private payer models. We would further note that, beginning in PY2, our proposed models would already follow the period suggested for this alignment to occur.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not agree with commenters that the models should be delayed until additional BPCI or CJR model results are considered or in light of the BPCI year 2 results. The currently proposed models will test geographic-based bundled payments with a broader, more diverse, and different group of participants or episodes than is the case </w:t>
      </w:r>
      <w:r>
        <w:rPr>
          <w:rFonts w:ascii="arial" w:eastAsia="arial" w:hAnsi="arial" w:cs="arial"/>
          <w:b/>
          <w:i w:val="0"/>
          <w:strike w:val="0"/>
          <w:noProof w:val="0"/>
          <w:color w:val="000000"/>
          <w:position w:val="0"/>
          <w:sz w:val="20"/>
          <w:u w:val="none"/>
          <w:vertAlign w:val="baseline"/>
        </w:rPr>
        <w:t> [*291] </w:t>
      </w:r>
      <w:r>
        <w:rPr>
          <w:rFonts w:ascii="arial" w:eastAsia="arial" w:hAnsi="arial" w:cs="arial"/>
          <w:b w:val="0"/>
          <w:i w:val="0"/>
          <w:strike w:val="0"/>
          <w:noProof w:val="0"/>
          <w:color w:val="000000"/>
          <w:position w:val="0"/>
          <w:sz w:val="20"/>
          <w:u w:val="none"/>
          <w:vertAlign w:val="baseline"/>
        </w:rPr>
        <w:t xml:space="preserve"> with BPCI or the CJR model, which will expand our understanding of these models with a broader and more complex array of conditions and procedures. We also do not believe that the unique challenges that could be presented under the cardiac models is a reason to delay the models. Rather, among other things, we would expect these models to assist us in empirically identifying what challenges there may be as well as the steps needed to overcome them. We also share commenters' concerns that smaller hospitals be successful under the models. Accordingly, our proposed rule included additional protections to limit financial risk for certain hospitals, including rural hospitals and sole community hospitals, through more generous stop loss thresholds, which we finalized in section III.D.7.c.(1) of this final rule. Also, as discussed further in section III.D.7.c.(1) of this final rule, we are extending these protections to hospitals determined to have a low volume of episodes under an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the comment on whether CMS is prepared administratively and with respect to personnel resources to implement the models, and note that the proposed models would not be implemented in the absence of our readiness to do so. Finally, we have considered and made final a range of waivers of program rules and provisions for financial arrangements that we believe are necessary and sufficient to facilitate participation in the models through allowing additional flexibilities in care delivery and giving participants to the tools to align the financial incentives of other providers, suppliers, and ACOs with the goals of the EPMs (see sections III.I. and III.J.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establish five performance years beginning with EPM episodes that start on or after July 1, 2017 as displayed in Table 10.</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1200"/>
        <w:gridCol w:w="5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10--Final Performance Years for EPMs</w:t>
            </w:r>
          </w:p>
        </w:tc>
      </w:tr>
      <w:tr>
        <w:tblPrEx>
          <w:tblW w:w="0" w:type="auto"/>
          <w:jc w:val="center"/>
          <w:tblLayout w:type="fixed"/>
          <w:tblCellMar>
            <w:left w:w="108" w:type="dxa"/>
            <w:right w:w="108" w:type="dxa"/>
          </w:tblCellMar>
        </w:tblPrEx>
        <w:trPr>
          <w:tblHeader/>
          <w:jc w:val="center"/>
        </w:trPr>
        <w:tc>
          <w:tcPr>
            <w:tcW w:w="2760" w:type="dxa"/>
            <w:tcBorders>
              <w:bottom w:val="nil"/>
              <w:right w:val="nil"/>
            </w:tcBorders>
            <w:tcMar>
              <w:top w:w="20" w:type="dxa"/>
              <w:bottom w:w="20" w:type="dxa"/>
            </w:tcMar>
            <w:vAlign w:val="top"/>
          </w:tcPr>
          <w:p/>
        </w:tc>
        <w:tc>
          <w:tcPr>
            <w:tcW w:w="1200" w:type="dxa"/>
            <w:tcBorders>
              <w:bottom w:val="nil"/>
              <w:right w:val="nil"/>
            </w:tcBorders>
          </w:tcPr>
          <w:p/>
        </w:tc>
        <w:tc>
          <w:tcPr>
            <w:tcW w:w="5280" w:type="dxa"/>
          </w:tcPr>
          <w:p/>
        </w:tc>
      </w:tr>
      <w:tr>
        <w:tblPrEx>
          <w:tblW w:w="0" w:type="auto"/>
          <w:jc w:val="center"/>
          <w:tblLayout w:type="fixed"/>
          <w:tblCellMar>
            <w:left w:w="108" w:type="dxa"/>
            <w:right w:w="108" w:type="dxa"/>
          </w:tblCellMar>
        </w:tblPrEx>
        <w:trPr>
          <w:tblHeader/>
          <w:jc w:val="center"/>
        </w:trPr>
        <w:tc>
          <w:tcPr>
            <w:tcW w:w="27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 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5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EPM episodes included in performance year</w:t>
            </w:r>
          </w:p>
        </w:tc>
      </w:tr>
      <w:tr>
        <w:tblPrEx>
          <w:tblW w:w="0" w:type="auto"/>
          <w:jc w:val="center"/>
          <w:tblLayout w:type="fixed"/>
          <w:tblCellMar>
            <w:left w:w="108" w:type="dxa"/>
            <w:right w:w="108" w:type="dxa"/>
          </w:tblCellMar>
        </w:tblPrEx>
        <w:trPr>
          <w:tblHeader/>
          <w:jc w:val="center"/>
        </w:trPr>
        <w:tc>
          <w:tcPr>
            <w:tcW w:w="27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5280" w:type="dxa"/>
          </w:tc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EPM episodes that start on or after July 1,</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 and end on or before December 31,</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EPM episodes that end between January 1,</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 and December 31, 2018, inclusive.</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EPM episodes that end between January 1,</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 and December 31, 2019, inclusive.</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EPM episodes that end between January 1,</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 and December 31, 2020, inclusive.</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EPM episodes that end between January 1,</w:t>
            </w:r>
          </w:p>
        </w:tc>
      </w:tr>
      <w:tr>
        <w:tblPrEx>
          <w:tblW w:w="0" w:type="auto"/>
          <w:jc w:val="center"/>
          <w:tblLayout w:type="fixed"/>
          <w:tblCellMar>
            <w:left w:w="108" w:type="dxa"/>
            <w:right w:w="108" w:type="dxa"/>
          </w:tblCellMar>
        </w:tblPrEx>
        <w:trPr>
          <w:jc w:val="center"/>
        </w:trPr>
        <w:tc>
          <w:tcPr>
            <w:tcW w:w="276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5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 and December 31, 2021, inclusive.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Retrospective Payment Methodology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CJR model </w:t>
      </w:r>
      <w:hyperlink r:id="rId21" w:history="1">
        <w:r>
          <w:rPr>
            <w:rFonts w:ascii="arial" w:eastAsia="arial" w:hAnsi="arial" w:cs="arial"/>
            <w:b w:val="0"/>
            <w:i/>
            <w:strike w:val="0"/>
            <w:noProof w:val="0"/>
            <w:color w:val="0077CC"/>
            <w:position w:val="0"/>
            <w:sz w:val="20"/>
            <w:u w:val="single"/>
            <w:vertAlign w:val="baseline"/>
          </w:rPr>
          <w:t>(80 FR 73329),</w:t>
        </w:r>
      </w:hyperlink>
      <w:r>
        <w:rPr>
          <w:rFonts w:ascii="arial" w:eastAsia="arial" w:hAnsi="arial" w:cs="arial"/>
          <w:b w:val="0"/>
          <w:i w:val="0"/>
          <w:strike w:val="0"/>
          <w:noProof w:val="0"/>
          <w:color w:val="000000"/>
          <w:position w:val="0"/>
          <w:sz w:val="20"/>
          <w:u w:val="none"/>
          <w:vertAlign w:val="baseline"/>
        </w:rPr>
        <w:t xml:space="preserve"> we proposed to apply a retrospective payment methodology to the proposed EPMs </w:t>
      </w:r>
      <w:hyperlink r:id="rId9" w:history="1">
        <w:r>
          <w:rPr>
            <w:rFonts w:ascii="arial" w:eastAsia="arial" w:hAnsi="arial" w:cs="arial"/>
            <w:b w:val="0"/>
            <w:i/>
            <w:strike w:val="0"/>
            <w:noProof w:val="0"/>
            <w:color w:val="0077CC"/>
            <w:position w:val="0"/>
            <w:sz w:val="20"/>
            <w:u w:val="single"/>
            <w:vertAlign w:val="baseline"/>
          </w:rPr>
          <w:t>(81 FR 50844).</w:t>
        </w:r>
      </w:hyperlink>
      <w:r>
        <w:rPr>
          <w:rFonts w:ascii="arial" w:eastAsia="arial" w:hAnsi="arial" w:cs="arial"/>
          <w:b w:val="0"/>
          <w:i w:val="0"/>
          <w:strike w:val="0"/>
          <w:noProof w:val="0"/>
          <w:color w:val="000000"/>
          <w:position w:val="0"/>
          <w:sz w:val="20"/>
          <w:u w:val="none"/>
          <w:vertAlign w:val="baseline"/>
        </w:rPr>
        <w:t xml:space="preserve"> Under this proposal, all providers and suppliers caring for Medicare beneficiaries in EPM episodes would continue to bill and be paid as usual under the applicable Medicare payment systems. After the completion of an EPM performance year, Medicare claims for services furnished to EPM beneficiaries would be grouped into EPM episodes and aggregated, and EPM participants' actual EPM episode-payments would be compared to quality-adjusted target prices (which account for the level of EPM episode quality), as described in section III.D.5.a. of the proposed rule </w:t>
      </w:r>
      <w:hyperlink r:id="rId9" w:history="1">
        <w:r>
          <w:rPr>
            <w:rFonts w:ascii="arial" w:eastAsia="arial" w:hAnsi="arial" w:cs="arial"/>
            <w:b w:val="0"/>
            <w:i/>
            <w:strike w:val="0"/>
            <w:noProof w:val="0"/>
            <w:color w:val="0077CC"/>
            <w:position w:val="0"/>
            <w:sz w:val="20"/>
            <w:u w:val="single"/>
            <w:vertAlign w:val="baseline"/>
          </w:rPr>
          <w:t>(81 FR 50864</w:t>
        </w:r>
      </w:hyperlink>
      <w:r>
        <w:rPr>
          <w:rFonts w:ascii="arial" w:eastAsia="arial" w:hAnsi="arial" w:cs="arial"/>
          <w:b w:val="0"/>
          <w:i w:val="0"/>
          <w:strike w:val="0"/>
          <w:noProof w:val="0"/>
          <w:color w:val="000000"/>
          <w:position w:val="0"/>
          <w:sz w:val="20"/>
          <w:u w:val="none"/>
          <w:vertAlign w:val="baseline"/>
        </w:rPr>
        <w:t xml:space="preserve"> through 50865). Based on an EPM participant's performance (taking into account quality and spending), we would determine if Medicare would make a payment to the participant (reconciliation payment), or if the participant owes money to Medicare (resulting in Medicare repayment).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considered an alternative option of paying for EPM episodes prospectively by paying one lump sum amount to the EPM participant for the expected spending for the EPM episode which extends 90 days post-hospital-discharge. However, as was the case when we established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CJR model </w:t>
      </w:r>
      <w:hyperlink r:id="rId21" w:history="1">
        <w:r>
          <w:rPr>
            <w:rFonts w:ascii="arial" w:eastAsia="arial" w:hAnsi="arial" w:cs="arial"/>
            <w:b w:val="0"/>
            <w:i/>
            <w:strike w:val="0"/>
            <w:noProof w:val="0"/>
            <w:color w:val="0077CC"/>
            <w:position w:val="0"/>
            <w:sz w:val="20"/>
            <w:u w:val="single"/>
            <w:vertAlign w:val="baseline"/>
          </w:rPr>
          <w:t>(80 FR 73329),</w:t>
        </w:r>
      </w:hyperlink>
      <w:r>
        <w:rPr>
          <w:rFonts w:ascii="arial" w:eastAsia="arial" w:hAnsi="arial" w:cs="arial"/>
          <w:b w:val="0"/>
          <w:i w:val="0"/>
          <w:strike w:val="0"/>
          <w:noProof w:val="0"/>
          <w:color w:val="000000"/>
          <w:position w:val="0"/>
          <w:sz w:val="20"/>
          <w:u w:val="none"/>
          <w:vertAlign w:val="baseline"/>
        </w:rPr>
        <w:t xml:space="preserve"> we believed that such an option would be challenging to implement at this time given the payment infrastructure changes for both EPM participants and Medicare that would need to be developed to pay and manage prospective episode payments under these EPMs. Moreover, we continued to believe that a retrospective payment approach can accomplish the objective of testing episode payments in a broad group of hospitals, including financial incentives to streamline care delivery around that episode, without requiring core billing and payment changes by providers and suppliers, which would create substantial administrative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this proposal. 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Most of the comments supported CMS' proposal to use a retrospective payment methodology. Commenters agreed with CMS' view that this would be the most administratively feasible and straightforward payment option since it uses the existing payment system infrastructure and processes. Some of these commenters reported that alternatively applying a prospective payment methodology, which would make one lump sum payment to the hospital for the episode, would be challenging to implement given the administrative and infrastructure changes it would entail for hospitals, other participating providers and Medicare. One commenter expressed concern that our proposed models would, in fact, require all payments be made to the responsible hospital so that other providers would have to submit bills for services they provided under an EPM episode to that hospital, which the commenter believed could result in both decreased access to care and increased administrative complexity.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we received that were in support of our proposed retrospective payment methodology, and concur with commenters' views on some of the benefits of this model. We would clarify that, as stated previously in this section, all providers and suppliers caring for Medicare beneficiaries in EPM episodes would continue to bill and be paid as usual under the applicable Medicare payment systems. As such, providers would submit claims for payment as they always have and would not submit claims to the responsible hospital.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While not opposing the proposal, a commenter expressed the view that a retrospective model should be viewed as a stepping stone toward rather than the destination to requiring greater levels of financial risk. In their view, disadvantages of a retrospective model include their potential to reduce spending within an episode of care but not the volume of the episodes themselves, which could encourage a greater number of bundled procedures; </w:t>
      </w:r>
      <w:r>
        <w:rPr>
          <w:rFonts w:ascii="arial" w:eastAsia="arial" w:hAnsi="arial" w:cs="arial"/>
          <w:b/>
          <w:i w:val="0"/>
          <w:strike w:val="0"/>
          <w:noProof w:val="0"/>
          <w:color w:val="000000"/>
          <w:position w:val="0"/>
          <w:sz w:val="20"/>
          <w:u w:val="none"/>
          <w:vertAlign w:val="baseline"/>
        </w:rPr>
        <w:t> [*292] </w:t>
      </w:r>
      <w:r>
        <w:rPr>
          <w:rFonts w:ascii="arial" w:eastAsia="arial" w:hAnsi="arial" w:cs="arial"/>
          <w:b w:val="0"/>
          <w:i w:val="0"/>
          <w:strike w:val="0"/>
          <w:noProof w:val="0"/>
          <w:color w:val="000000"/>
          <w:position w:val="0"/>
          <w:sz w:val="20"/>
          <w:u w:val="none"/>
          <w:vertAlign w:val="baseline"/>
        </w:rPr>
        <w:t xml:space="preserve"> fragmentation of care delivery due to the existence of multiple bundled payment programs designed around different disease states or procedures; and the potential that the considerable cost and effort expended to organize people and systems around each bundled episode could cause the total cost of these programs combined to be higher than the cost associated with operating a single program covering the full population and the full spectrum of care. As such, the commenter supported the proposed bundled payments for a limited time and for the purpose of stimulating efforts to full population based efforts.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understand the commenter's view that bundled payments could be a stepping stone toward other models that establish greater risk for providers and recognize the various limitations of a fee-for-service system with respect to higher volume of services and less coordinated delivery of care. In contrast to the commenter, however, we believe in and hence are empirically testing within our proposed models the potential to improve upon these dimensions as well as assist in lowering the cost of services within a fee-for-service rather than capitated framework.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opposed the proposed retrospective methodology. For example, a commenter reported their view that the proposed retrospective payment model would limit the possibility for real, innovative care redesign because it (1) offered no upfront incentive dollars to invest in new care delivery models and services that could deliver true value and (2) confined innovation care redesign by what the FFS structure will reimburse. That is, while participants would be held financially accountable for ensuring that care is delivered below the quality-adjusted target price, they could do little to affect the costs for the episode within their own setting as they continue to receive a MS-DRG payment for the diagnosis regardless of whether the patient stays a longer or shorter period of time, additional services are offered, or care coordination is provided. Thus, if a participant seeks to reduce costs, it is limited to reducing readmissions, improving care transitions, or reducing post-acute care costs--either by reducing the length of stay within a SNF (as it is paid on a per diem) or through substitutions of care (for example, directly discharging the patient home with or without services). In this commenter's view, significant care redesign would be better facilitated through providing a group of provider partners with a prospective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a commenter suggested that participants are impeded in their ability to plan for the delivery of services if they do not know how much money will be available to support those services. As such, participants should have a risk-adjusted budget for the condition or episode in advance rather than after care has already been delivered. Further, payment amounts should be based on the actual costs of all of the services being delivered, not just the amounts that would have been paid under the fee-for-service system for the subset of services that would have been separately billable. As such, the commenter recommended that participants and their collaborators be paid for high-value services that are not currently billable as part of condition-based and episode-based payment models if providers have agreed to be accountable for overall spending related to a condition or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recommended that CMS determine payment benchmarks through negotiated rates or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bids (rather than fee-for-service claims) as it would foster more rapid transformation in cost and resource use as well as encourage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providers to achieve the best outcomes for the lowest cost. In their view, a prospective negotiated rate would offer providers more opportunity to innovate in how they deploy professional staff, choose technology, and engage with outpatient and home-based services. Also, a prospectively negotiated case rate would foster collaboration among all clinicians involved in patient care and provide predictable pricing.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concerns and challenges raised by these commenters, but are not persuaded to change our methodology. Rather, we believe that participants are capable of innovative care redesign in the absence of upfront incentives dollars and within the constraints of fee-for-service Medicare payment requirements. While our proposal did not provide participants with an up-front budget or a capitated payment amount, we would be providing them detailed information on their benchmark and likely quality-adjusted target prices as well as their financial performance both historically and during their participation in the models (see section III.K. of this final rule). We believe this information should be sufficient to enable participants' abilities to assess their performance as well as determine and plan changes in their practices to make them successful. Also, where appropriate, we have offered participants improved flexibilities under the models by waiving certain Medicare requirements and allowing for financial arrangements, which should facilitate their participation under the models (see sections III.I. and III.J. of this final rule). To the extent, we identify additional adjustments, we could consider them through future rulemaking. Finally, while we wish to explore and test a range of payment models, which could include capitated or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bidding models, the purpose of the proposed models is to examine ways in which to improve health care quality and reduce costs in a fee-for-service framework.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implement a retrospective payment methodology. Also, we would like to clarify that when referring to Medicare claims data for services furnished to EPM beneficiaries, as we have stated immediately here and throughout this section, we mean any payment from the Part A or Part B trust fund on behalf of a beneficiary that is not specifically excluded as specified in section III.C. or III.D.6 of this final rule. Consistent with this, we have made conforming changes to our regulatory text--specifically, to our definition of actual episode payments as well as to § 512.305(c)(1) and § 512.307(a)(1).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Two-Sided Risk EPMs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did for the CJR model </w:t>
      </w:r>
      <w:r>
        <w:rPr>
          <w:rFonts w:ascii="arial" w:eastAsia="arial" w:hAnsi="arial" w:cs="arial"/>
          <w:b w:val="0"/>
          <w:i/>
          <w:strike w:val="0"/>
          <w:noProof w:val="0"/>
          <w:color w:val="000000"/>
          <w:position w:val="0"/>
          <w:sz w:val="20"/>
          <w:u w:val="none"/>
          <w:vertAlign w:val="baseline"/>
        </w:rPr>
        <w:t>(80 FR 73229</w:t>
      </w:r>
      <w:r>
        <w:rPr>
          <w:rFonts w:ascii="arial" w:eastAsia="arial" w:hAnsi="arial" w:cs="arial"/>
          <w:b w:val="0"/>
          <w:i w:val="0"/>
          <w:strike w:val="0"/>
          <w:noProof w:val="0"/>
          <w:color w:val="000000"/>
          <w:position w:val="0"/>
          <w:sz w:val="20"/>
          <w:u w:val="none"/>
          <w:vertAlign w:val="baseline"/>
        </w:rPr>
        <w:t xml:space="preserve"> through 7333), we proposed to establish two-sided risk for EPM participants </w:t>
      </w:r>
      <w:hyperlink r:id="rId9" w:history="1">
        <w:r>
          <w:rPr>
            <w:rFonts w:ascii="arial" w:eastAsia="arial" w:hAnsi="arial" w:cs="arial"/>
            <w:b w:val="0"/>
            <w:i/>
            <w:strike w:val="0"/>
            <w:noProof w:val="0"/>
            <w:color w:val="0077CC"/>
            <w:position w:val="0"/>
            <w:sz w:val="20"/>
            <w:u w:val="single"/>
            <w:vertAlign w:val="baseline"/>
          </w:rPr>
          <w:t>(81 FR 50844).</w:t>
        </w:r>
      </w:hyperlink>
      <w:r>
        <w:rPr>
          <w:rFonts w:ascii="arial" w:eastAsia="arial" w:hAnsi="arial" w:cs="arial"/>
          <w:b w:val="0"/>
          <w:i w:val="0"/>
          <w:strike w:val="0"/>
          <w:noProof w:val="0"/>
          <w:color w:val="000000"/>
          <w:position w:val="0"/>
          <w:sz w:val="20"/>
          <w:u w:val="none"/>
          <w:vertAlign w:val="baseline"/>
        </w:rPr>
        <w:t xml:space="preserve"> Under this proposal, for each of performance years 1 through 5, we would make EPM-episode reconciliation payments to EPM participants that achieve reduced actual EPM payments relative to their quality-adjusted target prices. Likewise, beginning with episodes ending in the second quarter of performance year 2 and extending through each of performance years 3 through 5, we would hold EPM participants responsible for repaying Medicare when their actual EPM-episode payments exceed their quality-adjusted target prices. As such, our proposal differed from CJR in that we proposed a modestly shorter period in which EPM participants would accept downside risk in order to allow them a comparable transition period to that of CJR participants in which to do so. Accordingly, we referred to the two portions of performance year 2 as either having no downside risk (NDR) or having downside risk (DR); specifically--</w:t>
      </w:r>
    </w:p>
    <w:p>
      <w:pPr>
        <w:keepNext w:val="0"/>
        <w:numPr>
          <w:numId w:val="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Performance Year 2 (NDR) or PY 2 (NDR) for the first quarter, that is </w:t>
      </w:r>
      <w:r>
        <w:rPr>
          <w:rFonts w:ascii="arial" w:eastAsia="arial" w:hAnsi="arial" w:cs="arial"/>
          <w:b/>
          <w:i w:val="0"/>
          <w:strike w:val="0"/>
          <w:noProof w:val="0"/>
          <w:color w:val="000000"/>
          <w:position w:val="0"/>
          <w:sz w:val="20"/>
          <w:u w:val="none"/>
          <w:vertAlign w:val="baseline"/>
        </w:rPr>
        <w:t> [*293] </w:t>
      </w:r>
      <w:r>
        <w:rPr>
          <w:rFonts w:ascii="arial" w:eastAsia="arial" w:hAnsi="arial" w:cs="arial"/>
          <w:b w:val="0"/>
          <w:i w:val="0"/>
          <w:strike w:val="0"/>
          <w:noProof w:val="0"/>
          <w:color w:val="000000"/>
          <w:position w:val="0"/>
          <w:sz w:val="20"/>
          <w:u w:val="none"/>
          <w:vertAlign w:val="baseline"/>
        </w:rPr>
        <w:t xml:space="preserve"> January 1, 2018 to March 31, 2018, in which EPM participants assume no downside risk and therefore would have no Medicare repayment responsibility; and</w:t>
      </w:r>
    </w:p>
    <w:p>
      <w:pPr>
        <w:keepNext w:val="0"/>
        <w:numPr>
          <w:numId w:val="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Performance Year 2 (DR) or PY 2 (DR) for the second, third and fourth quarters, that is April 1, 2018 to December 31, 2018, in which EPM participants assume downside risk and would have Medicare repayment responsibility.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proposed rule noted our continued belief that our proposal to establish two-sided risk would provide appropriate incentives for EPM participants to improve their care quality and efficiency under the EPMs, and that we would diminish these incentives if we instead proposed to establish one-sided risk, in which an EPM participant could qualify for a reconciliation payment but not be held responsible for Medicare repayments. In recognition that EPM participants may need to make infrastructure, care coordination and delivery, and financial preparations for the EPMs, which can take several months or longer to implement, we thought that it was reasonable to delay EPM participant responsibility for repaying excess EPM-episode spending in performance year 1 to more strongly align EPM-participant incentives with care quality. Thus, similar to what we did for the CJR model, we proposed to phase-in this repayment responsibility beginning in the second quarter of EPM performance year 2 as displayed in Table 11 </w:t>
      </w:r>
      <w:hyperlink r:id="rId9" w:history="1">
        <w:r>
          <w:rPr>
            <w:rFonts w:ascii="arial" w:eastAsia="arial" w:hAnsi="arial" w:cs="arial"/>
            <w:b w:val="0"/>
            <w:i/>
            <w:strike w:val="0"/>
            <w:noProof w:val="0"/>
            <w:color w:val="0077CC"/>
            <w:position w:val="0"/>
            <w:sz w:val="20"/>
            <w:u w:val="single"/>
            <w:vertAlign w:val="baseline"/>
          </w:rPr>
          <w:t>(81 FR 50844</w:t>
        </w:r>
      </w:hyperlink>
      <w:r>
        <w:rPr>
          <w:rFonts w:ascii="arial" w:eastAsia="arial" w:hAnsi="arial" w:cs="arial"/>
          <w:b w:val="0"/>
          <w:i w:val="0"/>
          <w:strike w:val="0"/>
          <w:noProof w:val="0"/>
          <w:color w:val="000000"/>
          <w:position w:val="0"/>
          <w:sz w:val="20"/>
          <w:u w:val="none"/>
          <w:vertAlign w:val="baseline"/>
        </w:rPr>
        <w:t xml:space="preserve"> through 50845).</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11--Proposed Stop-Loss Thresholds and Discount Percentage Ranges for</w:t>
            </w:r>
          </w:p>
        </w:tc>
      </w:tr>
      <w:tr>
        <w:tblPrEx>
          <w:tblW w:w="0" w:type="auto"/>
          <w:jc w:val="center"/>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Medicare Repayments by PY</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 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PY1</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PY2</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PY2</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PY3</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PY4</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PY5</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(NDR)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Stop-loss</w:t>
            </w:r>
          </w:p>
        </w:tc>
        <w:tc>
          <w:tcPr>
            <w:tcW w:w="24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n/a as no downside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risk in PY1 or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first quarter of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PY2</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1.5-3.0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1.5-3.0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percentage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(range) for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Repayment,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Depending on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Quality Category</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Stop-loss thresholds for certain hospitals, including rural and sole-community hospitals are 3% for PY2 (DR) and 5% for PY3-PY5.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refer to section III.E.3.f. of this final rule for additional information on the effective discount factors used to calculate quality-adjusted target prices, as well as the quality categories that determine an EPM participant's effective discount factor that would be applied to the EPM benchmark episode price at reconciliation to calculate the repayment amount during the phase-in period under the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this proposal. 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number of commenters supported CMS' proposal to phase-in downside risk noting that doing so would allow providers with little or limited experience and who were not ready to take on risk additional time to prepare to do so. However, nearly all of the commenters on this proposal urged CMS to extend the period of time during which participants would not be subject to downside risk as 6 months would not be an adequate timeframe in which to begin managing episodes that will be subject to downside risk. A number of commenters noted that because of the way that episodes are defined during a performance year, participants would actually have only 6 months before episodes that will incur downside risk begin. This is because the models would begin on July 1, 2017 and downside risk would begin for episodes </w:t>
      </w:r>
      <w:r>
        <w:rPr>
          <w:rFonts w:ascii="arial" w:eastAsia="arial" w:hAnsi="arial" w:cs="arial"/>
          <w:b w:val="0"/>
          <w:i/>
          <w:strike w:val="0"/>
          <w:noProof w:val="0"/>
          <w:color w:val="000000"/>
          <w:position w:val="0"/>
          <w:sz w:val="20"/>
          <w:u w:val="none"/>
          <w:vertAlign w:val="baseline"/>
        </w:rPr>
        <w:t>ending</w:t>
      </w:r>
      <w:r>
        <w:rPr>
          <w:rFonts w:ascii="arial" w:eastAsia="arial" w:hAnsi="arial" w:cs="arial"/>
          <w:b w:val="0"/>
          <w:i w:val="0"/>
          <w:strike w:val="0"/>
          <w:noProof w:val="0"/>
          <w:color w:val="000000"/>
          <w:position w:val="0"/>
          <w:sz w:val="20"/>
          <w:u w:val="none"/>
          <w:vertAlign w:val="baseline"/>
        </w:rPr>
        <w:t xml:space="preserve"> April 1, 2018 and later. However, episodes that end April 1, 2018 would have begun over 90 days earlier, or prior to January 1, 2018. Therefore, participants would actually only have from July 1, 2017 until about January 1, 2018 before episodes that will incur downside begin.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commenters requested a 12-month period during which participants would not be required to assume downside risk with some commenters requesting longer periods, for example, up to 2 years. In some cases, commenters requested that CMS delay the requirement to assume downside risk, but to allow participants flexibility to assume risk earlier if they wished to do so. A commenter requested that CMS stagger downside risk across the models, for example, allow a longer period without downside risk for AMI episodes than for CABG episodes as the commenter believed there was greater complexity and uncertainty associated with the former than the latter. Additionally, several commenters opposed the proposal to require downside risk altogether or asking that CMS make this requirement contingent upon also further risk-adjusting target prices and financial performance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reasons offered for delaying downside risk often paralleled those for delaying the models in general--that is, additional time is needed to develop infrastructure and expertise with the models. Some commenters raised concerns about the effects of the proposal on beneficiary access; particularly, for smaller hospitals and academic medical centers. As such, a commenter expressed support for CMS' plans to monitor access and recommended that CMS publish data and consider alternatives if this is found among complicated AMI or CABG cases.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suggested that CMS completely waive downside risk for certain protected hospitals such as SCHs, MDHs, RRCs, and low-volume hospitals. Another commenter stated that participants should not have to take on additional risk given they are already facing payment reductions through other efforts such as those for the HRRP. If participants must face downside risk through the proposed models, the commenter requested that CMS exclude conditions under the model from the HRRP. Some commenters pointed to delays in receiving performance data from CMS as well as time need to review these data needed to assist them in assessing and adjusting care patterns. Commenters also noted that because not all participants have had experience with bundled payment models, they are likely not ready to assume downside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comments requesting that CMS delay downside risk, commenters also requested that EPM participants be permitted to voluntarily adopt downside risk sooner, for example, to fulfill one of the requirements to qualify as participating in an Advanced APM.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comments supporting our proposal to phase-in downside risk. We are also persuaded by commenters that delaying the date by which participants would be required to </w:t>
      </w:r>
      <w:r>
        <w:rPr>
          <w:rFonts w:ascii="arial" w:eastAsia="arial" w:hAnsi="arial" w:cs="arial"/>
          <w:b/>
          <w:i w:val="0"/>
          <w:strike w:val="0"/>
          <w:noProof w:val="0"/>
          <w:color w:val="000000"/>
          <w:position w:val="0"/>
          <w:sz w:val="20"/>
          <w:u w:val="none"/>
          <w:vertAlign w:val="baseline"/>
        </w:rPr>
        <w:t> [*294] </w:t>
      </w:r>
      <w:r>
        <w:rPr>
          <w:rFonts w:ascii="arial" w:eastAsia="arial" w:hAnsi="arial" w:cs="arial"/>
          <w:b w:val="0"/>
          <w:i w:val="0"/>
          <w:strike w:val="0"/>
          <w:noProof w:val="0"/>
          <w:color w:val="000000"/>
          <w:position w:val="0"/>
          <w:sz w:val="20"/>
          <w:u w:val="none"/>
          <w:vertAlign w:val="baseline"/>
        </w:rPr>
        <w:t xml:space="preserve"> assume downside risk would improve participants' ability to successfully achieve the goals of the models. Accordingly, we are revising our proposal so that participants in the proposed models would not be required to assume downside risk until PY3--that is, episodes ending on or after January 1, 2019, with anchor discharges that occur on or after October 4, 2018. We believe that this delay period appropriately balances participants' desire for additional experience under the models in the absence of downside risk with our desire to establish appropriate incentives for improved care quality and cost control. Given we believe this delay period is sufficient for all models, we do not believe it necessary to stagger downside risk separately by model. We also disagree with comments opposing our proposal to require downside risk or asking that CMS make this requirement contingent upon our also further risk-adjusting target prices and financial performance data. First, we believe downside risk is necessary for purposes of establishing appropriate provider incentives. Second, as discussed in section III.D.4.b.(2). of this final rule, we plan to explore additional risk-adjustment options that could be implemented beginning in PY3 and would thus apply to episodes that would be subject to downside risk for all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are delaying the requirement to assume downside risk under the models, we have decided to allow EPM participants, including those seeking to qualify as participating in an Advanced APM, to voluntarily begin to assume downside risk for episodes ending on or after January 1, 2018, with anchor discharges that occur on or after October 4, 2017. Table 12 presents our final policies for phasing-in downside risk for all participants, along with associated stop-loss limits and discount percentages, for participants that voluntarily assume risk on this accelerated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the concerns raised on the potential effects of our proposal on beneficiary access to care, and would note that we have made final a range of quality measures (see section III.E. of this final rule), monitoring activities (see section III.G. of this final rule), and compliance efforts (see section III.F. of this final rule) that would address beneficiary access issues. We disagree with the suggestions to waive downside risk for certain protected hospitals such as SCHs, MDHs, RRCs, and low-volume hospitals or given that hospitals are already facing payment reductions through other efforts. We believe that the additional protections we included, which limit total financial risk under the models for these protected hospitals, are sufficient (see section III.D.7.c.(2). of this final rule). We also recognize that while a participant could experience payment reductions under both the proposed models and the HRRP, we disagree that they should be held harmless from either of these potential reductions. The payment reductions participants would potentially face under the proposed models are not dissimilar to the potential reductions hospitals already simultaneously face for programs such as the HRRP, HAC, and EHR incentives without exemption.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 modification, to phase-in downside risk. Accordingly, we are delaying the requirement to assume downside risk by 9 months so that episodes ending on or after January 1, 2019 would assume downside risk as compared to our proposal that would have required this for episodes that ended on or after April 1, 2018 and beyond. Also, we are allowing participants to voluntarily elect downside risk for episodes ending on or after January 1, 2018. Table 12 presents our final policies on this in conjunction with modified stop-loss thresholds and discount percentages by performance year. These final policies are further discussed in sections III.D.7.b.(1), III.D.7.c.(1) and III.E.3.f of this final rule, respectively.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12--Final Stop-Loss Thresholds and Discount Percentage Ranges for</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Medicare Repayments by PY</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PY1</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PY2</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PY3</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PY4</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PY5</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Downside Risk for All Participants--DR effective for episodes ending on or</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(anchor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after 1/1/2019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occurring on</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after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10/4/2018)</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Stop-loss</w:t>
            </w:r>
          </w:p>
        </w:tc>
        <w:tc>
          <w:tcPr>
            <w:tcW w:w="312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n/a as no downside risk</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threshold</w:t>
            </w:r>
          </w:p>
        </w:tc>
        <w:tc>
          <w:tcPr>
            <w:tcW w:w="312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 PY1 and PY2 without</w:t>
            </w: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election of voluntary</w:t>
            </w: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downside risk for PY2</w:t>
            </w: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Stop-loss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threshold</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certain</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hospitals *</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0.5-2.0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0.5-2.0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1.5-3.0</w:t>
            </w: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percentage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(range) for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Repayment,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Depending on</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Quality</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Category</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Voluntary Downside Risk--DR effective for episodes ending on or after</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(anchor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1/1/2018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occurring on</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after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10/4/2017)</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Stop-loss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 as no</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threshold</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downside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risk in PY1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Stop-loss</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threshold</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certain</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hospitals *</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0.5-2.0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0.5-2.0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0.5-2.0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percentage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(range) for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Repayment,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Depending on</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Quality</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Category</w:t>
            </w: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Including rural and sole-community hospitals, rural referral centers, Medicare Dependent Hospitals and hospitals determined to be EPM volume protection hospitals within an EPM. </w:t>
      </w:r>
      <w:r>
        <w:rPr>
          <w:rFonts w:ascii="arial" w:eastAsia="arial" w:hAnsi="arial" w:cs="arial"/>
          <w:b/>
          <w:i w:val="0"/>
          <w:strike w:val="0"/>
          <w:noProof w:val="0"/>
          <w:color w:val="000000"/>
          <w:position w:val="0"/>
          <w:sz w:val="20"/>
          <w:u w:val="none"/>
          <w:vertAlign w:val="baseline"/>
        </w:rPr>
        <w:t> [*295]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Adjustments to Actual EPM-Episode Payments and to Historical Episode Payments Used To Set Episode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Using Medicare payments for Parts A and B claims for services included in the EPM episode definitions, we proposed to calculate historical episode payments (3 years of historical Medicare payment data grouped into EPM episodes), EPM-quality-adjusted target prices, and actual EPM-episode payments according to the EPM episode definitions as discussed in sections III.C.3. and III.C.4. of the proposed rule </w:t>
      </w:r>
      <w:hyperlink r:id="rId9" w:history="1">
        <w:r>
          <w:rPr>
            <w:rFonts w:ascii="arial" w:eastAsia="arial" w:hAnsi="arial" w:cs="arial"/>
            <w:b w:val="0"/>
            <w:i/>
            <w:strike w:val="0"/>
            <w:noProof w:val="0"/>
            <w:color w:val="0077CC"/>
            <w:position w:val="0"/>
            <w:sz w:val="20"/>
            <w:u w:val="single"/>
            <w:vertAlign w:val="baseline"/>
          </w:rPr>
          <w:t>(81 FR 50829</w:t>
        </w:r>
      </w:hyperlink>
      <w:r>
        <w:rPr>
          <w:rFonts w:ascii="arial" w:eastAsia="arial" w:hAnsi="arial" w:cs="arial"/>
          <w:b w:val="0"/>
          <w:i w:val="0"/>
          <w:strike w:val="0"/>
          <w:noProof w:val="0"/>
          <w:color w:val="000000"/>
          <w:position w:val="0"/>
          <w:sz w:val="20"/>
          <w:u w:val="none"/>
          <w:vertAlign w:val="baseline"/>
        </w:rPr>
        <w:t xml:space="preserve"> through 50843) as we did for the CJR model. As was the case for the CJR model </w:t>
      </w:r>
      <w:hyperlink r:id="rId21" w:history="1">
        <w:r>
          <w:rPr>
            <w:rFonts w:ascii="arial" w:eastAsia="arial" w:hAnsi="arial" w:cs="arial"/>
            <w:b w:val="0"/>
            <w:i/>
            <w:strike w:val="0"/>
            <w:noProof w:val="0"/>
            <w:color w:val="0077CC"/>
            <w:position w:val="0"/>
            <w:sz w:val="20"/>
            <w:u w:val="single"/>
            <w:vertAlign w:val="baseline"/>
          </w:rPr>
          <w:t>(80 FR 73330</w:t>
        </w:r>
      </w:hyperlink>
      <w:r>
        <w:rPr>
          <w:rFonts w:ascii="arial" w:eastAsia="arial" w:hAnsi="arial" w:cs="arial"/>
          <w:b w:val="0"/>
          <w:i w:val="0"/>
          <w:strike w:val="0"/>
          <w:noProof w:val="0"/>
          <w:color w:val="000000"/>
          <w:position w:val="0"/>
          <w:sz w:val="20"/>
          <w:u w:val="none"/>
          <w:vertAlign w:val="baseline"/>
        </w:rPr>
        <w:t xml:space="preserve"> through 73336), we also proposed to include certain payment adjustments in the EPMs for: (1) Special payment provisions under existing Medicare payment systems; (2) payments for services that straddle episodes; and (3) high payment episodes </w:t>
      </w:r>
      <w:hyperlink r:id="rId9" w:history="1">
        <w:r>
          <w:rPr>
            <w:rFonts w:ascii="arial" w:eastAsia="arial" w:hAnsi="arial" w:cs="arial"/>
            <w:b w:val="0"/>
            <w:i/>
            <w:strike w:val="0"/>
            <w:noProof w:val="0"/>
            <w:color w:val="0077CC"/>
            <w:position w:val="0"/>
            <w:sz w:val="20"/>
            <w:u w:val="single"/>
            <w:vertAlign w:val="baseline"/>
          </w:rPr>
          <w:t>(81 FR 50846).</w:t>
        </w:r>
      </w:hyperlink>
      <w:r>
        <w:rPr>
          <w:rFonts w:ascii="arial" w:eastAsia="arial" w:hAnsi="arial" w:cs="arial"/>
          <w:b w:val="0"/>
          <w:i w:val="0"/>
          <w:strike w:val="0"/>
          <w:noProof w:val="0"/>
          <w:color w:val="000000"/>
          <w:position w:val="0"/>
          <w:sz w:val="20"/>
          <w:u w:val="none"/>
          <w:vertAlign w:val="baseline"/>
        </w:rPr>
        <w:t xml:space="preserve"> We also proposed to additionally include an adjustment for reconciliation payments and Medicare repayments when updating EPM participant episode benchmark and quality-adjusted target prices </w:t>
      </w:r>
      <w:hyperlink r:id="rId9" w:history="1">
        <w:r>
          <w:rPr>
            <w:rFonts w:ascii="arial" w:eastAsia="arial" w:hAnsi="arial" w:cs="arial"/>
            <w:b w:val="0"/>
            <w:i/>
            <w:strike w:val="0"/>
            <w:noProof w:val="0"/>
            <w:color w:val="0077CC"/>
            <w:position w:val="0"/>
            <w:sz w:val="20"/>
            <w:u w:val="single"/>
            <w:vertAlign w:val="baseline"/>
          </w:rPr>
          <w:t>(81 FR 50847).</w:t>
        </w:r>
      </w:hyperlink>
      <w:r>
        <w:rPr>
          <w:rFonts w:ascii="arial" w:eastAsia="arial" w:hAnsi="arial" w:cs="arial"/>
          <w:b w:val="0"/>
          <w:i w:val="0"/>
          <w:strike w:val="0"/>
          <w:noProof w:val="0"/>
          <w:color w:val="000000"/>
          <w:position w:val="0"/>
          <w:sz w:val="20"/>
          <w:u w:val="none"/>
          <w:vertAlign w:val="baseline"/>
        </w:rPr>
        <w:t xml:space="preserve"> We refer to section III.D.6. of the proposed rule for discussion of adjustments for overlaps with other Innovation Center models and CMS programs </w:t>
      </w:r>
      <w:hyperlink r:id="rId9" w:history="1">
        <w:r>
          <w:rPr>
            <w:rFonts w:ascii="arial" w:eastAsia="arial" w:hAnsi="arial" w:cs="arial"/>
            <w:b w:val="0"/>
            <w:i/>
            <w:strike w:val="0"/>
            <w:noProof w:val="0"/>
            <w:color w:val="0077CC"/>
            <w:position w:val="0"/>
            <w:sz w:val="20"/>
            <w:u w:val="single"/>
            <w:vertAlign w:val="baseline"/>
          </w:rPr>
          <w:t>(81 FR 50867</w:t>
        </w:r>
      </w:hyperlink>
      <w:r>
        <w:rPr>
          <w:rFonts w:ascii="arial" w:eastAsia="arial" w:hAnsi="arial" w:cs="arial"/>
          <w:b w:val="0"/>
          <w:i w:val="0"/>
          <w:strike w:val="0"/>
          <w:noProof w:val="0"/>
          <w:color w:val="000000"/>
          <w:position w:val="0"/>
          <w:sz w:val="20"/>
          <w:u w:val="none"/>
          <w:vertAlign w:val="baseline"/>
        </w:rPr>
        <w:t xml:space="preserve"> through 50872).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Special Payment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the existing Medicare payment systems have special payment provisions that have been created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statute to improve quality and efficiency in service delivery. IPPS hospitals are subject to incentives under the HRRP, the HVBP Program, the Hospital-Acquired Condition (HAC) Reduction Program, and the HIQR Program and Outpatient Quality Reporting (OQR) Program. IPPS hospitals and CAHs are subject to the Medicare Electronic Health Record (EHR) Incentive Program. Additionally, the majority of IPPS hospitals receive additional payments for Medicare Disproportionate Share Hospital (DSH) and Uncompensated Care, and IPPS teaching hospitals can receive additional payments for Graduate Medical Education (GME) and Indirect Medical Education (IME). IPPS hospitals that meet certain requirements related to low volume Medicare discharges and distance from another hospital receive a low volume add-on payment. Also, some IPPS hospitals qualify to be sole community hospitals (SCHs) or Medicare Dependent Hospitals (MDHs), and they may receive enhanced payments based on cost-based hospital-specific rates for services; whether a SCH or MDH receives enhanced payments may vary year to year, in accordance with § 419.43(g) and § 412.108(g),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Medicare payments to providers of post-acute care services, including IRFs, SNFs, IPFs, HHAs, LTCHs, and hospice facilities, are conditioned, in part, on whether the provider satisfactorily reports certain specified data to CMS: Inpatient Rehabilitation Facility Quality Reporting Program (IRF QRP); Skilled Nursing Facility Quality Reporting Program (SNF QRP); Inpatient Psychiatric Facility Quality Reporting Program (IPF QRP); Home Health Quality Reporting Program (HH QRP); Long-Term Care Hospital Quality Reporting Program (LTCH QRP); and Hospice Quality Reporting Program. Additionally, IRFs located in rural areas receive rural add-on payments, IRFs serving higher proportions of low-income beneficiaries receive increased payments according to their low-income percentage (LIP), and IRFs with teaching programs receive increased payments to reflect their teaching status. SNFs receive higher payments for treating beneficiaries with human immunodeficiency virus (HIV). HHAs located in rural areas also receive rural add-on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Ambulatory Surgical Centers (ASCs) have their own Quality Reporting Program (ASC QRP). Physicians also have a set of special payment provisions based on quality and reporting: Medicare EHR Incentive Program for Eligible Professionals; Physician Quality Reporting System (PQRS); and Physician Value-based Modifier Program.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how we determine payments under the CJR model </w:t>
      </w:r>
      <w:hyperlink r:id="rId21" w:history="1">
        <w:r>
          <w:rPr>
            <w:rFonts w:ascii="arial" w:eastAsia="arial" w:hAnsi="arial" w:cs="arial"/>
            <w:b w:val="0"/>
            <w:i/>
            <w:strike w:val="0"/>
            <w:noProof w:val="0"/>
            <w:color w:val="0077CC"/>
            <w:position w:val="0"/>
            <w:sz w:val="20"/>
            <w:u w:val="single"/>
            <w:vertAlign w:val="baseline"/>
          </w:rPr>
          <w:t>(80 FR 73333),</w:t>
        </w:r>
      </w:hyperlink>
      <w:r>
        <w:rPr>
          <w:rFonts w:ascii="arial" w:eastAsia="arial" w:hAnsi="arial" w:cs="arial"/>
          <w:b w:val="0"/>
          <w:i w:val="0"/>
          <w:strike w:val="0"/>
          <w:noProof w:val="0"/>
          <w:color w:val="000000"/>
          <w:position w:val="0"/>
          <w:sz w:val="20"/>
          <w:u w:val="none"/>
          <w:vertAlign w:val="baseline"/>
        </w:rPr>
        <w:t xml:space="preserve"> we proposed to adjust both the actual and historical EPM-episode payments used to set EPM-episode benchmark and quality-adjusted target prices by excluding these special payments from EPM-episode calculations using the CMS Price Standardization methodology </w:t>
      </w:r>
      <w:hyperlink r:id="rId9" w:history="1">
        <w:r>
          <w:rPr>
            <w:rFonts w:ascii="arial" w:eastAsia="arial" w:hAnsi="arial" w:cs="arial"/>
            <w:b w:val="0"/>
            <w:i/>
            <w:strike w:val="0"/>
            <w:noProof w:val="0"/>
            <w:color w:val="0077CC"/>
            <w:position w:val="0"/>
            <w:sz w:val="20"/>
            <w:u w:val="single"/>
            <w:vertAlign w:val="baseline"/>
          </w:rPr>
          <w:t>(81 FR 50846).</w:t>
        </w:r>
      </w:hyperlink>
      <w:r>
        <w:rPr>
          <w:rFonts w:ascii="arial" w:eastAsia="arial" w:hAnsi="arial" w:cs="arial"/>
          <w:b w:val="0"/>
          <w:i w:val="0"/>
          <w:strike w:val="0"/>
          <w:noProof w:val="0"/>
          <w:color w:val="000000"/>
          <w:position w:val="0"/>
          <w:sz w:val="20"/>
          <w:u w:val="none"/>
          <w:vertAlign w:val="baseline"/>
        </w:rPr>
        <w:t xml:space="preserve"> Our proposed rule noted our view that in applying this methodology to exclude these payments from our calculations, we would best maintain appropriate incentives for both the EPMs and the existing incentive programs. Also, not excluding add-on payments based on the characteristics of providers caring for EPM beneficiaries, such as more indigent patients, having low Medicare hospital volume, being located in a rural area, supporting greater levels of physician training, and having a greater proportion of beneficiaries with HIV, from actual EPM-episode payments could inappropriately result in certain EPM participants that receive more add-on payments having worse episode payment performance compared to quality-adjusted target prices than what their performance would otherwise have been. Additionally, not excluding enhanced payments for MDHs and SCHs could result in higher or lower quality-adjusted target prices just because EPM participants received their enhanced payments in 1 historical year but not the other, regardless of actual utilization. We also noted that excluding special payments would ensure an EPM participant's actual episode payment performance is not artificially improved or worsened because of payment reduction penalties or incentives or enhanced or add-on payments, the effects of which we were not intending to test under the models. In addition to the various incentives, enhanced payments, and add-on payments, we noted that sequestration came into effect for Medicare payments for discharges on or after April 1, 2013, per the Budget Control Act of 2011 and delayed by the American Taxpayer Relief Act of 2012. Sequestration applies a 2-percent reduction to Medicare payment for most Medicare FFS services.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on the CMS Price (Payment) Standardization Detailed Methodology, we referred to the QualityNet Web site at </w:t>
      </w:r>
      <w:hyperlink r:id="rId45" w:history="1">
        <w:r>
          <w:rPr>
            <w:rFonts w:ascii="arial" w:eastAsia="arial" w:hAnsi="arial" w:cs="arial"/>
            <w:b w:val="0"/>
            <w:i/>
            <w:strike w:val="0"/>
            <w:noProof w:val="0"/>
            <w:color w:val="0077CC"/>
            <w:position w:val="0"/>
            <w:sz w:val="20"/>
            <w:u w:val="single"/>
            <w:vertAlign w:val="baseline"/>
          </w:rPr>
          <w:t>http://www.qualitynet.org/dcs/ContentServer?c=Page&amp;pagename=QnetPublic%2FPage%2FQnetTier4&amp;cid=1228772057350</w:t>
        </w:r>
      </w:hyperlink>
      <w:r>
        <w:rPr>
          <w:rFonts w:ascii="arial" w:eastAsia="arial" w:hAnsi="arial" w:cs="arial"/>
          <w:b w:val="0"/>
          <w:i w:val="0"/>
          <w:strike w:val="0"/>
          <w:noProof w:val="0"/>
          <w:color w:val="000000"/>
          <w:position w:val="0"/>
          <w:sz w:val="20"/>
          <w:u w:val="none"/>
          <w:vertAlign w:val="baseline"/>
        </w:rPr>
        <w:t xml:space="preserve"> and to </w:t>
      </w:r>
      <w:hyperlink r:id="rId21" w:history="1">
        <w:r>
          <w:rPr>
            <w:rFonts w:ascii="arial" w:eastAsia="arial" w:hAnsi="arial" w:cs="arial"/>
            <w:b w:val="0"/>
            <w:i/>
            <w:strike w:val="0"/>
            <w:noProof w:val="0"/>
            <w:color w:val="0077CC"/>
            <w:position w:val="0"/>
            <w:sz w:val="20"/>
            <w:u w:val="single"/>
            <w:vertAlign w:val="baseline"/>
          </w:rPr>
          <w:t>80 FR 73331.</w:t>
        </w:r>
      </w:hyperlink>
      <w:r>
        <w:rPr>
          <w:rFonts w:ascii="arial" w:eastAsia="arial" w:hAnsi="arial" w:cs="arial"/>
          <w:b w:val="0"/>
          <w:i w:val="0"/>
          <w:strike w:val="0"/>
          <w:noProof w:val="0"/>
          <w:color w:val="000000"/>
          <w:position w:val="0"/>
          <w:sz w:val="20"/>
          <w:u w:val="none"/>
          <w:vertAlign w:val="baseline"/>
        </w:rPr>
        <w:t xml:space="preserve"> Accordingly, we proposed to exclude these special payments from EPM-episode calculations using the CMS Price Standardization methodology at § 512.300(e)(2). We sought comment on our proposal to exclude special payments using the CMS Price Standardization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generally supported the proposal to adjust actual and target spending amounts for various special payments such as IME and DSH.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we received supporting our proposal to exclude special payments from EPM-episode calculations using the CMS Price Standardization methodology. We wish to clarify that like CJR, we will follow the CMS Price Standardization methodology with modifications as necessary to be consistent with our episode definition in section III.C of this final rule and to ensure timely reporting of reconciliation </w:t>
      </w:r>
      <w:r>
        <w:rPr>
          <w:rFonts w:ascii="arial" w:eastAsia="arial" w:hAnsi="arial" w:cs="arial"/>
          <w:b/>
          <w:i w:val="0"/>
          <w:strike w:val="0"/>
          <w:noProof w:val="0"/>
          <w:color w:val="000000"/>
          <w:position w:val="0"/>
          <w:sz w:val="20"/>
          <w:u w:val="none"/>
          <w:vertAlign w:val="baseline"/>
        </w:rPr>
        <w:t> [*296] </w:t>
      </w:r>
      <w:r>
        <w:rPr>
          <w:rFonts w:ascii="arial" w:eastAsia="arial" w:hAnsi="arial" w:cs="arial"/>
          <w:b w:val="0"/>
          <w:i w:val="0"/>
          <w:strike w:val="0"/>
          <w:noProof w:val="0"/>
          <w:color w:val="000000"/>
          <w:position w:val="0"/>
          <w:sz w:val="20"/>
          <w:u w:val="none"/>
          <w:vertAlign w:val="baseline"/>
        </w:rPr>
        <w:t xml:space="preserve"> results, for the performance year reconciliations, which begin 2 months after the conclusion of a performance year. We will account for the information available at the time due to claims run-out, payment system updates, and the calculations necessary to fully implement the standardization methodology. We will utilize the methodology, consistent with our episode definition, for the target price calculations and subsequent reconciliation calculations 14 months after the conclusion of the performance year, in which we incorporate full claims run-out and further account for overlap with other models. This approach will provide feedback and reconciliation payments, as available, to hospitals in a timely manner and as accurately as feasible, while ensuring the standardization approach is utilized for the subsequent reconciliation calculation for a performance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requested more clarity on whether IPPS capital payments are included, and requested that we exclude these costs. A commenter noted that these capital costs are not included under the BPCI models, hospitals need stability in capital cost reimbursement to plan for major capital expenditures, and thus these costs should not be placed at risk because of models affecting only cardiovascular and orthopedic services.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To clarify, as is the case with CJR, IPPS capital payments will be included in EPM-episode calculations. As we stated in the CJR Final Rule </w:t>
      </w:r>
      <w:hyperlink r:id="rId21" w:history="1">
        <w:r>
          <w:rPr>
            <w:rFonts w:ascii="arial" w:eastAsia="arial" w:hAnsi="arial" w:cs="arial"/>
            <w:b w:val="0"/>
            <w:i/>
            <w:strike w:val="0"/>
            <w:noProof w:val="0"/>
            <w:color w:val="0077CC"/>
            <w:position w:val="0"/>
            <w:sz w:val="20"/>
            <w:u w:val="single"/>
            <w:vertAlign w:val="baseline"/>
          </w:rPr>
          <w:t>(80 FR 73333),</w:t>
        </w:r>
      </w:hyperlink>
      <w:r>
        <w:rPr>
          <w:rFonts w:ascii="arial" w:eastAsia="arial" w:hAnsi="arial" w:cs="arial"/>
          <w:b w:val="0"/>
          <w:i w:val="0"/>
          <w:strike w:val="0"/>
          <w:noProof w:val="0"/>
          <w:color w:val="000000"/>
          <w:position w:val="0"/>
          <w:sz w:val="20"/>
          <w:u w:val="none"/>
          <w:vertAlign w:val="baseline"/>
        </w:rPr>
        <w:t xml:space="preserve"> these payments are included in Medicare FFS payments, which we use to calculate benchmark and actual expenditures. Further, including IPPS capital payments affords participants an opportunity to achieve greater reconciliation payments if they are able to achieve efficiencies for the costs that the capital portion of IPPS payments would cover, which may or may not actually be capital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requested that CMS exclude outlier payments EPM-episode calculations. The commenter expressed concern that because CMS proposed a limited risk-adjustment methodology, hospitals that treat the least healthy beneficiaries such as academic medical centers would be penalized for longer lengths of stay that result in receiving outlier payments for the index admission, particularly as financial targets transition to regional pricing.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that outlier payments should be excluded from our calculation. First, we expect the models to encourage more efficient care that should result in lower costs and potentially the frequency for which outlier payments are needed. Second, as discussed in section III.D.3.d. of this final rule, we are finalizing policies to cap high-cost episodes with payments 2 standard deviations or more above the mean calculated at the regional level for purposes of determining benchmark prices and actual expenditures, which should assist in protecting participants from higher costs associated with outlier payments. Third, as discussed in section III.D.4.b.(2). of this final rule, we will be exploring options to further risk-adjust costs and payments under the models with the goal of making them effective for episodes ending after January 1, 2019, with anchor discharges occurring on or after October 4, 2018. These further adjustments for risk would offer additional financial protections to participants with high-cost episodes.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costs for chronic care management, cardiac rehabilitation, and intensive cardiac rehabilitation services be excluded from payment calculations. With regard to the former, the commenter noted that chronic care management services were not paid under Medicare until January of 2015 and therefore was not a payable service during two of the years used to set target prices for the first two performance year. Further, in this commenter's view, many physicians currently are not billing for these services, but the commenter anticipates the volume will increase. With regard to the latter, commenters noted that if the proposed efforts to encourage CR utilization are successful, spending for CR/ICR services in AMI and CABG episodes would increase and could cause participants' spending to exceed their targets making them either ineligible to receive reconciliation payments or at risk for making Medicare repayments. As such, this would penalize hospitals for improving CR/ICR utilization, which would impede, if not completely defeat, CMS' efforts to encourage CR and ICR utilization. Accordingly, these commenters recommended that the cost of CR and ICR services be excluded from episode payment calculations.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we noted in section III.C.3.b. of this final rule, we do not believe that it would be appropriate to exclude other specific Part B services, including chronic are management services, cardiac rehabilitation, intensive cardiac rehabilitation services that are related to the clinical conditions that are the basis for EPM episodes, just because they are underrepresented in the baseline period upon which benchmark episode prices are set. Likewise, we do not believe it is appropriate to exclude the costs of these included services from our financial calculations. To the extent that care redesign under the EPMs increases utilization of these services to improve episode quality and efficiency, periodic updates to the 3 years of historical data used to establish EPM-episode benchmark prices, as is discussed in section III.D.4.b.(3) of this final rule, would result in greater representation of these services that reflect more recent care patterns.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exclude certain special payments from EPM-episode calculations using the CMS Price Standardization methodology. Our final policy for excluding special payments is included in § 512.300(e)(2).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Services That Straddle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service that straddles an EPM episode is one that begins before the start of or continues beyond the end of an EPM episode that extends 90 days post-hospital discharge. Under the CJR model, we prorate payments so that they include only the portion of the payment that is included in the CJR model episode, using separate approaches to prorate payments under each payment system, for example, IPPS, non-IPPS and other inpatient services, and home health services </w:t>
      </w:r>
      <w:hyperlink r:id="rId21" w:history="1">
        <w:r>
          <w:rPr>
            <w:rFonts w:ascii="arial" w:eastAsia="arial" w:hAnsi="arial" w:cs="arial"/>
            <w:b w:val="0"/>
            <w:i/>
            <w:strike w:val="0"/>
            <w:noProof w:val="0"/>
            <w:color w:val="0077CC"/>
            <w:position w:val="0"/>
            <w:sz w:val="20"/>
            <w:u w:val="single"/>
            <w:vertAlign w:val="baseline"/>
          </w:rPr>
          <w:t>(80 FR 73333</w:t>
        </w:r>
      </w:hyperlink>
      <w:r>
        <w:rPr>
          <w:rFonts w:ascii="arial" w:eastAsia="arial" w:hAnsi="arial" w:cs="arial"/>
          <w:b w:val="0"/>
          <w:i w:val="0"/>
          <w:strike w:val="0"/>
          <w:noProof w:val="0"/>
          <w:color w:val="000000"/>
          <w:position w:val="0"/>
          <w:sz w:val="20"/>
          <w:u w:val="none"/>
          <w:vertAlign w:val="baseline"/>
        </w:rPr>
        <w:t xml:space="preserve"> through 73335). We proposed to apply the CJR model methodologies for prorating payments when calculating actual EPM-episode payments and when calculating historical EPM-episode payments used to set EPM-episode benchmark and quality-adjusted target prices </w:t>
      </w:r>
      <w:hyperlink r:id="rId9" w:history="1">
        <w:r>
          <w:rPr>
            <w:rFonts w:ascii="arial" w:eastAsia="arial" w:hAnsi="arial" w:cs="arial"/>
            <w:b w:val="0"/>
            <w:i/>
            <w:strike w:val="0"/>
            <w:noProof w:val="0"/>
            <w:color w:val="0077CC"/>
            <w:position w:val="0"/>
            <w:sz w:val="20"/>
            <w:u w:val="single"/>
            <w:vertAlign w:val="baseline"/>
          </w:rPr>
          <w:t>(81 FR 50846).</w:t>
        </w:r>
      </w:hyperlink>
      <w:r>
        <w:rPr>
          <w:rFonts w:ascii="arial" w:eastAsia="arial" w:hAnsi="arial" w:cs="arial"/>
          <w:b w:val="0"/>
          <w:i w:val="0"/>
          <w:strike w:val="0"/>
          <w:noProof w:val="0"/>
          <w:color w:val="000000"/>
          <w:position w:val="0"/>
          <w:sz w:val="20"/>
          <w:u w:val="none"/>
          <w:vertAlign w:val="baseline"/>
        </w:rPr>
        <w:t xml:space="preserve"> We believed these methodologies would most accurately account for spending within EPM episodes under the EPMs. The methodologies for prorating payments under the EPMs were included in § 512.300(f). We sought comment on our proposed methodologies for prorating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comments requesting greater clarity on how we would prorate payments for services that straddle episodes. We also received a comment requesting greater clarity for "prorated" payments for "straddled" episodes with the presence of an AMI diagnosis treated with CABG.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Following are the steps we use for the CJR model that we proposed to apply when prorating payments under the proposed EPMs, and that were specifically cited in our proposed rule </w:t>
      </w:r>
      <w:hyperlink r:id="rId21" w:history="1">
        <w:r>
          <w:rPr>
            <w:rFonts w:ascii="arial" w:eastAsia="arial" w:hAnsi="arial" w:cs="arial"/>
            <w:b w:val="0"/>
            <w:i/>
            <w:strike w:val="0"/>
            <w:noProof w:val="0"/>
            <w:color w:val="0077CC"/>
            <w:position w:val="0"/>
            <w:sz w:val="20"/>
            <w:u w:val="single"/>
            <w:vertAlign w:val="baseline"/>
          </w:rPr>
          <w:t>(80 FR 73333</w:t>
        </w:r>
      </w:hyperlink>
      <w:r>
        <w:rPr>
          <w:rFonts w:ascii="arial" w:eastAsia="arial" w:hAnsi="arial" w:cs="arial"/>
          <w:b w:val="0"/>
          <w:i w:val="0"/>
          <w:strike w:val="0"/>
          <w:noProof w:val="0"/>
          <w:color w:val="000000"/>
          <w:position w:val="0"/>
          <w:sz w:val="20"/>
          <w:u w:val="none"/>
          <w:vertAlign w:val="baseline"/>
        </w:rPr>
        <w:t xml:space="preserve"> through 73335). </w:t>
      </w:r>
      <w:r>
        <w:rPr>
          <w:rFonts w:ascii="arial" w:eastAsia="arial" w:hAnsi="arial" w:cs="arial"/>
          <w:b/>
          <w:i w:val="0"/>
          <w:strike w:val="0"/>
          <w:noProof w:val="0"/>
          <w:color w:val="000000"/>
          <w:position w:val="0"/>
          <w:sz w:val="20"/>
          <w:u w:val="none"/>
          <w:vertAlign w:val="baseline"/>
        </w:rPr>
        <w:t> [*297] </w:t>
      </w:r>
      <w:r>
        <w:rPr>
          <w:rFonts w:ascii="arial" w:eastAsia="arial" w:hAnsi="arial" w:cs="arial"/>
          <w:b w:val="0"/>
          <w:i w:val="0"/>
          <w:strike w:val="0"/>
          <w:noProof w:val="0"/>
          <w:color w:val="000000"/>
          <w:position w:val="0"/>
          <w:sz w:val="20"/>
          <w:u w:val="none"/>
          <w:vertAlign w:val="baseline"/>
        </w:rPr>
        <w:t xml:space="preserve"> These steps have been updated to reflect our methodology as applied to an AMI episode involving a CABG.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assuming we have a beneficiary in an EPM episode who is admitted to a SNF for 15 days, beginning on Day 86 post-discharge from the anchor EPM hospitalization, the first 5 days of the admission would fall within the episode, while the subsequent 10 days would fall outside of the episode. Under our proposal, to the extent that a Medicare payment for included episode services spans a period of care that extends beyond the episode, these payments would be prorated so that only the portion attributable to care during the episode is attributed to the episode payment when calculating actual Medicare payment for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non-IPPS inpatient hospital (for example, CAH) and inpatient post-acute care (for example, SNF, IRF, LTCH, IPF) services, we would prorate payments based on the percentage of actual length of stay (in days) that falls within the episode window. Prorated payments would also be similarly allocated to the 30-day post-episode payment calculation in section III.D.7.e. of this final rule. In the previous example, one-third of the days in the 15-day length of stay would fall within the episode window, so under the proposed approach, one-third of the SNF payment would be included in the episode payment calculation, and the remaining two-thirds (because the entirety of the remaining payments fall within the 30 days after the episode ended) would be included in the post-episode payment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HHA services that extend beyond the episode, the payment proration would be based on the percentage of days, starting with the first billable service date ("start of care date") and through and including the last billable service date, that fall within EPM episode. Prorated payments would also be similarly allocated to the 30-day post-episode payment calculation in section III.D.7.e. of this final rule. For example, if the patient started receiving services from an HHA on day 86 after discharge from the anchor hospitalization and the last billable home health service date was 55 days from the start of home health care date, the HHA claim payment amount would be divided by 55 and then multiplied by the days (5) that fell within the EPM episode. The resulting, prorated HHA claim payment amount would be considered part of the EPM episode. Services for the prorated HHA service would also span the entirety of the 30 days after the EPM episode spends, so the result of the following calculation would be included in the 30-day post-episode payment calculation: HHA claim payment amount divided by 55 and then multiplied by 30 days (the number of days in the 30-day post-episode period that fall within the prorated HHA service 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may also be instances where home health services begin prior to the EPM episode start date, but end during the EPM episode. In such instances, we would also prorate HHA payments based on the percentage of days that fell within the episode. Because these services end during the EPM episode, prorated payments for these services would not be included in the 30-day post-episode payment calculation discussed in section III.D.7.e. of this final rule. For example, if the patient's start of care date for a home health 60-day claim was February 1, the anchor hospitalization was March 1 through March 4 (with the EPM episode continuing for 90 days after March 4), and the patient resumed home care on March 5 with the 60-day home health claim ending on April 1 (that is, April 1 was the last billable service date), we would divide the 60-day home health claim payment amount by 60 and then multiply that amount by the days from the EPM admission through April 1 (32 days) to prorate the HHA payment. This proposed prorating method for HHA claims is consistent with how partial episode payments (PEP) are paid for on home health claims.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IPPS services that extend beyond the episode (for example, readmissions included in the episode definition), we would separately prorate the IPPS claim amount from episode target price and actual episode payment calculations as was made final in the final CJR rule </w:t>
      </w:r>
      <w:hyperlink r:id="rId21" w:history="1">
        <w:r>
          <w:rPr>
            <w:rFonts w:ascii="arial" w:eastAsia="arial" w:hAnsi="arial" w:cs="arial"/>
            <w:b w:val="0"/>
            <w:i/>
            <w:strike w:val="0"/>
            <w:noProof w:val="0"/>
            <w:color w:val="0077CC"/>
            <w:position w:val="0"/>
            <w:sz w:val="20"/>
            <w:u w:val="single"/>
            <w:vertAlign w:val="baseline"/>
          </w:rPr>
          <w:t>(80 FR 73334</w:t>
        </w:r>
      </w:hyperlink>
      <w:r>
        <w:rPr>
          <w:rFonts w:ascii="arial" w:eastAsia="arial" w:hAnsi="arial" w:cs="arial"/>
          <w:b w:val="0"/>
          <w:i w:val="0"/>
          <w:strike w:val="0"/>
          <w:noProof w:val="0"/>
          <w:color w:val="000000"/>
          <w:position w:val="0"/>
          <w:sz w:val="20"/>
          <w:u w:val="none"/>
          <w:vertAlign w:val="baseline"/>
        </w:rPr>
        <w:t xml:space="preserve"> through 73335), called the normal MS-DRG payment amount for purposes of this final rule. The normal MS-DRG payment amount would be pro-rated based on the geometric mean length of stay, comparable to the calculation under the IPPS post-acute care transfer policy at § 412.4(f) and as published on an annual basis in Table 5 of the IPPS/LTCH PPS Final Rules. Consistent with the IPPS post-acute care transfer policy, the first day for a subset of MS-DRGs (indicated in Table 5 of the IPPS/LTCH PPS Final Rules) would be doubly weighted to count as 2 days to account for likely higher hospital costs incurred at the beginning of an admission. If the actual length of stay that occurred during the episode is equal to or greater than the MS-DRG geometric mean, the normal MS-DRG payment would be fully allocated to the episode. If the actual length of stay that occurred during the episode is less than the geometric mean, the normal MS-DRG payment amount would be allocated to the episode based on the number of inpatient days that fall within the episode. If the full amount is not allocated to the episode, any remainder amount would be allocated to the 30 day post-episode payment calculation discussed in section III.D.7.e. of this final rule. The proposed approach for prorating the normal MS-DRG payment amount is consistent with the IPPS transfer per diem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specifically, if a beneficiary has a readmission for MS-DRG 234--coronary bypass with cardiac catheterization without major complications or comorbidities--into an IPPS hospital on the 89th day after discharge from an EPM anchor hospitalization, and is subsequently discharged after a length of stay of 5 days, Medicare payment for this readmission would be prorated for inclusion in the episode. Based on Table 5 of the IPPS/LTCH PPS Final Rule for FY 2017, the geometric mean for MS-DRG 234 is 8 days, and this MS-DRG is indicated for double-weighting the first day for proration. This readmission has only 2 days that falls within the episode, which is less than the MS-DRG 234 geometric mean of 8 days. Therefore, the normal MS-DRG payment amount associated with this readmission would be divided by 8 (the geometric mean) and multiplied by 3 (the first day is counted as 2 days, and the second day contributes the third day), and the resulting amount is attributed to the episode. The remaining five-eighths would be captured in the post-episode spending calculation discussed in section III.D.7.e. of this final rule. If the readmission occurred on the 82nd day after discharge from the EPM anchor hospitalization, and the length of stay was 10 days, the normal MS-DRG payment amount for the admission would be included in the episode without proration because length of stay for the readmission falling within the episode (9 days) is greater than or equal to the geometric mean (8 days) for the MS-DRG. We would also clarify that, consistent with how we would prorate payments for services that extend beyond the episode when establishing benchmark prices for an AMI episode without a CABG, in instances of an AMI episode with CABG readmissions, we would establish the benchmark price based on prorated amounts for both the AMI episode and the CABG readmission.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w:t>
      </w:r>
      <w:r>
        <w:rPr>
          <w:rFonts w:ascii="arial" w:eastAsia="arial" w:hAnsi="arial" w:cs="arial"/>
          <w:b/>
          <w:i w:val="0"/>
          <w:strike w:val="0"/>
          <w:noProof w:val="0"/>
          <w:color w:val="000000"/>
          <w:position w:val="0"/>
          <w:sz w:val="20"/>
          <w:u w:val="none"/>
          <w:vertAlign w:val="baseline"/>
        </w:rPr>
        <w:t> [*298] </w:t>
      </w:r>
      <w:r>
        <w:rPr>
          <w:rFonts w:ascii="arial" w:eastAsia="arial" w:hAnsi="arial" w:cs="arial"/>
          <w:b w:val="0"/>
          <w:i w:val="0"/>
          <w:strike w:val="0"/>
          <w:noProof w:val="0"/>
          <w:color w:val="000000"/>
          <w:position w:val="0"/>
          <w:sz w:val="20"/>
          <w:u w:val="none"/>
          <w:vertAlign w:val="baseline"/>
        </w:rPr>
        <w:t xml:space="preserve"> modification, to prorate payments for services that straddle episodes. Our final policy for prorating payments is included in § 512.300(f).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High-Payment EPM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CJR model, we defined a high-payment episode as an episode with payments 2 standard deviations or more above the mean calculated at the regional level </w:t>
      </w:r>
      <w:hyperlink r:id="rId21" w:history="1">
        <w:r>
          <w:rPr>
            <w:rFonts w:ascii="arial" w:eastAsia="arial" w:hAnsi="arial" w:cs="arial"/>
            <w:b w:val="0"/>
            <w:i/>
            <w:strike w:val="0"/>
            <w:noProof w:val="0"/>
            <w:color w:val="0077CC"/>
            <w:position w:val="0"/>
            <w:sz w:val="20"/>
            <w:u w:val="single"/>
            <w:vertAlign w:val="baseline"/>
          </w:rPr>
          <w:t>(80 FR 73336</w:t>
        </w:r>
      </w:hyperlink>
      <w:r>
        <w:rPr>
          <w:rFonts w:ascii="arial" w:eastAsia="arial" w:hAnsi="arial" w:cs="arial"/>
          <w:b w:val="0"/>
          <w:i w:val="0"/>
          <w:strike w:val="0"/>
          <w:noProof w:val="0"/>
          <w:color w:val="000000"/>
          <w:position w:val="0"/>
          <w:sz w:val="20"/>
          <w:u w:val="none"/>
          <w:vertAlign w:val="baseline"/>
        </w:rPr>
        <w:t xml:space="preserve"> through 73337). As with the CJR model, we proposed to apply a high-payment episode ceiling when calculating actual EPM-episode payments and when calculating historical EPM-episode payments used to set EPM-episode benchmark and quality-adjusted target prices </w:t>
      </w:r>
      <w:hyperlink r:id="rId9" w:history="1">
        <w:r>
          <w:rPr>
            <w:rFonts w:ascii="arial" w:eastAsia="arial" w:hAnsi="arial" w:cs="arial"/>
            <w:b w:val="0"/>
            <w:i/>
            <w:strike w:val="0"/>
            <w:noProof w:val="0"/>
            <w:color w:val="0077CC"/>
            <w:position w:val="0"/>
            <w:sz w:val="20"/>
            <w:u w:val="single"/>
            <w:vertAlign w:val="baseline"/>
          </w:rPr>
          <w:t>(81 FR 50846).</w:t>
        </w:r>
      </w:hyperlink>
      <w:r>
        <w:rPr>
          <w:rFonts w:ascii="arial" w:eastAsia="arial" w:hAnsi="arial" w:cs="arial"/>
          <w:b w:val="0"/>
          <w:i w:val="0"/>
          <w:strike w:val="0"/>
          <w:noProof w:val="0"/>
          <w:color w:val="000000"/>
          <w:position w:val="0"/>
          <w:sz w:val="20"/>
          <w:u w:val="none"/>
          <w:vertAlign w:val="baseline"/>
        </w:rPr>
        <w:t xml:space="preserve"> We proposed to apply the ceiling according to the following groupings that align with our proposed EPM price-setting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for SHFFT model episodes, we proposed to calculate and apply the ceiling separately for each SHFFT price MS-DRG at the regional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for AMI model episodes with price MS-DRGs 280-282 or 246-251 without readmission for CABG MS-DRGs, we proposed to calculate and apply the ceiling separately for each price MS-DRG at the regional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for CABG model episodes, we proposed to apply ceilings separately to the payments that occurred during the anchor hospitalization of the CABG model episode and to the payments that occurred after the anchor hospitalization. For the anchor hospitalization portion of CABG model episodes, we proposed to calculate and apply the ceiling separately by each price MS-DRG in 231-236 at the regional level. For the post-anchor hospitalization portion, we proposed to calculate and apply the ceiling separately for the following groupings at the regional level:</w:t>
      </w:r>
    </w:p>
    <w:p>
      <w:pPr>
        <w:keepNext w:val="0"/>
        <w:numPr>
          <w:numId w:val="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ICD-CM diagnosis code on the anchor inpatient claim and price MS-DRG with major complication or comorbidity (231, 233, or 235).</w:t>
      </w:r>
    </w:p>
    <w:p>
      <w:pPr>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ICD-CM diagnosis code on the anchor inpatient claim and price MS-DRG without major complication or comorbidity (232, 234, or 236).</w:t>
      </w:r>
    </w:p>
    <w:p>
      <w:pPr>
        <w:keepNext w:val="0"/>
        <w:numPr>
          <w:numId w:val="2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ICD-CM diagnosis code on the anchor inpatient claim and price MS-DRG with major complication or comorbidity (231, 233, or 235).</w:t>
      </w:r>
    </w:p>
    <w:p>
      <w:pPr>
        <w:keepNext w:val="0"/>
        <w:numPr>
          <w:numId w:val="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ICD-CM diagnosis code on the anchor inpatient claim and price MS-DRG without major complication or comorbidity (232, 234, or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for AMI model episodes with price MS-DRG 231-236, we proposed to apply ceilings separately to the payments that occurred during the chained anchor hospitalization and to the payments that occurred after the chained anchor hospitalization. For the anchor hospitalization portion of the episode, we proposed to apply the regional level ceiling calculated for the anchor hospitalization portion of a CABG model episode for the corresponding price MS-DRG, as described previously. For the post-anchor hospitalization portion of the episode, we proposed to apply the regional level ceiling calculated for the post-anchor hospitalization portion of a CABG model episode for the corresponding price MS-DRG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Fifth, for AMI model episodes with price MS-DRG 280-282 or 246-251 and with readmission for CABG MS-DRGs, we proposed to apply the ceiling separately to the payments during the CABG readmission and all other payments during the episode. For payments during the CABG readmission portion of the AMI model episode we proposed to apply the regional level ceiling calculated for the anchor hospitalization portion of a CABG model episode for the corresponding CABG readmission MS-DRG, as described previously. For all other payments during the AMI model episode, we proposed to apply the regional level ceiling calculated for AMI model episodes with price MS-DRG 280-282 or 246-251 and without readmission for CABG MS-DRGs corresponding to the AMI price MS-DRG.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believed that the proposed ceiling would protect EPM participants from variable repayment risk for especially-high payment EPM episodes where the clinical scenarios for these cases each year may differ significantly and unpredictably.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capping high payment EPM episodes were included in § 512.300(e)(1). We sought comment on our proposal to cap high payment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supported the proposal for capping high payment episodes. A commenter noted that the proposal does not separately address an episode where Medicare accepts a beneficiary's appeal of Medicare Provider Non-Coverage after the discharging physician determined not to certify that patient for care. The commenter noted that under such a scenario, in contradiction with the hospital's clinical judgment on appropriate level of care, the proposed policy would not cap spending unless it reached the proposed threshold. The commenter recommended that CMS create additional flexibilities or protections for hospitals where a Medicare appeal overturns a hospital's decision that is based on clinically-directed, evidence-based discharge criteria.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comments in support of our proposal to cap high payment EPM episodes. We disagree with the suggestion to include protections in addition to what we have proposed to address scenarios where a Medicare appeal contradicting a hospital's discharge decision increases the costs of an episode. We believe our proposal offers sufficient protection under such circumstances. Further, if a hospital's discharge decision was overturned upon appeal, we would have to believe the final decision was correct and any additional costs that resulted from the appeal would be appropriately included as an episode cost.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 modification, to cap high payment EPM episodes. Specifically, we are not finalizing our proposal to apply ceilings separately to the payments that occurred during the chained anchor hospitalization and to the payments that occurred after the chained anchor hospitalization with respect to AMI model episodes with MS-DRG 231-236, and instead will simply apply ceilings separately for each MS-DRG at the regional level as we would with MS-DRGs 280-282 or 246-251 without readmission for CABG MS-DRGs. Our final policy for capping high payment EPM episodes is included in § 512.300(e)(1).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Treatment of Reconciliation Payments and Medicare Repayments When Calculating Historical EPM-Episode Payments To Update EPM-Episode Benchmark and Quality-Adjusted Target Prices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CJR model, we exclude CJR model reconciliation payments and Medicare repayments from the expenditure data used to update historical claims when calculating CJR model target prices, although we received comments on the proposed rule encouraging us to include these payments. For example, commenters supported their inclusion because CJR-participating hospitals otherwise would be providing care coordination services that would not be paid directly or accounted for under applicable Medicare FFS payments systems and thus might be funded through reconciliation payments. Further, by </w:t>
      </w:r>
      <w:r>
        <w:rPr>
          <w:rFonts w:ascii="arial" w:eastAsia="arial" w:hAnsi="arial" w:cs="arial"/>
          <w:b/>
          <w:i w:val="0"/>
          <w:strike w:val="0"/>
          <w:noProof w:val="0"/>
          <w:color w:val="000000"/>
          <w:position w:val="0"/>
          <w:sz w:val="20"/>
          <w:u w:val="none"/>
          <w:vertAlign w:val="baseline"/>
        </w:rPr>
        <w:t> [*299] </w:t>
      </w:r>
      <w:r>
        <w:rPr>
          <w:rFonts w:ascii="arial" w:eastAsia="arial" w:hAnsi="arial" w:cs="arial"/>
          <w:b w:val="0"/>
          <w:i w:val="0"/>
          <w:strike w:val="0"/>
          <w:noProof w:val="0"/>
          <w:color w:val="000000"/>
          <w:position w:val="0"/>
          <w:sz w:val="20"/>
          <w:u w:val="none"/>
          <w:vertAlign w:val="baseline"/>
        </w:rPr>
        <w:t xml:space="preserve"> excluding reconciliation payments from the calculations, commenters suggested that we may underestimate their actual resource costs when updating target prices for the care necessary during episodes. The CJR Final Rule discussed our view that including reconciliation payments would have the effect of Medicare paying CJR model participant hospitals their target prices, regardless of whether such participant was below, above, or met their episode target price. We also noted that we had not discussed any alternatives in the CJR model proposed rule, and that we might consider including these payments in updating historical claims through future rulemaking </w:t>
      </w:r>
      <w:hyperlink r:id="rId21" w:history="1">
        <w:r>
          <w:rPr>
            <w:rFonts w:ascii="arial" w:eastAsia="arial" w:hAnsi="arial" w:cs="arial"/>
            <w:b w:val="0"/>
            <w:i/>
            <w:strike w:val="0"/>
            <w:noProof w:val="0"/>
            <w:color w:val="0077CC"/>
            <w:position w:val="0"/>
            <w:sz w:val="20"/>
            <w:u w:val="single"/>
            <w:vertAlign w:val="baseline"/>
          </w:rPr>
          <w:t>(80 FR 73332).</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further consideration, we proposed to include both reconciliation payments and Medicare repayments when calculating historical EPM-episode payments to update EPM-episode benchmark and quality-adjusted target prices </w:t>
      </w:r>
      <w:hyperlink r:id="rId9" w:history="1">
        <w:r>
          <w:rPr>
            <w:rFonts w:ascii="arial" w:eastAsia="arial" w:hAnsi="arial" w:cs="arial"/>
            <w:b w:val="0"/>
            <w:i/>
            <w:strike w:val="0"/>
            <w:noProof w:val="0"/>
            <w:color w:val="0077CC"/>
            <w:position w:val="0"/>
            <w:sz w:val="20"/>
            <w:u w:val="single"/>
            <w:vertAlign w:val="baseline"/>
          </w:rPr>
          <w:t>(81 FR 50847).</w:t>
        </w:r>
      </w:hyperlink>
      <w:r>
        <w:rPr>
          <w:rFonts w:ascii="arial" w:eastAsia="arial" w:hAnsi="arial" w:cs="arial"/>
          <w:b w:val="0"/>
          <w:i w:val="0"/>
          <w:strike w:val="0"/>
          <w:noProof w:val="0"/>
          <w:color w:val="000000"/>
          <w:position w:val="0"/>
          <w:sz w:val="20"/>
          <w:u w:val="none"/>
          <w:vertAlign w:val="baseline"/>
        </w:rPr>
        <w:t xml:space="preserve"> We concurred with the views expressed by commenters on the CJR model proposed rule that including these payments would more fully recognize the total resource costs of care under an EPM than would their exclusion. As indicated in section V.B. of the proposed rule </w:t>
      </w:r>
      <w:hyperlink r:id="rId9" w:history="1">
        <w:r>
          <w:rPr>
            <w:rFonts w:ascii="arial" w:eastAsia="arial" w:hAnsi="arial" w:cs="arial"/>
            <w:b w:val="0"/>
            <w:i/>
            <w:strike w:val="0"/>
            <w:noProof w:val="0"/>
            <w:color w:val="0077CC"/>
            <w:position w:val="0"/>
            <w:sz w:val="20"/>
            <w:u w:val="single"/>
            <w:vertAlign w:val="baseline"/>
          </w:rPr>
          <w:t>(81 FR 50950</w:t>
        </w:r>
      </w:hyperlink>
      <w:r>
        <w:rPr>
          <w:rFonts w:ascii="arial" w:eastAsia="arial" w:hAnsi="arial" w:cs="arial"/>
          <w:b w:val="0"/>
          <w:i w:val="0"/>
          <w:strike w:val="0"/>
          <w:noProof w:val="0"/>
          <w:color w:val="000000"/>
          <w:position w:val="0"/>
          <w:sz w:val="20"/>
          <w:u w:val="none"/>
          <w:vertAlign w:val="baseline"/>
        </w:rPr>
        <w:t xml:space="preserve"> through 50951), we also proposed to modify our policy for the CJR model to also include reconciliation payments and Medicare repayments when updating target prices under that model. We also considered an option where we would include only reconciliation payments when updating but not Medicare repayments; however, we believed this option would not achieve our intention of more fully capturing the costs of care under the EPM. We further noted that the inclusion of both reconciliation payments and Medicare repayments could have differential effects on an EPM participant's benchmark and quality-adjusted target prices based on whether or not it received a reconciliation payment or made a Medicare repayment. For example, all else equal, including an EPM reconciliation payment when updating an EPM participant's EPM-episode benchmark and quality-adjusted target prices would modestly increase the quality-adjusted target prices in performance years 3 through 5 in comparison to not including the reconciliation payment. Conversely, all else equal, including a Medicare repayment when updating an EPM participant's EPM-episode benchmark and quality-adjusted target prices would reduce the next performance year's quality-adjusted target price in comparison to not including the Medicare repayment. Following analogous logic, we also proposed to include BPCI Net Payment Reconciliation Amounts in our calculations when updating EPM-episode benchmark and quality-adjusted target prices. We noted, however, that the effects of these proposals would largely be confined to PY3 of the EPMs and diminish as EPM-participant historical EPM-episode updates are eventually determined based on regional payments in subsequent years of the EPMs. This is because the net sum of EPM reconciliation payments, Medicare repayments, and BPCI Net Payment Reconciliation Amounts would represent a small portion of the total historical EPM-episode payments captured in regional pricing.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updating EPM-episode benchmark and quality adjusted target prices for CABG model episodes, we proposed to apportion EPM reconciliation payments and BPCI Net Reconciliation Payment Amounts proportionally to the anchor hospitalization and post-anchor hospitalization portions of CABG model historical episodes. We also proposed to calculate the proportions based on regional average historical episode payments that occurred during the anchor hospitalization portion of CABG model episodes and regional average historical episode payments that occurred during the post-anchor anchor hospitalization portion of CABG model episodes that were initiated during the 3 historical years. This aligns with the general proposal to calculate the CABG model-episode benchmark price as the sum of the corresponding CABG anchor hospitalization benchmark price and the corresponding CABG post-anchor hospitalization benchmark price, as discussed in III.D.4.b.(2)(ii) and III.D.4.d.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include both reconciliation payments and Medicare repayments when calculating historical EPM-episode payments to update EPM-episode benchmark and quality-adjusted target prices was included in § 512.300(c)(8). We sought comment on our proposal to include both reconciliation payments and Medicare repayments when calculating historical EPM-episode payments to update EPM-episode benchmark and quality-adjusted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Multiple commenters supported the proposal to include reconciliation payments when calculating target prices in order to more fully recognize the costs of care under the models. A number of commenters expressed the view that the proposal will help avoid participants from constantly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against their prior success and better ensure that target prices decrease at a slower rate, which is critical for those providers that are already efficient, allow more viable financial targets for the participating providers that are better aligned with effective patient care. A commenter requested that CMS include these reconciliation payments and repayments in PY2 rather than PY3. Another commenter requested that CMS exclude Medicare repayments given that the targets would fall for hospitals that increased their spending to improve care, which then caused them to exceed their target prices.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supporting our proposal to include reconciliation and Medicare repayments when calculating historical EPM-episode payments to update EPM-episode benchmark and quality-adjusted target prices. We disagree with comments suggesting that we accelerate their inclusion to PY2 or to exclude Medicare repayments for these purposes. We would further note that since the historical data for determining PY1 and PY2 benchmarks is based on 2013 to 2015 expenditure data, the effects of a reconciliation determination for PY1, which is based on 2017 expenditure data, would not pertain to the data used to determine target prices for PY2. Moreover, given that reconciliation determinations are made 2 months after the completion of a performance year, it would not be possible to apply the PY1 reconciliation results to the PY2 benchmark data even if we were to adjust our timeframe for determining historical payments.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include both reconciliation payments and Medicare repayments when calculating historical EPM-episode payments to update EPM-episode benchmark and quality-adjusted target prices. The final policy for including reconciliation payments and Medicare repayments is included in § 512.300(c)(8).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EPM-Episode Price-Setting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Whether an EPM participant receives a reconciliation payment or is made responsible to repay Medicare under the EPM is based on the EPM participant's actual EPM-episode payments relative to quality-adjusted target prices, as well </w:t>
      </w:r>
      <w:r>
        <w:rPr>
          <w:rFonts w:ascii="arial" w:eastAsia="arial" w:hAnsi="arial" w:cs="arial"/>
          <w:b/>
          <w:i w:val="0"/>
          <w:strike w:val="0"/>
          <w:noProof w:val="0"/>
          <w:color w:val="000000"/>
          <w:position w:val="0"/>
          <w:sz w:val="20"/>
          <w:u w:val="none"/>
          <w:vertAlign w:val="baseline"/>
        </w:rPr>
        <w:t> [*300] </w:t>
      </w:r>
      <w:r>
        <w:rPr>
          <w:rFonts w:ascii="arial" w:eastAsia="arial" w:hAnsi="arial" w:cs="arial"/>
          <w:b w:val="0"/>
          <w:i w:val="0"/>
          <w:strike w:val="0"/>
          <w:noProof w:val="0"/>
          <w:color w:val="000000"/>
          <w:position w:val="0"/>
          <w:sz w:val="20"/>
          <w:u w:val="none"/>
          <w:vertAlign w:val="baseline"/>
        </w:rPr>
        <w:t xml:space="preserve"> as the EPM participant's eligibility for reconciliation payment based on acceptable, good, or excellent quality performance. While our proposals for relating EPM participant quality performance to EPM payments were further discussed in section III.E.3.f of the proposed rule </w:t>
      </w:r>
      <w:hyperlink r:id="rId9" w:history="1">
        <w:r>
          <w:rPr>
            <w:rFonts w:ascii="arial" w:eastAsia="arial" w:hAnsi="arial" w:cs="arial"/>
            <w:b w:val="0"/>
            <w:i/>
            <w:strike w:val="0"/>
            <w:noProof w:val="0"/>
            <w:color w:val="0077CC"/>
            <w:position w:val="0"/>
            <w:sz w:val="20"/>
            <w:u w:val="single"/>
            <w:vertAlign w:val="baseline"/>
          </w:rPr>
          <w:t>(81 FR 50887</w:t>
        </w:r>
      </w:hyperlink>
      <w:r>
        <w:rPr>
          <w:rFonts w:ascii="arial" w:eastAsia="arial" w:hAnsi="arial" w:cs="arial"/>
          <w:b w:val="0"/>
          <w:i w:val="0"/>
          <w:strike w:val="0"/>
          <w:noProof w:val="0"/>
          <w:color w:val="000000"/>
          <w:position w:val="0"/>
          <w:sz w:val="20"/>
          <w:u w:val="none"/>
          <w:vertAlign w:val="baseline"/>
        </w:rPr>
        <w:t xml:space="preserve"> through 50893), this section of the proposed rule discussed the approach to establishing EPM-episode benchmark and quality-adjusted target prices </w:t>
      </w:r>
      <w:hyperlink r:id="rId9" w:history="1">
        <w:r>
          <w:rPr>
            <w:rFonts w:ascii="arial" w:eastAsia="arial" w:hAnsi="arial" w:cs="arial"/>
            <w:b w:val="0"/>
            <w:i/>
            <w:strike w:val="0"/>
            <w:noProof w:val="0"/>
            <w:color w:val="0077CC"/>
            <w:position w:val="0"/>
            <w:sz w:val="20"/>
            <w:u w:val="single"/>
            <w:vertAlign w:val="baseline"/>
          </w:rPr>
          <w:t>(81 FR 50847</w:t>
        </w:r>
      </w:hyperlink>
      <w:r>
        <w:rPr>
          <w:rFonts w:ascii="arial" w:eastAsia="arial" w:hAnsi="arial" w:cs="arial"/>
          <w:b w:val="0"/>
          <w:i w:val="0"/>
          <w:strike w:val="0"/>
          <w:noProof w:val="0"/>
          <w:color w:val="000000"/>
          <w:position w:val="0"/>
          <w:sz w:val="20"/>
          <w:u w:val="none"/>
          <w:vertAlign w:val="baseline"/>
        </w:rPr>
        <w:t xml:space="preserve"> through 50864).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purposes of price-setting, any references in our proposed rule to AMI ICD-CM diagnosis codes meant those ICD-9-CM and ICD-10-CM diagnosis codes for historical EPM episodes or ICD-10-CM diagnosis codes for EPM episodes during the EPM performance years that can be found in the specific EPM episode definitions parameters spreadsheet. Also, for the purposes of price-setting, any references in the proposed rule to intracardiac ICD-CM procedure codes meant those ICD-9-CM procedure codes for historical EPM episodes that can be found in the specific EPM episode definitions parameters spreadsheet. The EPM episode definitions parameters spreadsheets are posted on the CMS Web site at </w:t>
      </w:r>
      <w:hyperlink r:id="rId46" w:history="1">
        <w:r>
          <w:rPr>
            <w:rFonts w:ascii="arial" w:eastAsia="arial" w:hAnsi="arial" w:cs="arial"/>
            <w:b w:val="0"/>
            <w:i/>
            <w:strike w:val="0"/>
            <w:noProof w:val="0"/>
            <w:color w:val="0077CC"/>
            <w:position w:val="0"/>
            <w:sz w:val="20"/>
            <w:u w:val="single"/>
            <w:vertAlign w:val="baseline"/>
          </w:rPr>
          <w:t>https://innovation.cms.gov/inititatives/epm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establish EPM-episode benchmark and quality-adjusted target prices for each EPM participant based on the following MS-DRGs and diagnoses included in the AMI, CABG, and SHFFT models as discussed in sections III.C.3 and III.C.4.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AMI model</w:t>
      </w:r>
    </w:p>
    <w:p>
      <w:pPr>
        <w:keepNext w:val="0"/>
        <w:numPr>
          <w:numId w:val="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AMI MS-DRGs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++ 280 (Acute myocardial infarction, discharged alive with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++ 281 (Acute myocardial infarction, discharged alive with 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++ 282 (Acute myocardial infarction, discharged alive without CC/MCC); and</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PCI MS-DRGs, when the claim includes an AMI ICD-CM diagnosis code in the principal or secondary position on the inpatient claim and when the claim does not include an intracardiac ICD-CM procedure code in any position on the inpatient claim--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++ 246 (Perc cardiovasc proc with drug-eluting stent with MCC or 4+ vessels/stents);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++ 247 (Perc cardiovasc proc with drug-eluting stent without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++ 248 (Perc cardiovasc proc with non-drug-eluting stent with MCC or 4+ vessels/stents);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++ 249 (Perc cardiovasc proc with non-drug-eluting stent without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++ 250 (Perc cardiovasc proc without coronary artery stent with MCC);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++ 251 (Perc cardiovasc proc without coronary artery stent without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CABG model DRGs--</w:t>
      </w:r>
    </w:p>
    <w:p>
      <w:pPr>
        <w:keepNext w:val="0"/>
        <w:numPr>
          <w:numId w:val="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231 (Coronary bypass with PTCA with MCC);</w:t>
      </w:r>
    </w:p>
    <w:p>
      <w:pPr>
        <w:keepNext w:val="0"/>
        <w:numPr>
          <w:numId w:val="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232 (Coronary bypass with PTCA without MCC);</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233 (Coronary bypass with cardiac cath with MCC);</w:t>
      </w:r>
    </w:p>
    <w:p>
      <w:pPr>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234 (Coronary bypass with cardiac cath without MCC);</w:t>
      </w:r>
    </w:p>
    <w:p>
      <w:pPr>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235 (Coronary bypass without cardiac cath with MCC); and</w:t>
      </w:r>
    </w:p>
    <w:p>
      <w:pPr>
        <w:keepNext w:val="0"/>
        <w:numPr>
          <w:numId w:val="2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236 (Coronary bypass without cardiac cath without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SHFFT model DRGs--</w:t>
      </w:r>
    </w:p>
    <w:p>
      <w:pPr>
        <w:keepNext w:val="0"/>
        <w:numPr>
          <w:numId w:val="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480 (Hip and femur procedures except major joint with MCC);</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481 (Hip and femur procedures except major joint with CC); and</w:t>
      </w:r>
    </w:p>
    <w:p>
      <w:pPr>
        <w:keepNext w:val="0"/>
        <w:numPr>
          <w:numId w:val="2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482 (Hip and femur procedures except major joint without CC or MCC).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generally apply the CJR model methodology to set EPM-episode benchmark and quality-adjusted target prices </w:t>
      </w:r>
      <w:hyperlink r:id="rId21" w:history="1">
        <w:r>
          <w:rPr>
            <w:rFonts w:ascii="arial" w:eastAsia="arial" w:hAnsi="arial" w:cs="arial"/>
            <w:b w:val="0"/>
            <w:i/>
            <w:strike w:val="0"/>
            <w:noProof w:val="0"/>
            <w:color w:val="0077CC"/>
            <w:position w:val="0"/>
            <w:sz w:val="20"/>
            <w:u w:val="single"/>
            <w:vertAlign w:val="baseline"/>
          </w:rPr>
          <w:t>(80 FR 73337</w:t>
        </w:r>
      </w:hyperlink>
      <w:r>
        <w:rPr>
          <w:rFonts w:ascii="arial" w:eastAsia="arial" w:hAnsi="arial" w:cs="arial"/>
          <w:b w:val="0"/>
          <w:i w:val="0"/>
          <w:strike w:val="0"/>
          <w:noProof w:val="0"/>
          <w:color w:val="000000"/>
          <w:position w:val="0"/>
          <w:sz w:val="20"/>
          <w:u w:val="none"/>
          <w:vertAlign w:val="baseline"/>
        </w:rPr>
        <w:t xml:space="preserve"> through 73338), with the addition of some adjustments based on the specific clinical conditions and care patterns for EPM episodes included in the AMI, CABG, and SHFFT models. The price-setting methodology incorporated the following features:</w:t>
      </w:r>
    </w:p>
    <w:p>
      <w:pPr>
        <w:keepNext w:val="0"/>
        <w:numPr>
          <w:numId w:val="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different EPM benchmark and quality-adjusted target prices for EPM episodes based on the assigned price MS-DRG in one of the included MS-DRGs to account for patient and clinical variations that impact EPM participants' costs of providing care. Inpatient claims with PCI MS-DRGs 246-251 that contain an intracardiac ICD-CM procedure code in any position would not anchor an historical episode, nor be considered when assigning a price MS-DRG. This is because beginning in FY 2016, inpatient claims containing an intracardiac ICD-10-CM procedure code in any position no longer map to MS-DRGs 246-251.</w:t>
      </w:r>
    </w:p>
    <w:p>
      <w:pPr>
        <w:keepNext w:val="0"/>
        <w:numPr>
          <w:numId w:val="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Adjust EPM benchmark and quality-adjusted target prices for certain EPM episodes involving chained anchor hospitalizations, specific readmissions, or the presence of an AMI ICD-CM diagnosis code for CABG MS-DRGs.</w:t>
      </w:r>
    </w:p>
    <w:p>
      <w:pPr>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3 years of historical Medicare FFS payment data grouped into EPM episodes according to the EPM episode definitions in sections III.C.3 and III.C.4. of the proposed rule, termed historical EPM episodes and historical EPM-episode payments. The specific set of 3 historical years would be updated every other performance year.</w:t>
      </w:r>
    </w:p>
    <w:p>
      <w:pPr>
        <w:keepNext w:val="0"/>
        <w:numPr>
          <w:numId w:val="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Apply Medicare payment system (for example, IPPS, OPPS, IRF PPS, SNF, MPFS.) updates to the historical EPM-episode data to ensure we incentivize EPM participants based on historical utilization and practice patterns, not Medicare payment system rate changes that are beyond such participants' control. Because different Medicare payment system updates become effective at two different times of the year, we would calculate one set of EPM-benchmark and quality-adjusted target prices for EPM episodes initiated between January 1 and September 30 and another set for EPM episodes initiated between October 1 and December 31.</w:t>
      </w:r>
    </w:p>
    <w:p>
      <w:pPr>
        <w:keepNext w:val="0"/>
        <w:numPr>
          <w:numId w:val="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Blend together EPM-participant hospital-specific and regional historical EPM-episode payments, transitioning from primarily hospital-specific to completely regional pricing over the course of the 5 performance years, to incentivize both historically-efficient and less-efficient EPM participants to furnish high quality, efficient care in all years of the EPM Regions would be defined as each of the nine U.S. Census divisions.</w:t>
      </w:r>
    </w:p>
    <w:p>
      <w:pPr>
        <w:keepNext w:val="0"/>
        <w:numPr>
          <w:numId w:val="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Normalize for hospital-specific wage-adjustment variations in Medicare payment systems when combining hospital-specific and regional historical EPM episodes.</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Pool together EPM episodes by groups of price MS-DRGs to allow a greater volume of historical cases and allow us to set more stable prices.</w:t>
      </w:r>
    </w:p>
    <w:p>
      <w:pPr>
        <w:keepNext w:val="0"/>
        <w:numPr>
          <w:numId w:val="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Apply an effective discount factor on EPM-episode benchmark prices to serve as Medicare's portion of reduced expenditures from the EPM episode, with any remaining portion of reduced Medicare spending below the quality-adjusted target price potentially available as reconciliation payments to the EPM participant where the anchor hospitalization occurred.</w:t>
      </w:r>
    </w:p>
    <w:p>
      <w:pPr>
        <w:keepNext w:val="0"/>
        <w:numPr>
          <w:numId w:val="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Further discussion on each of the features and sequential steps to calculate EPM-episode benchmark and quality-adjusted target prices can be found in sections III.D.4.b through e. of both our proposed rule and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proposed to calculate and communicate EPM-episode benchmark and quality-adjusted target prices to EPM participants prior to the performance period in which the prices apply (that is, prior to January 1, 2018, for prices covering EPM episodes that start between January 1, 2018, and September 30, 2018; prior to October 1, 2018, for prices covering EPM episodes that start between October 1, 2018, and December 31, 2018). We stated our belief that prospectively communicating </w:t>
      </w:r>
      <w:r>
        <w:rPr>
          <w:rFonts w:ascii="arial" w:eastAsia="arial" w:hAnsi="arial" w:cs="arial"/>
          <w:b/>
          <w:i w:val="0"/>
          <w:strike w:val="0"/>
          <w:noProof w:val="0"/>
          <w:color w:val="000000"/>
          <w:position w:val="0"/>
          <w:sz w:val="20"/>
          <w:u w:val="none"/>
          <w:vertAlign w:val="baseline"/>
        </w:rPr>
        <w:t> [*301] </w:t>
      </w:r>
      <w:r>
        <w:rPr>
          <w:rFonts w:ascii="arial" w:eastAsia="arial" w:hAnsi="arial" w:cs="arial"/>
          <w:b w:val="0"/>
          <w:i w:val="0"/>
          <w:strike w:val="0"/>
          <w:noProof w:val="0"/>
          <w:color w:val="000000"/>
          <w:position w:val="0"/>
          <w:sz w:val="20"/>
          <w:u w:val="none"/>
          <w:vertAlign w:val="baseline"/>
        </w:rPr>
        <w:t xml:space="preserve"> EPM-episode benchmark and quality-adjusted target prices to EPM participants would help them make infrastructure, care coordination and delivery, and financial refinements they may deem appropriate to prepare for the new episode target prices under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prospectively communicate quality-adjusted target prices was included in § 512.300(c)(9). We sought comment on our proposal to prospectively communicate these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supported the proposal to establish and prospectively communicate benchmark and quality-adjusted target prices. Commenters also expressed concerns about how far in advance the information would be made available and the level of detail that would be included in the information. Commenters indicated that knowing the target price prior to the relevant performance period is essential for participants to be able to implement efficient care redesigns linked explicitly to established payment rates. As such, commenters requested that CMS provide this information 60 to 90 days prior to the start of the relevant performance period. Other commenters requested that CMS make all of the components necessary to calculate the target price for both the CJR model and proposed EPMs available to participants so they can verify that CMS accurately calculated the target price as some CJR participants have reported an inability to replicate the target price calculation due to CMS' use of "black box" inputs for certain national factors.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and support we received for our proposal to prospectively communicate benchmark and quality-adjusted target prices, agree with commenters on the importance of having this information in advance of each performance year, and intend to make as much information available as we deem appropriate to participants as far in advance of the models' implementation as is possible.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annually reevaluate and update the price-setting assumptions through a notice and comment process. One of these commenters reported that the proposal to make historical claims data available before implementation of the models would still not give hospitals an opportunity to comment on problems with the methodology until after the models had begun. Another commenter based their request on significant and unexplained changes in prices reported under BPCI and the Pioneer ACO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these comments and suggestions. We believe the information we provided in both our proposed and this final rule is sufficiently detailed for participants to understand our assumptions and methodology for setting target prices. In the event we intend to materially change our price-setting assumptions or methodology, we would make those proposed changes available through a notice and comment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prospectively communicate quality-adjusted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EPM-Episode Benchmark and Quality-Adjusted Target Price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Risk-Stratifying EPM-Episode Benchmark Prices Based on MS-DRG and Diagnosis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account for some of the clinical and resource variations that would be expected to occur under the EPMs, we proposed generally to apply the episode pricing methodology that was applied to the CJR model to develop the EPM-episode benchmark prices, which we referred to as the standard EPM-episode benchmark price </w:t>
      </w:r>
      <w:hyperlink r:id="rId9" w:history="1">
        <w:r>
          <w:rPr>
            <w:rFonts w:ascii="arial" w:eastAsia="arial" w:hAnsi="arial" w:cs="arial"/>
            <w:b w:val="0"/>
            <w:i/>
            <w:strike w:val="0"/>
            <w:noProof w:val="0"/>
            <w:color w:val="0077CC"/>
            <w:position w:val="0"/>
            <w:sz w:val="20"/>
            <w:u w:val="single"/>
            <w:vertAlign w:val="baseline"/>
          </w:rPr>
          <w:t>(81 FR 50848).</w:t>
        </w:r>
      </w:hyperlink>
      <w:r>
        <w:rPr>
          <w:rFonts w:ascii="arial" w:eastAsia="arial" w:hAnsi="arial" w:cs="arial"/>
          <w:b w:val="0"/>
          <w:i w:val="0"/>
          <w:strike w:val="0"/>
          <w:noProof w:val="0"/>
          <w:color w:val="000000"/>
          <w:position w:val="0"/>
          <w:sz w:val="20"/>
          <w:u w:val="none"/>
          <w:vertAlign w:val="baseline"/>
        </w:rPr>
        <w:t xml:space="preserve"> In addition, for each EPM participant, we proposed to risk-stratify and establish special EPM-episode benchmark prices for episodes in different pricing scenarios as described in this section, as well as sections III.D.4.c. through e. of the proposed rule </w:t>
      </w:r>
      <w:hyperlink r:id="rId9" w:history="1">
        <w:r>
          <w:rPr>
            <w:rFonts w:ascii="arial" w:eastAsia="arial" w:hAnsi="arial" w:cs="arial"/>
            <w:b w:val="0"/>
            <w:i/>
            <w:strike w:val="0"/>
            <w:noProof w:val="0"/>
            <w:color w:val="0077CC"/>
            <w:position w:val="0"/>
            <w:sz w:val="20"/>
            <w:u w:val="single"/>
            <w:vertAlign w:val="baseline"/>
          </w:rPr>
          <w:t>(81 FR 50848</w:t>
        </w:r>
      </w:hyperlink>
      <w:r>
        <w:rPr>
          <w:rFonts w:ascii="arial" w:eastAsia="arial" w:hAnsi="arial" w:cs="arial"/>
          <w:b w:val="0"/>
          <w:i w:val="0"/>
          <w:strike w:val="0"/>
          <w:noProof w:val="0"/>
          <w:color w:val="000000"/>
          <w:position w:val="0"/>
          <w:sz w:val="20"/>
          <w:u w:val="none"/>
          <w:vertAlign w:val="baseline"/>
        </w:rPr>
        <w:t xml:space="preserve"> through 50864). For purposes of the proposed rule, risk-stratification meant the methodology for developing the EPM-episode benchmark price that accounts for clinical and resource variation in historical EPM episodes so that the quality-adjusted target price (calculated from the EPM-episode benchmark price) can be compared to actual EPM episode payments for EPM beneficiaries with similar care needs to those in historical EPM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SHFFT model, we proposed to set the price MS-DRG equal to the anchor MS-DRG. We proposed to calculate standard SHFFT model-episode benchmark prices based on price MS-DRGs following the general payment methodology that was applied to the CJR model </w:t>
      </w:r>
      <w:hyperlink r:id="rId21" w:history="1">
        <w:r>
          <w:rPr>
            <w:rFonts w:ascii="arial" w:eastAsia="arial" w:hAnsi="arial" w:cs="arial"/>
            <w:b w:val="0"/>
            <w:i/>
            <w:strike w:val="0"/>
            <w:noProof w:val="0"/>
            <w:color w:val="0077CC"/>
            <w:position w:val="0"/>
            <w:sz w:val="20"/>
            <w:u w:val="single"/>
            <w:vertAlign w:val="baseline"/>
          </w:rPr>
          <w:t>(80 FR 73337</w:t>
        </w:r>
      </w:hyperlink>
      <w:r>
        <w:rPr>
          <w:rFonts w:ascii="arial" w:eastAsia="arial" w:hAnsi="arial" w:cs="arial"/>
          <w:b w:val="0"/>
          <w:i w:val="0"/>
          <w:strike w:val="0"/>
          <w:noProof w:val="0"/>
          <w:color w:val="000000"/>
          <w:position w:val="0"/>
          <w:sz w:val="20"/>
          <w:u w:val="none"/>
          <w:vertAlign w:val="baseline"/>
        </w:rPr>
        <w:t xml:space="preserve"> through 73358) with risk stratification according to the anchor MS-DRG.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for AMI model episodes without chained anchor hospitalizations and without readmissions for CABG MS-DRGs, we proposed to set the price MS-DRG equal to the anchor MS-DRG. We proposed to calculate standard AMI model-episode benchmark prices based on price MS-DRGs following the general payment methodology that was applied to the CJR model </w:t>
      </w:r>
      <w:hyperlink r:id="rId21" w:history="1">
        <w:r>
          <w:rPr>
            <w:rFonts w:ascii="arial" w:eastAsia="arial" w:hAnsi="arial" w:cs="arial"/>
            <w:b w:val="0"/>
            <w:i/>
            <w:strike w:val="0"/>
            <w:noProof w:val="0"/>
            <w:color w:val="0077CC"/>
            <w:position w:val="0"/>
            <w:sz w:val="20"/>
            <w:u w:val="single"/>
            <w:vertAlign w:val="baseline"/>
          </w:rPr>
          <w:t>(80 FR 73337</w:t>
        </w:r>
      </w:hyperlink>
      <w:r>
        <w:rPr>
          <w:rFonts w:ascii="arial" w:eastAsia="arial" w:hAnsi="arial" w:cs="arial"/>
          <w:b w:val="0"/>
          <w:i w:val="0"/>
          <w:strike w:val="0"/>
          <w:noProof w:val="0"/>
          <w:color w:val="000000"/>
          <w:position w:val="0"/>
          <w:sz w:val="20"/>
          <w:u w:val="none"/>
          <w:vertAlign w:val="baseline"/>
        </w:rPr>
        <w:t xml:space="preserve"> through 73358) with risk stratification according to the anchor MS-DRG. We proposed to apply the CJR model payment methodology separately to AMI model episodes with anchor AMI MS-DRGs 280 through 282 and anchor PCI MS-DRGs 246 through 251 with a corresponding AMI ICD-CM diagnosis code on the inpatient claim for the anchor hospitalization and without an intracardiac ICD-CM procedure code in any position on the inpatient claim for the anchor hospitalization.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episodes in the AMI model with chained anchor hospitalizations and no readmissions for CABG MS-DRGs, we proposed to set the price MS-DRG based on the hierarchy described in section III.D.4.b.(2)(a) and to calculate AMI model-episode benchmark prices based on price MS-DRGs as described in sections III.D.4.b.(2)(a) and III.D.4.c.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AMI model episodes without chained anchor hospitalizations and with readmissions for CABG MS-DRGs, we proposed to set the price MS-DRG as the anchor MS-DRG and to calculate CABG readmission AMI model-episode benchmark prices as described in sections III.D.4.b.(2)(b), III.D.4.b.(2)(c), and III.D.4.e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AMI model episodes with chained anchor hospitalizations that do not include CABG MS-DRGs and with readmissions for CABG MS-DRGs, we proposed to set the price MS-DRG based on the hierarchy described in section III.D.4.b.(2)(a) and to calculate CABG readmission AMI model-episode benchmark prices as described in sections III.D.4.b.(2)(b), III.D.4.b.(2)(c), and III.D.4.e.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CABG model episodes, we proposed to set the price MS-DRG as the anchor MS-DRG and to calculate CABG model-episode benchmark prices as the sum of the CABG anchor hospitalization portion price and the CABG post-anchor hospitalization portion price, which would be calculated by applying the general payment methodology that was applied to the CJR model </w:t>
      </w:r>
      <w:hyperlink r:id="rId21" w:history="1">
        <w:r>
          <w:rPr>
            <w:rFonts w:ascii="arial" w:eastAsia="arial" w:hAnsi="arial" w:cs="arial"/>
            <w:b w:val="0"/>
            <w:i/>
            <w:strike w:val="0"/>
            <w:noProof w:val="0"/>
            <w:color w:val="0077CC"/>
            <w:position w:val="0"/>
            <w:sz w:val="20"/>
            <w:u w:val="single"/>
            <w:vertAlign w:val="baseline"/>
          </w:rPr>
          <w:t>(80 FR 73337</w:t>
        </w:r>
      </w:hyperlink>
      <w:r>
        <w:rPr>
          <w:rFonts w:ascii="arial" w:eastAsia="arial" w:hAnsi="arial" w:cs="arial"/>
          <w:b w:val="0"/>
          <w:i w:val="0"/>
          <w:strike w:val="0"/>
          <w:noProof w:val="0"/>
          <w:color w:val="000000"/>
          <w:position w:val="0"/>
          <w:sz w:val="20"/>
          <w:u w:val="none"/>
          <w:vertAlign w:val="baseline"/>
        </w:rPr>
        <w:t xml:space="preserve"> through 73358) separately to the expenditures that occurred during the anchor hospitalization of the CABG model episode and to the expenditures that occurred after the anchor hospitalization as discussed in sections III.D.4.b.(2)(b) and III.D.4.d. of the proposed rule. </w:t>
      </w:r>
      <w:r>
        <w:rPr>
          <w:rFonts w:ascii="arial" w:eastAsia="arial" w:hAnsi="arial" w:cs="arial"/>
          <w:b/>
          <w:i w:val="0"/>
          <w:strike w:val="0"/>
          <w:noProof w:val="0"/>
          <w:color w:val="000000"/>
          <w:position w:val="0"/>
          <w:sz w:val="20"/>
          <w:u w:val="none"/>
          <w:vertAlign w:val="baseline"/>
        </w:rPr>
        <w:t> [*302]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proposed that after assigning an EPM-episode benchmark price to each EPM episode, the EPM-episode quality-adjusted target price would be the EPM-episode benchmark price reduced by the effective discount factor for the corresponding EPM that corresponds to the EPM participant's quality category, as discussed in sections III.D.4.b.(10) and III.E.3.f.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commended CMS for attempting to create a target price methodology that accounts for the variations in episode spending that are characteristic of these specific clinical scenarios while other commenters noted that the complexity of the proposals made it difficult to evaluate them. Several commenters disagreed with the proposal to base prices on MS-DRGs or anticipated that they could result in unintended consequences. For example, commenters noted concerns that it would be challenging to generate sufficient savings where a sizeable portion of episode costs are embedded in the MS-DRG costs attributed to the initial hospitalization and cannot be changed by hospitals' performance. Other commenters noted that the higher payments associated with higher-weighted MS-DRGs could serve as a disincentive to participants from making quality improvements or to reduce complications because they would be paid more when there are complications that raise the MS-DRG, but paid less when quality improvements they made resulted in a lower cost MS-DRG where only CMS rather than the hospital benefitted from the reduced costs. Likewise, several commenters claimed that participant coding behavior could result in similar unintended consequences. As such, several commenters recommended that CMS consider a price-setting methodology that removes the MS-DRG payment from the target price or mitigates coding effects from the calculations or differentially weights cost components that would be "locked in" to the episode spending.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purpose of our models is to test EPMs within the existing parameters and payment systems of FFS Medicare. As we noted in section III.A.1.c. of this final rule, issues such as those commenters raised are generally present for every episode payment model that sets a price Medicare will pay for an episode-of-care. While our models are not intended to change these existing FFS payment systems, we intend that by incorporating both the MS-DRG payment and Part B services furnished during the anchor inpatient hospitalization, the EPMs will create incentives for increased care coordination and efficient care delivery from the time of inpatient admission through 90 days after discharge. Moreover, we hope the EPMs can identify the effectiveness of a bundled payment model within those parameters as well as the factors that could impede success. As discussed further in sections III.G.4. through III.G.6. of this final rule, we will monitor access to care, the quality of care, and delayed care under the EPMs and may take actions against EPM participants if we find evidence that supports concerns in these areas. In addition, the evaluation as discussed in section IV. of this final rule will analyze beneficiary outcomes and their relationship to clinical pathways under the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addressed EPM payments under the SHFFT model. One commenter noted that the proposed SHFFT model would include beneficiaries discharged under hip and femur procedures except major joint replacement MS-DRGs (480-482), representing IPPS admissions for hip fixation procedures in the setting of hip fractures. As these procedures are emergent rather than elective, they would have more risk to manage than would an elective LEJR and would more often require a SNF stay and non-weight bearing status for weeks, which results in higher costs than for an elective procedure. The commenter questioned whether such non-elective procedures would have a higher benchmark price and expressed concerns that bundled payment models are potentially less successful for non-elective procedures which they believe require more time for planning and rehabilitation.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suggested that the differences in severity and fracture type for episodes under the SHFFT model are not adequately represented by the three MS-DRGs we proposed. One of these commenters requested additional separate target prices as CMS had done for the CJR model, which would serve as a rough form of risk-adjustment and would make it easier for hospitals to devise protocols and strategies best suited to fracture type. Another commenter suggested that since patients who experience SHFFT episodes often require lengthier and more complicated care, and typically require longer post-acute care than those receiving joint replacement, the calculation of target prices should also take into account the proportion of SHFFT episodes included in the bundle in order to most accurately capture the risk of SHFFT episodes. One commenter recommended that CMS adopt transfer mechanisms within the SHFFT model, including price adjustments, which are similar to those proposed for inpatient-to-inpatient hospital transfers under the AMI model but that the receiving hospital would bear the risk if a SHFFT patient is transferred to that hospital.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proposed to set prices based on anchor MS-DRGs, which implicitly adjust payments based on their relative weights with respect to the IPPS resources required for that MS-DRG. For example, average episode expenditures for historical SHFFT episodes increases from roughly $ 36,000 in episodes with anchor MS-DRG 482 to more than $ 52,000 for episodes with anchor MS-DRG 480. n77 Further, our benchmark prices would reflect the historic costs of post-acute care associated with these MS-DRGs. If historic post-acute care costs for the emergent MS-DRG are higher than those for a similar elective MS-DRG, then those higher resources would be reflected in and produce a larger increase in the benchmark amount than would be the case for the elective procedure. We would also note that as discussed in section III.D.4.b.(2) which follows, we will be exploring additional options to adjust benchmark prices and performance payments to better account for cost variation associated with risk. These adjustments, which we intend to be effective beginning in PY3, should further account for some of the potential variation in costs across episodes as has been highlighted. We disagree with the view that a bundled payment would be any less effective with an emergent than an elective procedure. Our proposed models are intended to encourage changes and improvements in participants' care practices, in general, with respect to the episodes covered under the models, which we believe would apply regardless of whether the episode is elective or emergent.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 Episodes for SHFFT model beneficiaries initiated by all U.S. IPPS hospitals and constructed using standardized Medicare FFS Parts A and B claims, as proposed in this rule that began in CYs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section III.D.4.b.2.(a), we are not finalizing our proposal with regard to inpatient-to-inpatient transfers for AMI episodes. For AMI model episodes alone, we will cancel the AMI episode that begins at the initial treating hospital when an inpatient-to-inpatient transfer occurs during the anchor hospitalization. For CABG and SHFFT model episodes, once the episode begins and an inpatient-to-inpatient transfer occurs, the episode will continue and </w:t>
      </w:r>
      <w:r>
        <w:rPr>
          <w:rFonts w:ascii="arial" w:eastAsia="arial" w:hAnsi="arial" w:cs="arial"/>
          <w:b/>
          <w:i w:val="0"/>
          <w:strike w:val="0"/>
          <w:noProof w:val="0"/>
          <w:color w:val="000000"/>
          <w:position w:val="0"/>
          <w:sz w:val="20"/>
          <w:u w:val="none"/>
          <w:vertAlign w:val="baseline"/>
        </w:rPr>
        <w:t> [*303] </w:t>
      </w:r>
      <w:r>
        <w:rPr>
          <w:rFonts w:ascii="arial" w:eastAsia="arial" w:hAnsi="arial" w:cs="arial"/>
          <w:b w:val="0"/>
          <w:i w:val="0"/>
          <w:strike w:val="0"/>
          <w:noProof w:val="0"/>
          <w:color w:val="000000"/>
          <w:position w:val="0"/>
          <w:sz w:val="20"/>
          <w:u w:val="none"/>
          <w:vertAlign w:val="baseline"/>
        </w:rPr>
        <w:t xml:space="preserve"> the hospitalization at the transfer hospital will be included or excluded from the CABG or SHFFFT episode based on whether or not the MS-DRG for the admission at the transfer hospital is excluded from the CABG or SHFFT episode definition.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stated that the proposed EPMs do not adequately account for research and teaching functions and that CMS should adjust payments to account for the overhead associated with these functions.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that our proposed models should include additional payment adjustments for research and teaching function beyond the payments Medicare already makes for these purposes under the IPPS. In contrast, we believe that participants should seek improved care quality and efficiencies as broadly as is possible, including any that can be attained with research or teaching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noted their view that all providers should have EHR capability, including the ability to share EHR data across sites of service in order to speed decision-making and eliminate duplication of effort. The commenter suggested that CMS include incentive funds to assist post-acute care providers in implementing a robust EHR system and tools to share the data with other providers. Similarly, a commenter suggested that the proposed models will require technology and services for monitoring care during a post-acute care stay, and that CMS should incentivize the use of such technology and services. The commenter recommended that CMS should pay for remote patient monitoring using the CPT-code 94040, which is similar to what is done in certain state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EHR capability and monitoring technologies can be useful tools toward improving care coordination and care quality; however, our models are based on incentives to improve care quality and efficiency, with a goal of improving control of cost growth. We do not believe that adding funding to encourage further adoption of technologies under the models is consistent with our goals. However, we would note that to the extent a participant establishes sharing arrangements with post-acute care collaborators under the models, those collaborators could choose to use such shared funds for purposes of improving their EHR or monitoring capacities.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As discussed in section III.C.3.b. of this final rule, one commenter pointed to evidence demonstrating that the use of drug-eluting stents (DESs) results in better long-term outcomes in many patients and fewer repeat procedures for in-stent restenosis than do less costly non-drug eluting stents. The commenter expressed concern that while the costs of these more expensive stents would be captured in the episode cost calculation, the long-term benefit for patients both in terms of outcomes and costs would not be fully captured in the 90-day post-discharge episode period and hence discourage the appropriate use of DES by causing fewer patients to receive them, resulting in poorer outcomes and increased cost growth. The commenter requested that CMS consider various means so to ensure the 90-day post-discharge episode target price does not discourage the longer term outcomes that are better for Medicare beneficiaries and potentially overall savings for CMS. Another commenter requested an adjustment or additional financial protection for costs associated with the implantation of an Implantable Cardioverter Defibrillator (ICD) given strong empirical support and its Class I recommendation for prevention of sudden cardiac death for certain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another commenter recommended that CMS include a payment adjustment such as an additional outlier or add-on payment for using new technology, having higher cost cases, or adopting a breakthrough/high cost treatment in advance of other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one commenter recommended that CMS coordinate with the device industry to create a process wherein the use and associated cost of new technologies can be added to episodes of care definitions on a routine basis and modify the proposal to ensure that providers have financial incentives to provide optimal care for high-risk patients with severe coronary artery disease even if the initial treatment episode has a higher cost. The commenter expressed concern that insufficient data were available at this time to inform a clinical guideline recommendation with regard to the optimal timing of non-culprit vessel PCI, and the proposed payment bundles could encourage procedures that may not provide the best clinical outcomes for Medicare beneficiaries but instead have financial benefits with respect to the target price. As guidelines change based on available data, CMS should consider potential adjustments to reconciliation to the episodes quality adjusted target prices based on guideline changes.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we noted in section III.C.3.b. of this final rule, Medicare payment for coronary stents, whether bare metal or DES, used during a PCI performed during a hospitalization are included in the IPPS payment for the inpatient hospitalization. While they are not paid separately by Medicare, payment for the required resources would be included in AMI episodes because the IPPS services for the anchor hospitalization are included in the episodes. We propose to risk-stratify EPM-episode prices based on MS-DRG as discussed in section III.D.4.b.(1) of this final rule and there are separate MS-DRGs for PCIs that use DES (246 and 247) and non-DES (248 and 249) for which there would be separate AMI episode prices. Therefore, we do not believe that the financial incentives under the AMI model encourage the use of any specific coronary stent because the episode prices take into consideration the IPPS payment for the specific MS-DRG that applies to the AMI model beneficiary. We do not expect the AMI model to discourage the appropriate use of DES. We would also note, as stated in section III.D.4.b.(2), we will be exploring additional mechanisms to risk adjust payments that should become available beginning in PY3. We believe that these adjustments will provide participants further protections that should help mitigate the concerns commenters raised.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we do not agree with comments requesting payments in addition to those currently made available when participants adopt specific or new technologies, provide services for high-cost cases, or adopt breakthrough technologies. The purposes of the proposed models are to improve care quality and efficiency while better controlling Medicare cost growth within a FFS framework. As such, the models seek to achieve these goals to the greatest extent possible within the regulatory framework that applies within FFS Medicare, and are not intended to create new or substitute payment mechanisms or processes for establishing new payments under FFS Medicare.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recommended that when establishing episode target payments, price calculations should incorporate clinical practice guidelines and appropriate use criteria that are endorsed by all stakeholders to ensure that patients are not receiving inadequate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with the recommendation that prices should include clinical practice guidelines as, to the contrary, they are based on Medicare FFS payments and their historical utilization for services included in the EPMs, and should not </w:t>
      </w:r>
      <w:r>
        <w:rPr>
          <w:rFonts w:ascii="arial" w:eastAsia="arial" w:hAnsi="arial" w:cs="arial"/>
          <w:b/>
          <w:i w:val="0"/>
          <w:strike w:val="0"/>
          <w:noProof w:val="0"/>
          <w:color w:val="000000"/>
          <w:position w:val="0"/>
          <w:sz w:val="20"/>
          <w:u w:val="none"/>
          <w:vertAlign w:val="baseline"/>
        </w:rPr>
        <w:t> [*304] </w:t>
      </w:r>
      <w:r>
        <w:rPr>
          <w:rFonts w:ascii="arial" w:eastAsia="arial" w:hAnsi="arial" w:cs="arial"/>
          <w:b w:val="0"/>
          <w:i w:val="0"/>
          <w:strike w:val="0"/>
          <w:noProof w:val="0"/>
          <w:color w:val="000000"/>
          <w:position w:val="0"/>
          <w:sz w:val="20"/>
          <w:u w:val="none"/>
          <w:vertAlign w:val="baseline"/>
        </w:rPr>
        <w:t xml:space="preserve"> include specifications reflecting normative criteria regarding clinical practice guidelines, which could be overly prescriptive for EPM participants and provides and suppliers treating EPM beneficiaries. That said, we would assume that EPM participants would be following clinical practice guidelines as we would expect should also be the case for services and paid under the Medicare FFS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a comment suggesting that CMS make payment adjustments for cases where a beneficiary receives the majority of their post-acute care in a different MSA from the MSA in which the anchor hospitalization occurred. The commenter presented an example where a beneficiary with an anchor hospitalization in Massachusetts receives post-acute care in Florida. In their view, the MSA in Florida could have higher service utilization and spending than the Massachusetts MSA given different care practices. Further, the commenter believed it was unlikely that the hospital in Massachusetts could have influence on a provider in another distant MSA. The commenter recommended a payment adjustment to both avoid penalizing hospitals in the initiating MSA and to help in not deterring tertiary care facilities from accepting patients that could not receive necessary care in their own distant MSA.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noted in section III.C.4.a. of this final rule, we recognize that in occasional circumstances, EPM participants may have limited ability to coordinate care, but that we generally expect that much of the subsequent coordination of post-acute care services and other related services for EPM beneficiaries during the 90 days post-discharge can be accomplished through telecommunications that do not require the patient to remain within the geographic proximity of the hospital responsible for the EPM episode. In that section, we also noted that the design of the EPMs does not preclude hospitals from coordinating care with other providers outside of their immediate service area, that most EPM participants have the tools to engage in effective remote care coordination that results in high quality episode care, and that we finalized several waivers of Medicare program rules, as discussed in section III.J. of this final rule, to facilitate efficient and effective episode care coordination for beneficiaries in remote or distant locations outside of the EPM participant's immediate community. We also finalized policies for financial arrangements in section III.I. of this final rule that allow EPM participants to share upside and downside financial risk with a variety of individuals and entities who collaborate with the EPM participant in redesigning care and caring for EPM beneficiaries, regardless of the geographic proximity of these individuals and entities to the EPM participant. Through financial arrangements, EPM participants could align the financial incentives of providers in the EPM beneficiary's home community with the goals of the EPM participant to improve the quality and reduce the cost of EPM episodes. Therefore, we do not believe it is necessary to make a payment adjustment when a beneficiary receives post-acute care in a different MSA from the MSA in which the anchor hospitalization occurred. However, we plan to monitor these occurrences and could consider modifying our policy should that be determined appropriate.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that CMS include more flexibility with respect to payments for post-acute care services under the models. For example, some commenters noted that while Medicare payments for inpatient rehabilitation facility or long-term care hospital services are based on a prospective amount, payments for skilled nursing facility services are less "encompassing" and are based on a per diem amount. Commenters suggested that these differences can create an unequal playing field and prevent efficiencies that are realized from being reflected in payments. As such, commenters requested that CMS identify flexibilities so that payments among a broader array of post-acute care providers could more closely reflect any efficiencies that are realized, for example, through payments on a per diem basis or at a reduced rate.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suggestions commenters offered to better align payments across post-acute care providers. We will not be adopting these suggestions for purposes of these models as, to the greatest extent possible, we want to test the effects of bundled payments within the existing FFS Medicare framework. We will consider the applicability of the suggestions offered, however, as we explore future models that involve payments for post-acute care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Adjustments To Account for EPM-Episode Price Variation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considered further adjustments to account for clinical and resource variation that could affect EPM participants' costs for EPM episodes. As was the case for the CJR model </w:t>
      </w:r>
      <w:hyperlink r:id="rId21" w:history="1">
        <w:r>
          <w:rPr>
            <w:rFonts w:ascii="arial" w:eastAsia="arial" w:hAnsi="arial" w:cs="arial"/>
            <w:b w:val="0"/>
            <w:i/>
            <w:strike w:val="0"/>
            <w:noProof w:val="0"/>
            <w:color w:val="0077CC"/>
            <w:position w:val="0"/>
            <w:sz w:val="20"/>
            <w:u w:val="single"/>
            <w:vertAlign w:val="baseline"/>
          </w:rPr>
          <w:t>(80 FR 73338</w:t>
        </w:r>
      </w:hyperlink>
      <w:r>
        <w:rPr>
          <w:rFonts w:ascii="arial" w:eastAsia="arial" w:hAnsi="arial" w:cs="arial"/>
          <w:b w:val="0"/>
          <w:i w:val="0"/>
          <w:strike w:val="0"/>
          <w:noProof w:val="0"/>
          <w:color w:val="000000"/>
          <w:position w:val="0"/>
          <w:sz w:val="20"/>
          <w:u w:val="none"/>
          <w:vertAlign w:val="baseline"/>
        </w:rPr>
        <w:t xml:space="preserve"> through 73339), we stated our belief that no standard risk adjustment approach that is widely-accepted throughout the nation exists for the proposed EPM episodes. Thus, we did not propose to make risk adjustments based on beneficiary-specific demographic characteristics or clinical indicators. Likewise, we questioned whether CMS Hierarchical Condition Categories (HCC) used to adjust for risk in the Medicare Advantage program would be appropriate for risk-adjusting EPM episodes as such categories are used to predict total Medicare expenditures in an upcoming year for MA plans and may not be appropriate for use in predicting expenditures over a shorter period of time, such as the EPM episodes. Further, the validity of HCC scores for predicting Medicare expenditures for shorter episodes-of-care or specifically for the AMI, CABG, and SHFFT model episodes that we are proposing has not been determined. Thus, we did not propose to risk-adjust EPM-episode benchmark or quality-adjusted target prices using HCC scores for the EPMs. We referred to the CJR Final Rule for additional discussion of our assessment of risk-adjustment options for the CJR model, which informed our views on their appropriateness for the EPMs </w:t>
      </w:r>
      <w:hyperlink r:id="rId21" w:history="1">
        <w:r>
          <w:rPr>
            <w:rFonts w:ascii="arial" w:eastAsia="arial" w:hAnsi="arial" w:cs="arial"/>
            <w:b w:val="0"/>
            <w:i/>
            <w:strike w:val="0"/>
            <w:noProof w:val="0"/>
            <w:color w:val="0077CC"/>
            <w:position w:val="0"/>
            <w:sz w:val="20"/>
            <w:u w:val="single"/>
            <w:vertAlign w:val="baseline"/>
          </w:rPr>
          <w:t>(80 FR 73338</w:t>
        </w:r>
      </w:hyperlink>
      <w:r>
        <w:rPr>
          <w:rFonts w:ascii="arial" w:eastAsia="arial" w:hAnsi="arial" w:cs="arial"/>
          <w:b w:val="0"/>
          <w:i w:val="0"/>
          <w:strike w:val="0"/>
          <w:noProof w:val="0"/>
          <w:color w:val="000000"/>
          <w:position w:val="0"/>
          <w:sz w:val="20"/>
          <w:u w:val="none"/>
          <w:vertAlign w:val="baseline"/>
        </w:rPr>
        <w:t xml:space="preserve"> through 73340).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noted, however, that there are circumstances that could account for spending variation in EPM episodes where certain pricing adjustments could be appropriate. We identified several scenarios where increased EPM-episode efficiencies would be limited for certain groups of EPM beneficiaries and a standard EPM-episode benchmark price based on the anchor MS-DRG would, therefore, not account for circumstances where clinically-appropriate care could consistently result in higher EPM-episode payments. For example, as discussed in section III.C.4.a.(5) of the proposed rule, variation could arise from the asymmetric distribution of cardiac care across hospitals, which makes transfers, either from a hospitalization or from the emergency department (without inpatient admission) of one hospital to another, a common consideration in the treatment course for beneficiaries with an initial diagnosis of AMI, resulting in a chained anchor hospitalization for inpatient-to-inpatient transfers. We also recognized that certain episodes involving hospital readmissions for clinically-appropriate planned follow-up care may have higher episode spending than episodes with a single hospitalization or with chained anchor hospitalizations involving transfers that do not have any readmissions. Further, a beneficiary </w:t>
      </w:r>
      <w:r>
        <w:rPr>
          <w:rFonts w:ascii="arial" w:eastAsia="arial" w:hAnsi="arial" w:cs="arial"/>
          <w:b/>
          <w:i w:val="0"/>
          <w:strike w:val="0"/>
          <w:noProof w:val="0"/>
          <w:color w:val="000000"/>
          <w:position w:val="0"/>
          <w:sz w:val="20"/>
          <w:u w:val="none"/>
          <w:vertAlign w:val="baseline"/>
        </w:rPr>
        <w:t> [*305] </w:t>
      </w:r>
      <w:r>
        <w:rPr>
          <w:rFonts w:ascii="arial" w:eastAsia="arial" w:hAnsi="arial" w:cs="arial"/>
          <w:b w:val="0"/>
          <w:i w:val="0"/>
          <w:strike w:val="0"/>
          <w:noProof w:val="0"/>
          <w:color w:val="000000"/>
          <w:position w:val="0"/>
          <w:sz w:val="20"/>
          <w:u w:val="none"/>
          <w:vertAlign w:val="baseline"/>
        </w:rPr>
        <w:t xml:space="preserve"> who has a CABG in the context of hospitalization for an AMI may have different spending in the 90 days post-hospital-discharge due to different health needs than a beneficiary who has an elective CABG. Accordingly, we proposed specific policies and payment adjustments in recognition of the systematic, consistent variation in EPM-episode spending that could result from such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While one commenter supported the proposal to risk-stratify episode costs based largely on MS-DRGs with additional adjustments for scenarios including chained anchor hospitalizations, readmissions, and CABG, many commenters expressed concerns that no further risk-adjustment was proposed beyond the risk-stratification inherent in the MS-DRGs and CMS' proposed adjustments for such scenarios as chained anchor hospitalizations or episodes involving readmissions or CABG. These commenters noted their views that the absence of further risk-adjustment would penalize hospitals treating the sickest, most complicated, and most vulnerable patients for factors that are beyond the hospitals' control. One commenter reported that adequate risk-adjustment is especially important as CMS considers additional clinical groups for bundling programs, such as cardiac care or SHFFT patients, that are more clinically heterogeneous than CJR patients. MedPAC noted that it has "consistently found that chronic conditions and advanced age play a major role in explaining variation in spending across beneficiaries. CMS proposes no further risk-adjustments beyond the DRG/subgroups but provides no data to assess whether the proposed stratification is sufficient to adjust for differences in spending across beneficiaries within each episode type. The Commission urges CMS to evaluate whether additional risk adjustment strategies, such as comorbidities and age, would improve the accuracy of the benchmarks."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commenters pointed to a recent study noting that the use of region-based target pricing can lead to reduced reconciliation payments for hospitals. n78 However, reconciliation payments would substantially increase for hospitals that treat patients with high complexity and be reduced for hospitals that treat patients with low complexity when CMS-HCC scores are applied. Some commenters cited additional data in support of their views that the absence of risk-adjustment ignores the substantial variation in episode payments that exists, penalizes hospitals for assuming the risk of higher-cost/higher-risk patients, or potentially impedes access to high quality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 Ellimoottil C, Ryan AM, Hou H, et al. Medicare's New Bundled Payment For Joint Replacement May Penalize Hospitals That Treat Medically Complex Patients. Health Affairs. 2016: 35(9):1651-1657. doi: 10.1377/hlthaff.2016.0263.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related the absence of further risk-adjustment to concerns with the proposal to phase-in regionally determined target prices. For example, commenters noted that the use of a regional spending component will hold all hospitals in a region to the same target price, even though they would have different clinical capabilities and different risk profiles that results in their treating patient populations with differing levels of severity and costs, which further buttressed the view that substantial variation in episode payments exist within each target price category, not just between the target price categories. Some commenters expressed concerns that differences in clinical capabilities, and therefore, differing rates of more costly transfer episodes, could penalize smaller hospitals that do not have the most sophisticated cardiac care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expressed the view that the absence of risk adjustment would particularly affect hospitals that typically treat more complex patients, for example, tertiary hospitals or hospitals that are academic medical centers because the absence of risk adjustment would not account for the complexity of their patients, which often included multiple co-morbidities, longer lengths of stay, and higher costs. As hospitals could view these patients as increasing their financial risk under the EPMs, commenters expressed concerns that patients who suffer from multiple chronic conditions or comorbidities may find it more difficult to find participating hospitals willing to serve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expressed concern that hospitals serving communities with a high percentage of lower income patients could be adversely affected by the absence of risk-adjustment. Moreover, the lack of further risk-adjustment could create a risk-adverse environment with the possibility of withholding appropriate care to patients with moderate to high-risk profiles, for example to women, due to their older age at cardiac presentation and minorities due to increased frequency of clinical renal disorder. These commenters noted that such patients could have higher costs due to their age or presence of multiple co-morbidities. Further, by not providing an adjustment factor, there could be a greater chance of transfer abuse whereby smaller providers might shift risk for these patients to tertiary providers by transferring emergency room patients that are at greater risk for complications or readmissions.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noted that CMS appeared to be inconsistent and contradictory in not proposing to apply CMS-HCC scores for the proposed models or for the CJR model when it does so for similar programs and applications. Specifically, commenters observed that CMS-HCC scores are applied to quality measures such as Medicare Spending per Beneficiary (MSPB), 30-day mortality and readmission, as well as for the quality measures proposed to be included under the proposed models. Commenters remarked that this gives the impression of poor harmonization of efforts within CMS, which leads to fragmented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the commenters requested that CMS apply some kind of additional risk-adjustment to the proposed models and the CJR model at the latest before downside risk begins. One commenter noted that even if not ideal, further risk-adjustment would be at least as good as CMS' proposal, but simpler and easier to understand than the 75 different target prices CMS proposed. Other commenters recommended that CMS explore and incorporate additional risk- adjustment to address socio-demographic factors, in addition to clinical factors, to more accurately reflect the level of risk associated with such beneficiary characteristics as income and employment status. Further, another commenter reported that socio-demographic factors such as the availability of primary care, physical therapy, easy access to medications and appropriate food, and other supportive services, which are beyond providers' control, affect hospitals' performance on outcome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recommended that CMS apply the CMS-HCC scores. In their view, some benefits of these scores is that they capture the severity of a patient's level of underlying illness, better match hospital's payment to the complexity of their patients, appropriately account for the expected increase in utilization of health care services, reduce the likelihood of a Medicare repayment, and should be administratively simple to apply given their use for other efforts and programs under Medicare. One commenter offered that these codes could, at a minimum, serve as a basis for CMS to begin to construct an appropriate risk- </w:t>
      </w:r>
      <w:r>
        <w:rPr>
          <w:rFonts w:ascii="arial" w:eastAsia="arial" w:hAnsi="arial" w:cs="arial"/>
          <w:b/>
          <w:i w:val="0"/>
          <w:strike w:val="0"/>
          <w:noProof w:val="0"/>
          <w:color w:val="000000"/>
          <w:position w:val="0"/>
          <w:sz w:val="20"/>
          <w:u w:val="none"/>
          <w:vertAlign w:val="baseline"/>
        </w:rPr>
        <w:t> [*306] </w:t>
      </w:r>
      <w:r>
        <w:rPr>
          <w:rFonts w:ascii="arial" w:eastAsia="arial" w:hAnsi="arial" w:cs="arial"/>
          <w:b w:val="0"/>
          <w:i w:val="0"/>
          <w:strike w:val="0"/>
          <w:noProof w:val="0"/>
          <w:color w:val="000000"/>
          <w:position w:val="0"/>
          <w:sz w:val="20"/>
          <w:u w:val="none"/>
          <w:vertAlign w:val="baseline"/>
        </w:rPr>
        <w:t xml:space="preserve"> adjustment for CJR episodes, as well as for SHFFT episodes if it re-proposes their implementation in the future. Another commenter suggested that CMS identify a means to adjust the CMS-HCC codes so that they could better apply to a 90-day episode. Moreover, while encouraging further risk-adjustment as soon as possible within the period of the model, this commenter also suggested that the proposed models could be an opportunity to obtain the data needed to develop EPM risk-adjusters.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encouraged the use of physician-defined patient condition categories to ensure effective risk stratification in condition-based payment models. This commenter reported that alternative payment models that are designed to control overuse need to incorporate effective risk adjustment or risk stratification components in order to protect patients against underuse and to avoid penalizing physicians for delivering and ordering services that patients need. In their view, CMS-HCCs and other claims-based regression models are not adequate for risk adjustment in condition-based payment models. Rather, condition-based payment models must be risk stratified based on the clinical characteristics and functional status of patients that are most relevant to the types of conditions being managed.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urged CMS to improve the risk-adjustment methodology by collaborating with the clinical community and relevant medical specialty societies such as the cardiovascular community that have experience with the different risks facing patients who will be treated within these episode models. Other commenters recommended that CMS review risk adjustment methodologies used by other's bundling models or to incorporate data from the STS Risk Calculator into the risk-adjustment methodology or to use multiple model to better predict the cost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requested that CMS expand risk-adjustment to other provider types or measures factors in addition to the patient alone. For example, one commenter expressed concern that CMS has no risk-adjustment methodology in place for patients' transitions into the post-acute and long-term care sector and that many factors contribute to cost variation in these milieu are outside of the control of the facilities themselves. The commenter requested CMS to clearly define risk stratification indices and develop a cost-to-risk algorithm based on previous utilization data and incorporating specific, patient characteristics, including functional status, age, and frailty, to accurately evaluate EPM performance. Another commenter recommended that CMS examine whether the CMS-HCC model would be an appropriate way to measure the resource use of geriatricians as well as serve as a risk-adjustment mechanism. Finally, one commenter urged CMS to modify the risk-adjustment policy to reflect the relative riskiness of the procedures as well as the beneficiary-specific demographic characteristics and clinical indicators.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 supporting our proposal to risk-stratify episode costs based largely on MS-DRGs with additional adjustments for scenarios including chained anchor hospitalizations, readmissions, and CABG as well as the many comments expressing concerns about our proposal, data cited in support of these concerns, requests for additional measures to adjust for risk, and suggestions on approaches to consider for this purpose. We share commenters' interests in ensuring that payments under the models are well aligned with costs and adequately recognize cost variation associated with either the services provided or beneficiary characteristics so that participants are encouraged and able to be successful under the models, which includes providing access to high quality care to Medicare beneficiaries. In particular, we share commenters' concerns that episode payments be more closely aligned with costs when all EPM participants will assume downside risk and have their payments determined more fully based on regional pricing.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comments we received, we are persuaded to explore additional measures with which we could adjust EPM episode payments for risk to complement our proposals to stratify and adjust episode payments based on type and combination of anchor MS-DRGs included in an episode. As such, we plan to examine a range of options such as CMS-HCC scores, beneficiary factors, clinical factors, pathways including planned readmissions after discharge for an acute cardiac event, and other measures that potentially further explain variation in costs, including socio-demographic factors such availability of primary care services. As discussed in section III.D.7.c.(2) of this final rule, CMS will also consider and potentially incorporate results from studies conducted under the Improving Medicare Post-Acute Care Transformation "IMPACT" Act of 2014 (</w:t>
      </w:r>
      <w:r>
        <w:rPr>
          <w:rFonts w:ascii="arial" w:eastAsia="arial" w:hAnsi="arial" w:cs="arial"/>
          <w:b w:val="0"/>
          <w:i/>
          <w:strike w:val="0"/>
          <w:noProof w:val="0"/>
          <w:color w:val="000000"/>
          <w:position w:val="0"/>
          <w:sz w:val="20"/>
          <w:u w:val="none"/>
          <w:vertAlign w:val="baseline"/>
        </w:rPr>
        <w:t>Pub. L. 113-183</w:t>
      </w:r>
      <w:r>
        <w:rPr>
          <w:rFonts w:ascii="arial" w:eastAsia="arial" w:hAnsi="arial" w:cs="arial"/>
          <w:b w:val="0"/>
          <w:i w:val="0"/>
          <w:strike w:val="0"/>
          <w:noProof w:val="0"/>
          <w:color w:val="000000"/>
          <w:position w:val="0"/>
          <w:sz w:val="20"/>
          <w:u w:val="none"/>
          <w:vertAlign w:val="baseline"/>
        </w:rPr>
        <w:t>) with respect to factors, including socio-demographic factors, that could affect resource use under Medicare and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are optimistic that we will be able to identify factors that explain more variation in episode expenditures than risk stratification alone, we acknowledge that no combination of adjustments will account for all variation in episode expenditures. Still, we intend to proceed with the models and as discussed elsewhere in this rule are finalizing other financial protections like an extended period of no downside risk (see section III.D. 2.c.), capping high payment episodes (see section III.D.3.d.), and more generous stop-loss protections for certain hospitals (see III.D.7.c.(1)). We also intend to engage with and seek input from stakeholders as we examine this range of options prior to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goal is to make our refinements to the pricing methodology to reflect risk adjustment effective beginning in PY3, which we would establish based on a notice and comment rulemaking process. As such, the additional measures would apply to episodes ending on or after January 1, 2019 and that had anchor discharges occurring after October 1, 2018 and thus be in place at the time downside risk is required.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risk-stratify episodes based on adjustments to recognize the combination of MS-DRGs and pathways associated with an episode. We will also explore and plan to implement additional adjustments to account for risk through rulemaking to be effective in PY3.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Adjustments for Certain AMI Model Episodes With Chained Anchor Hospitalizations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 III.C.4.a.(5) of the proposed rule, we stated that once an AMI model episode is initiated at an AMI model participant, the AMI model episode continues under the responsibility of that specific participant, regardless of whether the beneficiary is transferred to another hospital for further medical management of AMI or revascularization through PCI or CABG during a chained anchor hospitalization. Given there could be significant differences between the discharge MS-DRG from the hospital that initiates the AMI episode and the hospital to which a beneficiary is transferred, as well as the Medicare payment associated with these different MS-DRGs and the post-discharge spending for these beneficiaries, we stated that it would be </w:t>
      </w:r>
      <w:r>
        <w:rPr>
          <w:rFonts w:ascii="arial" w:eastAsia="arial" w:hAnsi="arial" w:cs="arial"/>
          <w:b/>
          <w:i w:val="0"/>
          <w:strike w:val="0"/>
          <w:noProof w:val="0"/>
          <w:color w:val="000000"/>
          <w:position w:val="0"/>
          <w:sz w:val="20"/>
          <w:u w:val="none"/>
          <w:vertAlign w:val="baseline"/>
        </w:rPr>
        <w:t> [*307] </w:t>
      </w:r>
      <w:r>
        <w:rPr>
          <w:rFonts w:ascii="arial" w:eastAsia="arial" w:hAnsi="arial" w:cs="arial"/>
          <w:b w:val="0"/>
          <w:i w:val="0"/>
          <w:strike w:val="0"/>
          <w:noProof w:val="0"/>
          <w:color w:val="000000"/>
          <w:position w:val="0"/>
          <w:sz w:val="20"/>
          <w:u w:val="none"/>
          <w:vertAlign w:val="baseline"/>
        </w:rPr>
        <w:t xml:space="preserve"> appropriate to adjust the AMI model-episode benchmark prices for certain AMI model episodes involving a chained anchor hospitalization. More specifically, we indicated that it would be appropriate to make an adjustment when a final hospital discharge MS-DRG in the chained anchor hospitalization is an anchor MS-DRG under either the AMI or CABG model. Thus, for episodes involving a chained anchor hospitalization with a final discharge diagnosis of any of AMI MS-DRG 280-282, PCI MS-DRG 246-251 without an intracardiac ICD-CM procedure code in any position on the inpatient claim, or CABG MS-DRG 231-236, we proposed to set a chain-adjusted AMI model-episode benchmark price or "price MS-DRG" based on the AMI, PCI, or CABG MS-DRG in the chained anchor admission with the highest IPPS weight. If a CABG MS-DRG occurred in a chained anchor hospitalization that was initiated with an AMI MS-DRG or PCI MS-DRG without an intracardiac ICD-CM procedure code in any position on the corresponding inpatient claim, we proposed that the AMI model episode would begin with and be attributed to the first hospital, and we proposed to set the price MS-DRG to the CABG MS-DRG in the chained anchor hospitalization with the highest IPPS weight.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price MS-DRG was an AMI or PCI MS-DRG, we proposed to set the episode benchmark price as the standard AMI model-episode benchmark price for the price MS-DRG, subject to a possible adjustment for readmission for CABG MS-DRGs, as described in section III.D.4.b.(2)(c) of the proposed rule. If the price MS-DRG is a CABG MS-DRG, we proposed to set the AMI model-episode benchmark price as the CABG model-episode benchmark price for the corresponding CABG MS-DRG, with no further adjustment in the event of a readmission for CABG MS-DRGs.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13 displays the weights for CABG, PCI, and AMI MS-DRGs established in the FY 2016 IPPS final rule, which are subject to change each FY through the annual IPPS rulemaking </w:t>
      </w:r>
      <w:hyperlink r:id="rId47" w:history="1">
        <w:r>
          <w:rPr>
            <w:rFonts w:ascii="arial" w:eastAsia="arial" w:hAnsi="arial" w:cs="arial"/>
            <w:b w:val="0"/>
            <w:i/>
            <w:strike w:val="0"/>
            <w:noProof w:val="0"/>
            <w:color w:val="0077CC"/>
            <w:position w:val="0"/>
            <w:sz w:val="20"/>
            <w:u w:val="single"/>
            <w:vertAlign w:val="baseline"/>
          </w:rPr>
          <w:t>(80 FR 49325</w:t>
        </w:r>
      </w:hyperlink>
      <w:r>
        <w:rPr>
          <w:rFonts w:ascii="arial" w:eastAsia="arial" w:hAnsi="arial" w:cs="arial"/>
          <w:b w:val="0"/>
          <w:i w:val="0"/>
          <w:strike w:val="0"/>
          <w:noProof w:val="0"/>
          <w:color w:val="000000"/>
          <w:position w:val="0"/>
          <w:sz w:val="20"/>
          <w:u w:val="none"/>
          <w:vertAlign w:val="baseline"/>
        </w:rPr>
        <w:t xml:space="preserve"> through 49886).</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588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13--FY 2016 IPPS Weights for MS-DRGS 231-236, 246-251, and 280-282</w:t>
            </w: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tc>
        <w:tc>
          <w:tcPr>
            <w:tcW w:w="588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MS-DRG</w:t>
            </w:r>
          </w:p>
        </w:tc>
        <w:tc>
          <w:tcPr>
            <w:tcW w:w="5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MS-DRG title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231</w:t>
            </w: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CORONARY BYPASS W PTCA W MCC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7.8056</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232</w:t>
            </w: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CORONARY BYPASS W PTCA W/O MCC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5.7779</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233</w:t>
            </w: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CORONARY BYPASS W CARDIAC CATH W MCC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7.3581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234</w:t>
            </w: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CORONARY BYPASS W CARDIAC CATH W/O MCC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4.9076</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235</w:t>
            </w: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CORONARY BYPASS W/O CARDIAC CATH W MCC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5.8103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236</w:t>
            </w: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CORONARY BYPASS W/O CARDIAC CATH W/O MCC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3.8013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246</w:t>
            </w: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 CARDIOVASC PROC W DRUG-ELUTING STENT W MCC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3.2494</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4 + VESSELS/STENTS</w:t>
            </w: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247</w:t>
            </w: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 CARDIOVASC PROC W DRUG-ELUTING STENT W/O</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2.1307</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MCC</w:t>
            </w: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248</w:t>
            </w: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 CARDIOVASC PROC W NON-DRUG-ELUTING STENT W</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3.0696</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MCC OR 4 + VES/STENTS</w:t>
            </w: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249</w:t>
            </w: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 CARDIOVASC PROC W NON-DRUG-ELUTING STENT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1.9140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MCC</w:t>
            </w: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w:t>
            </w: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 CARDIOVASC PROC W/O CORONARY ARTERY STENT W</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2.6975</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MCC</w:t>
            </w: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251</w:t>
            </w: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 CARDIOVASC PROC W/O CORONARY ARTERY STENT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1.6863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MCC</w:t>
            </w: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280</w:t>
            </w: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 INFARCTION, DISCHARGED ALIVE W</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1.6971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MCC</w:t>
            </w: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281</w:t>
            </w: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 INFARCTION, DISCHARGED ALIVE W</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1.0232</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CC</w:t>
            </w: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282</w:t>
            </w:r>
          </w:p>
        </w:tc>
        <w:tc>
          <w:tcPr>
            <w:tcW w:w="5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 INFARCTION, DISCHARGED ALIVE</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0.7557</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tc>
        <w:tc>
          <w:tcPr>
            <w:tcW w:w="5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CC/MCC</w:t>
            </w: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stated our belief that this proposal could minimize potential disincentives to AMI model participants from transferring patients when different or higher levels of care are needed. This is because the AMI model-episode benchmark prices we set would be more representative of the AMI spending based on the totality of care furnished during the chained anchor hospitalization and post-discharge period within the AMI model episode and for which the AMI model participants would be held accountable. We also stated our view that our proposal could encourage AMI model participants that frequently transfer patients after admission to improve their efficiency and the quality of care by transferring beneficiaries needing higher levels of care prior to hospital admission and managing those beneficiaries admitted to reduce the need for later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alternative, we also considered an approach where we would set the target price taking into consideration IPPS payments for both the MS-DRG assigned to the first admission in the chained anchor hospitalization and the MS-DRG assigned to the final admission in the chained anchor hospitalization. We could apply this approach to all AMI model participant hospitals or to only a subset of hospitals based on special situations that could lead to more common transfer scenarios that are unavoidable, such as small bed-size, rural location, interventional or cardiac surgery capacity, or other characteristic of the hospitals. All AMI model episodes involving chained anchor hospitalizations would include at least two IPPS payments for the chained anchor hospitalization, compared to one IPPS payment for most AMI episodes with only an anchor hospitalization that does not result in an inpatient-to-inpatient transfer. In our view, the alternative approach would likely result in a higher AMI-model episode benchmark price than under our proposal for AMI model episodes including a chained anchor hospitalization. Therefore, we noted that this alternative approach could have the effect of further reducing potential disincentives to hospitals from transferring patients when different or a higher level of care is needed; however, we were not convinced this approach would ultimately improve care quality and efficiency under the AMI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were concerned that this alternative approach could serve as an incentive for hospitals to admit and then transfer patients when doing so might not be medically necessary, which would neither enhance care quality nor efficiency. A recent study showed that non-procedure hospitals, defined as hospitals that lack onsite cardiac catheterization and coronary revascularization facilities, vary substantially in their use of the transfer process for Medicare beneficiaries admitted with AMI. n79 Beneficiaries </w:t>
      </w:r>
      <w:r>
        <w:rPr>
          <w:rFonts w:ascii="arial" w:eastAsia="arial" w:hAnsi="arial" w:cs="arial"/>
          <w:b/>
          <w:i w:val="0"/>
          <w:strike w:val="0"/>
          <w:noProof w:val="0"/>
          <w:color w:val="000000"/>
          <w:position w:val="0"/>
          <w:sz w:val="20"/>
          <w:u w:val="none"/>
          <w:vertAlign w:val="baseline"/>
        </w:rPr>
        <w:t> [*308] </w:t>
      </w:r>
      <w:r>
        <w:rPr>
          <w:rFonts w:ascii="arial" w:eastAsia="arial" w:hAnsi="arial" w:cs="arial"/>
          <w:b w:val="0"/>
          <w:i w:val="0"/>
          <w:strike w:val="0"/>
          <w:noProof w:val="0"/>
          <w:color w:val="000000"/>
          <w:position w:val="0"/>
          <w:sz w:val="20"/>
          <w:u w:val="none"/>
          <w:vertAlign w:val="baseline"/>
        </w:rPr>
        <w:t xml:space="preserve"> transferred from hospitals that had a high transfer rate experienced greater use of invasive cardiac procedures after admission to the transfer hospital than beneficiaries transferred from hospitals with a low transfer rate. However, higher transfer rates were not associated with a significantly lower risk-standardized mortality rate at 30 days, and at one year, there was only a 1.1 percent mortality rate difference between hospitals with higher and lower transfer rates. As such, we believed this alternative approach could be appropriate for only a subset of AMI model participant hospitals based on specific hospital characteristics that could lead to a higher frequency of unavoidable transfers for AMI model beneficiaries rather than appropriate for hospitals overall. In addition, if we were to adopt this alternative approach, we believed it would also be necessary to incorporate methods for monitoring changes in the frequency of AMI model participant hospital patient transfers over the model's performance years, as well as assessing the appropriateness of those transfers. For example, to address changes in transfer frequency, we might compare how often an AMI model participant hospital transferred a beneficiary following an inpatient admission within each performance year relative to the frequency of transfers during its initial 3-year historical period. To address appropriateness of transfers, we might consider reviewing and comparing a sample of a hospital's transfers within a performance year as compared to the historical period. Furthermore, we might also propose future changes to this approach where changes in the frequency or appropriateness of transfers were identified.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 Barreto-Filho J, Wang Y, Rathore SS, et al. Transfer Rates From Nonprocedure Hospitals After Initial Admission and Outcomes Among Elderly Patients With Acute Myocardial Infarction. JAMA Intern Med. 2014;174(2):213-222. doi:10.1001/jamainternmed.2013.11944.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in contrast to our proposal, we believed that this alternative approach would not have the benefit of encouraging AMI model participant hospitals to make an early decision and transfer patients prior to rather than following inpatient admission when doing so prior to admission would be appropriate for the beneficiary's clinical circumstances and the hospital's capabilities. While we recognized that in some cases, an AMI model beneficiary admitted to the initial treating hospital may need to be transferred to a referral hospital that can provide a different or higher level of care, we noted our belief it is important that the AMI model's payment methodology support the goal of rapid decision-making by the AMI model participant hospital about the AMI model beneficiary's care pathway based on clinical guidelines that often incorporate a time dimension in the guidelines for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on balance, we believed that our proposed methodology would best establish appropriate incentives to improve care quality and efficiency under the AMI model by encouraging timely decisions about admission to the initial treating hospital and incentivizing only those transfers that are necessary to meet AMI model beneficiary's health care during the course of their hospitalization. Our proposal would adjust the AMI model-episode benchmark price that applies to the episode when a chained anchor hospitalization occurs and results in more costly care at the transfer hospital than would be expected based on the anchor MS-DRG at the initial treating hospital who would be accountable for the episode under the AMI model, thus accounting for the care at the referral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some chained anchor hospitalizations could begin an episode based on an MS-DRG that anchors an episode in the model such as an AMI MS-DRGs that subsequently also includes an MS-DRG that does not anchor an episode under the model (for example, heart failure, renal failure, or cardiac valve replacement). Some of these non-anchor MS-DRGs could be related to the AMI episode but are unavoidable, for example, cardiac valve surgery, while others could potentially reflect complications resulting from inadequate care management during the episode (for example, heart or renal failure).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III.C.4.b. of the proposed rule, we proposed to cancel an AMI model episode when the final MS-DRG in a chained anchor hospitalization is from an MS-DRG that would not an anchor MS-DRG under the AMI or CABG model. We believed that, in tandem, these proposals would allow for appropriate pricing of AMI model episodes that continue and include chained anchor hospitalizations.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to establish pricing for AMI model episodes involving chained anchor hospitalizations were included in § 512.300(c)(7)(i). We sought comment on our proposals for pricing AMI episodes involving chained anchor hospitalizations and the alternative proposals we considered. We also sought comment on the alternative considered that would account for both the MS-DRGs at the first and last hospitals caring for the AMI model beneficiary during the chained anchor hospitalization in setting the AMI-model episode benchmark price for episodes involving a chained anchor hospitalization. In particular, under such an alternative, we sought comment on the clinical circumstances in which inpatient-to-inpatient transfers are unavoidable and whether or not there are hospital characteristics that would lead us to expect higher frequencies of unavoidable inpatient-to-inpatient transfers for AMI model beneficiaries than hospitals overall. We also sought comment on how we could discourage unintended consequences under this alternative, such as less timely decisions about the most appropriate hospital to treat the beneficiary and increased beneficiary transfers that are unnecessary or inappropriate for improved quality of AMI model episode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As discussed earlier in Section III.C.4.a. of this final rule, many commenters expressed concerns and opposed the proposal that once an AMI model episode is initiated at an AMI model participant, the AMI model episode continues under the responsibility of that specific participant, regardless of whether the beneficiary is transferred to another hospital for further medical management of AMI or revascularization through PCI or CABG during a chained anchor hospitalization. Similarly, many commenters expressed concerns with respect to the pricing of episodes in the case of these chained anchor hospitalizations that generally paralleled the comments discussed in section III.C.4.a.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in section III.C.4.a., we were persuaded by commenters to not finalize our proposal that once an AMI model episode is initiated at an AMI model participant, the AMI model episode would continue under the responsibility of that specific participant when a beneficiary is transferred to another hospital for further medical management of AMI or revascularization through PCI or CABG during a chained anchor hospitalization. Instead, we are finalizing a policy that for an episode involving an inpatient-to-inpatient transfer, the episode would be attributed to the transfer hospital rather than the initial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we are also not finalizing our proposed pricing methodology for these episodes, which would have set a chain-adjusted AMI model-episode benchmark price or "price MS-DRG" based on the AMI, PCI, or CABG MS-DRG in the chained- </w:t>
      </w:r>
      <w:r>
        <w:rPr>
          <w:rFonts w:ascii="arial" w:eastAsia="arial" w:hAnsi="arial" w:cs="arial"/>
          <w:b/>
          <w:i w:val="0"/>
          <w:strike w:val="0"/>
          <w:noProof w:val="0"/>
          <w:color w:val="000000"/>
          <w:position w:val="0"/>
          <w:sz w:val="20"/>
          <w:u w:val="none"/>
          <w:vertAlign w:val="baseline"/>
        </w:rPr>
        <w:t> [*309] </w:t>
      </w:r>
      <w:r>
        <w:rPr>
          <w:rFonts w:ascii="arial" w:eastAsia="arial" w:hAnsi="arial" w:cs="arial"/>
          <w:b w:val="0"/>
          <w:i w:val="0"/>
          <w:strike w:val="0"/>
          <w:noProof w:val="0"/>
          <w:color w:val="000000"/>
          <w:position w:val="0"/>
          <w:sz w:val="20"/>
          <w:u w:val="none"/>
          <w:vertAlign w:val="baseline"/>
        </w:rPr>
        <w:t xml:space="preserve"> anchor admission with the highest IPPS weight. Instead, we are finalizing a policy where an episode's price will be determined only by the anchor MS-DRG for the AMI or CABG model episode as determined by the transfer hospital in the same manner as we would for any other AMI episode that does not involve a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we are not finalizing our original proposal, we also will not be finalizing the terms "chained anchor hospitalization" or "price MS-DRG" as all episodes under the model will be priced based on their assigned anchor MS-DRG. Accordingly, we will be deleting these terms from our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not finalizing the proposal to make payment adjustments for AMI episodes involving a chained anchor hospitalization, but will instead attribute the episode to the final hospital and calculate prices for these episodes based on the anchor MS-DRG for that episode determined by the transfer hospital. As such, we are replacing the term "price MS-DRG" with "MS-DRG" and deleting references to "chained-anchor hospitalizations." Also as discussed in section III.C.4.a.(5) of this final rule, given our concerns about the potential missed opportunities and unintended consequences due to the final AMI model transfer episode initiation and attribution policy, we will be examining AMI transfers to and from AMI model participants very closely through our monitoring and evaluation activities as discussed in sections III.G.4. through 6. and IV. of this final rule, both of beneficiaries that ultimately are included in AMI episodes and those that are not. We may revisit the transfer policy or propose payment adjustments through future rulemaking if we see reduced AMI transfer efficiency, opportunities to increase transfer efficiency, disproportionate transfers of complex AMI beneficiaries or those with potentially avoidable complications suggesting that AMI model participants are engaging in adverse patient selection or providing poor quality care, inordinate loss of beneficiaries from the AMI model due to transfer outside of the MSAs where the AMI and CABG models are being tested, or other patterns of concern.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Adjustments for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Medicare beneficiaries historically discharged under a CABG MS-DRG, average episode spending was substantially higher for those beneficiaries who also had AMI ICD-CM diagnosis codes on their inpatient claims ($ 57,000) than those who did not ($ 44,000). n80 About 30 percent of CABG beneficiaries had AMI ICD-CM diagnosis codes on their claims, while about 70 percent did not, and this percentage of CABG beneficiaries with AMI varied substantially across IPPS hospitals furnishing CABG procedures. n81 While average spending, in total, was substantially higher for CABG beneficiaries with AMI than without AMI, average spending during the anchor hospitalization was not substantially higher. Rather, much of this variation in CABG model episode spending occurred after discharge from the anchor hospitalization and correlated both with the presence of AMI and whether the CABG beneficiary was discharged from the anchor hospitalization in a CABG MS-DRG with major complication or comorbidity (MS-DRGs 231, 233, or 235) as opposed to a CABG MS-DRG without major complication or comorbidity (MS-DRGs 232, 234, or 236). Specifically, we found that average CABG episode spending after discharge from the anchor hospitalization was--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 Episodes for CABG model beneficiaries initiated by all U.S. IPPS hospitals and constructed using standardized Medicare FFS Parts A and B claims, as proposed in this rule, that began in CYs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 Episodes for CABG model beneficiaries initiated by all U.S. IPPS hospitals and constructed using standardized Medicare FFS Parts A and B claims, as proposed in this rule, that began in CYs 2012-2014.</w:t>
      </w:r>
    </w:p>
    <w:p>
      <w:pPr>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$ 9,000 for non-AMI CABG beneficiaries discharged from MS-DRGs 232, 234, or 236;</w:t>
      </w:r>
    </w:p>
    <w:p>
      <w:pPr>
        <w:keepNext w:val="0"/>
        <w:numPr>
          <w:numId w:val="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$ 11,000 for CABG beneficiaries with AMI discharged from MS-DRGs 232, 234, or 236;</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$ 16,000 for non-AMI CABG beneficiaries discharged from MS-DRGs 231, 233, or 235; and</w:t>
      </w:r>
    </w:p>
    <w:p>
      <w:pPr>
        <w:keepNext w:val="0"/>
        <w:numPr>
          <w:numId w:val="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$ 20,000 for CABG beneficiaries with AMI discharged from MS-DRGs 231, 233, or 235. n82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n82 Episodes for CABG model beneficiaries initiated by all U.S. IPPS hospitals and constructed using standardized Medicare FFS Parts A and B claims, as proposed in this rule that began in CYs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for CABG model episodes, we proposed to set CABG model-episode benchmark prices by first splitting historical CABG model-episode expenditures into expenditures that occurred during anchor hospitalizations and expenditures that occurred after discharge from the anchor hospitalizations.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calculate the CABG anchor hospitalization benchmark price by following the general payment methodology that was applied to the CJR model </w:t>
      </w:r>
      <w:hyperlink r:id="rId21" w:history="1">
        <w:r>
          <w:rPr>
            <w:rFonts w:ascii="arial" w:eastAsia="arial" w:hAnsi="arial" w:cs="arial"/>
            <w:b w:val="0"/>
            <w:i/>
            <w:strike w:val="0"/>
            <w:noProof w:val="0"/>
            <w:color w:val="0077CC"/>
            <w:position w:val="0"/>
            <w:sz w:val="20"/>
            <w:u w:val="single"/>
            <w:vertAlign w:val="baseline"/>
          </w:rPr>
          <w:t>(80 FR 73337</w:t>
        </w:r>
      </w:hyperlink>
      <w:r>
        <w:rPr>
          <w:rFonts w:ascii="arial" w:eastAsia="arial" w:hAnsi="arial" w:cs="arial"/>
          <w:b w:val="0"/>
          <w:i w:val="0"/>
          <w:strike w:val="0"/>
          <w:noProof w:val="0"/>
          <w:color w:val="000000"/>
          <w:position w:val="0"/>
          <w:sz w:val="20"/>
          <w:u w:val="none"/>
          <w:vertAlign w:val="baseline"/>
        </w:rPr>
        <w:t xml:space="preserve"> through 73358), with expenditures limited to those that occurred during the anchor hospitalization and risk stratification according to the price CABG MS-DRG.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proposed to calculate the CABG post-anchor hospitalization benchmark price by following the general payment methodology that was applied to the CJR model </w:t>
      </w:r>
      <w:hyperlink r:id="rId21" w:history="1">
        <w:r>
          <w:rPr>
            <w:rFonts w:ascii="arial" w:eastAsia="arial" w:hAnsi="arial" w:cs="arial"/>
            <w:b w:val="0"/>
            <w:i/>
            <w:strike w:val="0"/>
            <w:noProof w:val="0"/>
            <w:color w:val="0077CC"/>
            <w:position w:val="0"/>
            <w:sz w:val="20"/>
            <w:u w:val="single"/>
            <w:vertAlign w:val="baseline"/>
          </w:rPr>
          <w:t>(80 FR 73337</w:t>
        </w:r>
      </w:hyperlink>
      <w:r>
        <w:rPr>
          <w:rFonts w:ascii="arial" w:eastAsia="arial" w:hAnsi="arial" w:cs="arial"/>
          <w:b w:val="0"/>
          <w:i w:val="0"/>
          <w:strike w:val="0"/>
          <w:noProof w:val="0"/>
          <w:color w:val="000000"/>
          <w:position w:val="0"/>
          <w:sz w:val="20"/>
          <w:u w:val="none"/>
          <w:vertAlign w:val="baseline"/>
        </w:rPr>
        <w:t xml:space="preserve"> through 73358), with expenditures limited to those that occurred after the anchor hospitalization and risk-stratification according to the presence of an AMI ICD-CM diagnosis code on the anchor inpatient claim and whether the price MS-DRG is a CABG MS-DRG with major complication or comorbidity (231, 233, or 235) or a CABG MS-DRG without major complication or comorbidity (232, 234, or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CABG model-episode benchmark price for an episode would be the sum of the corresponding CABG anchor hospitalization benchmark price and the corresponding CABG post-anchor hospitalization benchmark price, as discussed in this section and in III.D.4.d.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to establish pricing for CABG model episodes were included in § 512.300(c)(7)(ii). We sought comment on our proposals to establish pricing for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commenters suggested that CMS create a separate target price for CABG episodes where a patient has a previous history of CABG.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suggestion, but believe the existing MS-DRGs that apply under the IPPS, which similarly do not distinguish CABG MS-DRG discharges based on whether or not a beneficiary had a previous history of CABG, our proposed pricing adjustments for CABG episodes, and additional risk-adjustments that we anticipate will be effective in PY3 should appropriately recognize the potential costs for beneficiaries within CABG episodes whether or not they had a previous history of CABG.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establish pricing for CABG model episodes. Our final policy for establishing CABG model episodes is included in § 512.300(c)(7)(i).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Adjustments for Certain AMI Model Episodes With CABG Readmissions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 III.C.4.b of the proposed rule, we discussed AMI model episodes where a beneficiary is discharged from an AMI model participant under an AMI </w:t>
      </w:r>
      <w:r>
        <w:rPr>
          <w:rFonts w:ascii="arial" w:eastAsia="arial" w:hAnsi="arial" w:cs="arial"/>
          <w:b/>
          <w:i w:val="0"/>
          <w:strike w:val="0"/>
          <w:noProof w:val="0"/>
          <w:color w:val="000000"/>
          <w:position w:val="0"/>
          <w:sz w:val="20"/>
          <w:u w:val="none"/>
          <w:vertAlign w:val="baseline"/>
        </w:rPr>
        <w:t> [*310] </w:t>
      </w:r>
      <w:r>
        <w:rPr>
          <w:rFonts w:ascii="arial" w:eastAsia="arial" w:hAnsi="arial" w:cs="arial"/>
          <w:b w:val="0"/>
          <w:i w:val="0"/>
          <w:strike w:val="0"/>
          <w:noProof w:val="0"/>
          <w:color w:val="000000"/>
          <w:position w:val="0"/>
          <w:sz w:val="20"/>
          <w:u w:val="none"/>
          <w:vertAlign w:val="baseline"/>
        </w:rPr>
        <w:t xml:space="preserve"> MS-DRG and is later readmitted for a CABG. In that section, we did not propose to cancel the AMI model episode altogether for a CABG readmission during the 90-day post-hospital discharge period or cancel the AMI model episode and initiate a CABG model episode because planned CABG readmission following an anchor hospitalization that initiates an AMI episode may be an appropriate clinical pathway for certain beneficiaries. For example, we noted that historically approximately 10 percent of those AMI beneficiaries who received CABGs during AMI episodes would receive the CABG between 2 and 90 days post-discharge from the anchor hospitalization, and most of those readmissions did not occur through hospital emergency departments. Even though CABG readmissions are not excluded from AMI model episodes (because they are clinically-related to the AMI model episode), we proposed to provide an adjusted AMI model-episode benchmark price in such circumstances so as not to financially penalize AMI model participants for relatively uncommon, costly, clinically-appropriate care patterns for AMI model beneficiaries. Accordingly, we proposed to establish an adjusted CABG-readmission AMI model-benchmark episode price for AMI model episodes with a price MS-DRG of 280-282 or 246-251 that have readmission for a CABG MS-DRG 231-236.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if a CABG readmission occurs during an AMI model episode with a price MS-DRG of 280-282 or 246-251, we proposed to calculate a CABG-readmission AMI model-episode benchmark price equal to the sum of the standard AMI model-episode benchmark price corresponding to the price MS-DRG (AMI MS-DRGs 280-282 or PCI MS-DRGs 246-251) and the CABG anchor hospitalization benchmark price corresponding to the MS-DRG of the CABG readmission. Because the adjustment would be based on the anchor hospitalization benchmark price, which does not include costs associated with the post-discharge period for CABG, this adjustment approach would avoid "double counting" post-discharge costs. Because adjusting for spending that occurred during a CABG readmission accounts for most of the spending variation between AMI model episodes with a CABG readmission and AMI model episodes without a CABG readmission, we proposed no additional adjustment to the price for AMI model episodes with a CABG readmission.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event of any other readmission other than CABG during an AMI model episode that is not excluded from the AMI model episode definition, we would apply the usual rules of EPM-episode pricing that would include the spending for the related readmission in the actual AMI model-episode spending, without other adjustments. Fewer than 3 percent of those AMI model beneficiaries who receive inpatient or outpatient PCIs during AMI episodes receive the PCIs between 2 and 90 days post-discharge from the anchor or chained anchor hospitalizations, and we did not propose to make a pricing adjustment for PCIs that occur later in the AMI model episodes after discharge from the anchor or chained anchor hospitalizations. Since a PCI for an AMI typically is provided during the anchor or chained anchor hospitalization and most PCIs later in an episode occur in the context of a beneficiary presenting through the emergency department, we believe that the beneficiary likely has experienced a complication of care resulting in a PCI that may potentially be avoided through care management during the AMI model episode. Given that our intention is to offer appropriate incentives for care quality and efficiency by holding AMI model participants accountable for readmissions that could be related to the quality of care provided prior to the readmission, we believe that an adjustment other than for a CABG readmission would not be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adjusting episodes involving CABG readmissions was included in § 512.300(c)(7)(iii). We sought comment on our proposal for adjusting episodes involving CABG readmissions.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concerns about the proposal for adjusting episodes involving CABG readmissions--specifically, that the proposal does not sufficiently account for the increased post-acute care that a beneficiary typically receives after a CABG, but which they would not receive after only an AMI. One of the commenters presented data supporting their concern suggesting that post-discharge spending for certain MS-DRGs with a CABG readmission was substantially higher than for those same MS-DRGs without a CABG readmission. The commenters requested that CMS modify the methodology to account for the increased post-acute care that a beneficiary typically receives after a CABG.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concerns raised by the commenters and have conducted further analysis of our proposal with respect to how well our proposal would account for post-acute care costs for AMI episodes involving CABG readmissions. While we agree that spending after discharge from the anchor stay for AMI episodes with CABG readmissions is substantially higher than for episodes without these readmissions, we disagree with suggestions that our proposal inadequately adjusts for these differences. Rather, based on our analysis, on average, the proposed adjustments account for the overwhelming majority of additional spending that occurs in AMI episodes with CABG readmissions relative to episodes without CABG readmissions. Additionally, the number of episodes for many of the affected MS-DRGs is relatively small, which we believe would impede our ability to establish reliable prices that would be an improvement over our current proposal in terms of payment accuracy. Accordingly, we are not persuaded to modify our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adjust episodes with CABG readmissions. Our final policy for adjusting episodes with CABG readmissions is included in § 512.300(c)(7)(ii).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Potential Future Approaches To Setting Target Prices for AMI and Hip Fracture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described, our proposed approach for pricing AMI and CABG model episodes for beneficiaries with AMI set different episode target prices depending upon whether the beneficiary is managed medically, undergoes PCI, or undergoes CABG during the acute phase of the episode, as well as whether the episode involved a chained anchor hospitalization or CABG readmission. Similarly, the target price set for beneficiaries experiencing hip fracture would depend on whether the patient undergoes hip fixation (and therefore initiates a SHFFT model episode) or hip arthroplasty (and therefore initiates a CJR model episode). We believed that this would be a prudent approach that both recognizes the resource costs of services provided while encouraging care redesign during the portions of these episodes that we believe present the greatest opportunities to improve the quality and efficiency of the care delivered. However, we noted that the general principle guiding our payment reform efforts is that the payment system should hold providers accountable for the overall quality and cost of the care their beneficiaries receive rather than </w:t>
      </w:r>
      <w:r>
        <w:rPr>
          <w:rFonts w:ascii="arial" w:eastAsia="arial" w:hAnsi="arial" w:cs="arial"/>
          <w:b/>
          <w:i w:val="0"/>
          <w:strike w:val="0"/>
          <w:noProof w:val="0"/>
          <w:color w:val="000000"/>
          <w:position w:val="0"/>
          <w:sz w:val="20"/>
          <w:u w:val="none"/>
          <w:vertAlign w:val="baseline"/>
        </w:rPr>
        <w:t> [*311] </w:t>
      </w:r>
      <w:r>
        <w:rPr>
          <w:rFonts w:ascii="arial" w:eastAsia="arial" w:hAnsi="arial" w:cs="arial"/>
          <w:b w:val="0"/>
          <w:i w:val="0"/>
          <w:strike w:val="0"/>
          <w:noProof w:val="0"/>
          <w:color w:val="000000"/>
          <w:position w:val="0"/>
          <w:sz w:val="20"/>
          <w:u w:val="none"/>
          <w:vertAlign w:val="baseline"/>
        </w:rPr>
        <w:t xml:space="preserve"> setting their payment based on the specific services delivered or settings in which they are delivered. We indicated that this approach would give providers maximum flexibility to redesign care in ways that both produce the best outcomes for patients and controls the growth in spending for these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reason, we expressed interest in exploring future approaches to episode payment that would set an inclusive target price for episodes for beneficiaries with AMI that does not depend on whether the beneficiary is managed medically or receives PCI or CABG during the acute portion of the episode and, similarly, future approaches that would set prices for episodes for beneficiaries with hip fracture that do not depend on whether the beneficiary undergoes hip fixation or hip arthroplasty. While we believe that the choice of treatment during the acute phase of these episodes may be determined predominantly by clinical factors such that financial factors may play a smaller role in shaping episode care redesign than they do following hospital discharge, we nevertheless believe it would be valuable to consider testing an inclusive episode payment model. Providers may be able to redesign and implement care pathways that we might not have otherwise anticipated, especially as the evidence-base for AMI and hip fracture treatment continues to grow and evolve.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this type of approach to setting an inclusive episode target price and on any episode payment model design features that would be needed to make such an approach successful. In particular, we sought comment on potential approaches to risk-adjustment aimed at ensuring that providers are appropriately paid for caring for high-complexity episode beneficiaries in the context of this alternative approach. We would seek to ensure that all providers caring for these episode beneficiaries, including those providers for which we proposed additional protections and those that serve a high percentage of potentially vulnerable populations of medically and socially complex patients as discussed in section III.D.7.c. of the proposed rule, would not bear undue financial risk and to mitigate any incentives to avoid caring for high-complexity patients. In addition, we sought comment on whether and how our methodology linking quality performance to payment under the EPMs and the CJR model might need to be modified in the context of this alternative approach that would set an inclusive episode target price, in order to appropriately incentivize the delivery of high-quality care and discourage stinting on appropriate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 The comments we received typically recommended that we consider either population-based models or capitated models, which we have addressed in section III.D.2.b. of this final rule; however, we are providing some specific examples that were recommended in the following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recommended that we consider a population-based model that was tied to an "event" such as a beneficiary's initial Medicare enrollment in a selected geographic area such as a county or MSA; however, we should exclude Medicare Advantage enrollees or enrollees participating in other Medicare payment reform efforts. The model would include multiple quality measures reflecting both a clinical perspective and a beneficiary perspective. The model could include two tracks: Full financial accountability and partial financial accountability. Under the first track, we would pay participating providers a monthly, all-inclusive, beneficiary-risk-adjusted premium based on regional historical expenditures and the provider would assume full risk for all Part A and Part B expenditures. Under the partial financial accountability track, we would continue to provide the plan administration (allowing provider organizations without claims-payment and risk-assumption capabilities the opportunity to participate). Model participants would receive a monthly, beneficiary-risk-adjusted target budget for Medicare Part A and Part B services and their actual expenditures would be compared against their target budget at the end of each year for reconciliation. If costs exceeded the target, then the participant would repay CMS an agreed upon amount. If costs were below the target, then CMS would pay the participant an agreed upon amount. Both tracks could be eligible for Advanced APM designation under the Quality Payment Program, if they had a certified Electronic Health Record technology requirement for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who had suggested that CMS adopt a model including prospective negotiated rates rather than retrospective reconciliation of fee-for-service claims, suggested that a capitated model would allow providers to experiment with services, in addition to telehealth consultations, that do not generate a fee-for-service claim. In their view, hospitals and surgeons have more opportunity to innovate in how they deploy professional staff, choose technology, and engage with outpatient and home-based services when they have full flexibility within a budgeted payment amount, and would encourage collaboration between all clinicians involved in patient care as well as provide predictable pricing. Also, the commenter believes that using prospectively determined negotiated rates or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bids would result in a more rapid transformation in cost and resource use. In their view, using target prices based on a provider's historical costs or the region's average costs is inconsistent with the goal of implementing innovative payment models. Moreover, current practice patterns should not be used to set a total cost for care, given the unnecessary care, excessive costs and cost variations that result from this payment approach. As such, this commenter recommend that providers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bid their episode price to encourage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providers to achieve the best outcomes for the lowest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recommended that CMS design EPMs that would allow providers two options; specifically to (1) organize themselves in the manner most efficient to accept a prospective bundled payment from Medicare, and allocate it among the participating providers or (2) if other providers find it easier to continue billing under current payment systems, then retrospectively reconcile those payments against a prospectively defined budget. In this commenter's view, jointly-governed teams should have the flexibility to determine which organizational approach and retrospective or prospectively-determined payment model best works for their particular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suggested that CMS consider a model that pays specialists for management of specific conditions and combinations of conditions using the same payment model concepts being used with primary care physicians in the Comprehensive Primary Care Plus initiative. Under this model, CMS should focus accountability on services directly related to the condition, rather than total spending on all of the patients' health care needs and for which the physician may be unable to control. Further, the model would encourage the use of physician-defined patient condition categories to ensure effective risk stratification in condition-based payment models. These models would be risk stratified based on the clinical characteristics and functional status of patients that are most relevant to the types of conditions being </w:t>
      </w:r>
      <w:r>
        <w:rPr>
          <w:rFonts w:ascii="arial" w:eastAsia="arial" w:hAnsi="arial" w:cs="arial"/>
          <w:b/>
          <w:i w:val="0"/>
          <w:strike w:val="0"/>
          <w:noProof w:val="0"/>
          <w:color w:val="000000"/>
          <w:position w:val="0"/>
          <w:sz w:val="20"/>
          <w:u w:val="none"/>
          <w:vertAlign w:val="baseline"/>
        </w:rPr>
        <w:t> [*312] </w:t>
      </w:r>
      <w:r>
        <w:rPr>
          <w:rFonts w:ascii="arial" w:eastAsia="arial" w:hAnsi="arial" w:cs="arial"/>
          <w:b w:val="0"/>
          <w:i w:val="0"/>
          <w:strike w:val="0"/>
          <w:noProof w:val="0"/>
          <w:color w:val="000000"/>
          <w:position w:val="0"/>
          <w:sz w:val="20"/>
          <w:u w:val="none"/>
          <w:vertAlign w:val="baseline"/>
        </w:rPr>
        <w:t xml:space="preserve"> managed. Patients could designate the physician who would be managing care for their condition(s) but would be required to use the team of providers chosen by that physician for delivery of services related to the condition(s). Further, target spending amounts would be set for condition-based payments and episode payments prior to the beginning of the performance period. Finally, physicians and other providers could be for high-value services that are not currently billable as part of condition-based and episode-based payment models that use retrospective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noted that while not recommending a specific framework, CMS should consider additional geographic-based models that include other costly procedures that vary in total episode costs, for example, spine surgery.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and suggestions that were offered and that while not adopting these suggestions for these models, we will take them into consideration as we explore similar models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Summary of Final Pricing Methodologies for AMI, CABG, and SHFFT Model Episode Scenarios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14 through 16 summarize our final standard pricing methodologies and the adjustments that will occur that are in sections III.D.4.b.(1) and (2) of this final rule for AMI, CABG, and SHFFT model episodes.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14--AMI Model Pricing Scenarios</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AMI pricing scenario</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Price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Single hospital AMI MS-DRG or PCI</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benchmark price is standard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MS-DRG (with AMI diagnosis)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benchmark price based 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anchor MS-DRG.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AMI MS-DRG or PCI MS-DRG (with AMI</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benchmark price is the sum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diagnosis) anchored episode with CABG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standard episode benchmark price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readmission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corresponding to the anchor MS-DRG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CABG anchor hospitalization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benchmark price corresponding to the</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readmission MS-DRG.</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15--CABG Model Pricing Scenarios</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CABG pricing scenario</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Price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Single hospital CABG MS-DRG with AMI</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benchmark price is the sum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diagnosis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CABG anchor hospitalization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benchmark price for the MS-DRG and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post-anchor hospitalization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benchmark price based on the presence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an AMI ICD-CM diagnosis code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whether the anchor MS-DRG is w/MCC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MCC.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Single hospital CABG MS-DRG without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benchmark price is the sum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AMI diagnosis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CABG anchor hospitalization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benchmark price for the MS-DRG and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post-anchor hospitalization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benchmark price based on no AMI ICD-CM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diagnosis code and whether the anchor</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MS-DRG is w/MCC or w/o MCC.</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16--SHFFT Model Pricing Scenarios</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SHFFT pricing scenario</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Price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SHFFT MS-DRG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benchmark price is standard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benchmark price based 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anchor MS-DRG (which is the price</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MS-DRG).</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Three Years of Historical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was the case for the CJR model </w:t>
      </w:r>
      <w:hyperlink r:id="rId21" w:history="1">
        <w:r>
          <w:rPr>
            <w:rFonts w:ascii="arial" w:eastAsia="arial" w:hAnsi="arial" w:cs="arial"/>
            <w:b w:val="0"/>
            <w:i/>
            <w:strike w:val="0"/>
            <w:noProof w:val="0"/>
            <w:color w:val="0077CC"/>
            <w:position w:val="0"/>
            <w:sz w:val="20"/>
            <w:u w:val="single"/>
            <w:vertAlign w:val="baseline"/>
          </w:rPr>
          <w:t>(80 FR 73340</w:t>
        </w:r>
      </w:hyperlink>
      <w:r>
        <w:rPr>
          <w:rFonts w:ascii="arial" w:eastAsia="arial" w:hAnsi="arial" w:cs="arial"/>
          <w:b w:val="0"/>
          <w:i w:val="0"/>
          <w:strike w:val="0"/>
          <w:noProof w:val="0"/>
          <w:color w:val="000000"/>
          <w:position w:val="0"/>
          <w:sz w:val="20"/>
          <w:u w:val="none"/>
          <w:vertAlign w:val="baseline"/>
        </w:rPr>
        <w:t xml:space="preserve"> through 73341), we proposed to use 3 years of historical EPM episodes for calculating EPM participants' EPM-episode benchmark prices, with each set of historical episodes updated every other year </w:t>
      </w:r>
      <w:hyperlink r:id="rId9" w:history="1">
        <w:r>
          <w:rPr>
            <w:rFonts w:ascii="arial" w:eastAsia="arial" w:hAnsi="arial" w:cs="arial"/>
            <w:b w:val="0"/>
            <w:i/>
            <w:strike w:val="0"/>
            <w:noProof w:val="0"/>
            <w:color w:val="0077CC"/>
            <w:position w:val="0"/>
            <w:sz w:val="20"/>
            <w:u w:val="single"/>
            <w:vertAlign w:val="baseline"/>
          </w:rPr>
          <w:t>(81 FR 50854).</w:t>
        </w:r>
      </w:hyperlink>
      <w:r>
        <w:rPr>
          <w:rFonts w:ascii="arial" w:eastAsia="arial" w:hAnsi="arial" w:cs="arial"/>
          <w:b w:val="0"/>
          <w:i w:val="0"/>
          <w:strike w:val="0"/>
          <w:noProof w:val="0"/>
          <w:color w:val="000000"/>
          <w:position w:val="0"/>
          <w:sz w:val="20"/>
          <w:u w:val="none"/>
          <w:vertAlign w:val="baseline"/>
        </w:rPr>
        <w:t xml:space="preserve"> Under our proposal, each of the first 2 years of historical data would be trended to the most recent of the 3 years, based on national trend factors for each combination of price MS-DRGs and payments would be updated for each payment system (for example, IPPS, PFS, etc.) based on annual changes in input costs (see sections III.D.4.b (4) and III.D.4.b (5) of the proposed rule). Under our proposal, we would establish historical EPM-episode payments based on episodes that started between--</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January 1, 2013 and December 31, 2015 for performance years 1 and 2;</w:t>
      </w:r>
    </w:p>
    <w:p>
      <w:pPr>
        <w:keepNext w:val="0"/>
        <w:numPr>
          <w:numId w:val="2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January 1, 2015 and December 31, 2017 for performance years 3 and 4; and</w:t>
      </w:r>
    </w:p>
    <w:p>
      <w:pPr>
        <w:keepNext w:val="0"/>
        <w:numPr>
          <w:numId w:val="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January 1, 2017 and December 31, 2019 for performance year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3 years of historical EPM-episode data should provide sufficient historical episode volume to reliably calculate EPM-episode benchmark prices, and that updating these data every other year would allow us to make the most current claims data available in a way that incorporates the effects of regular Medicare payment system updates and changes in utilization without creating uncertainty in pricing for EPM participants. We would further note that the effects of updating EPM-participant hospital-specific data on an EPM-episode's benchmark prices would diminish over time as the contribution of regional pricing on EPM benchmark prices will increase from one-third for performance years 1 and 2 to two-thirds in performance year 3, and 100 percent in performance years 4 and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3 years of historical data updated every other year under the EPMs was included in § 512.300(c)(1).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proposal for 3 years of historical data updated every other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that CMS apply more trend data than the 3 years we proposed. A commenter expressed concern that in the absence of several years of historical data, target setting would not fully reflect case mix and behavior changes in addition to historical claims patterns. </w:t>
      </w:r>
      <w:r>
        <w:rPr>
          <w:rFonts w:ascii="arial" w:eastAsia="arial" w:hAnsi="arial" w:cs="arial"/>
          <w:b/>
          <w:i w:val="0"/>
          <w:strike w:val="0"/>
          <w:noProof w:val="0"/>
          <w:color w:val="000000"/>
          <w:position w:val="0"/>
          <w:sz w:val="20"/>
          <w:u w:val="none"/>
          <w:vertAlign w:val="baseline"/>
        </w:rPr>
        <w:t> [*313] </w:t>
      </w:r>
      <w:r>
        <w:rPr>
          <w:rFonts w:ascii="arial" w:eastAsia="arial" w:hAnsi="arial" w:cs="arial"/>
          <w:b w:val="0"/>
          <w:i w:val="0"/>
          <w:strike w:val="0"/>
          <w:noProof w:val="0"/>
          <w:color w:val="000000"/>
          <w:position w:val="0"/>
          <w:sz w:val="20"/>
          <w:u w:val="none"/>
          <w:vertAlign w:val="baseline"/>
        </w:rPr>
        <w:t xml:space="preserve"> Further, an impact of a focus on short-term costs may be a shift away from new technologies proven to improve outcomes and reduce costs. Another commenter requested an additional 2 years of trend data for Program Year 1, to bring the data up from 2015 to the 2017 program level and another 3 years of trend data to bring the 2015 claims up to the 2018 level. A commenter requested that the process be open and transparent so as to insure that all impacted collaborators are given the information and opportunity to comment and adjust.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continue to believe our proposed period for 3 years of historical data updated every other year is appropriate for the models. We disagree that including additional years of data beyond those we proposed would be necessary or helpful. Instead, rather than improving our historical data, the request for additional years of data could result in more heterogeneous historical data that is less reflective of a participant's most recent 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use 3 years of historical EPM episodes for calculating EPM participants' EPM-episode benchmark prices, with each set of historical episodes updated every other year. The final policy for using 3 years of historical EPM episodes for calculating benchmark prices is included in § 512.300(c)(1).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Trending Historical Data to the Most Recent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some payment variation could exist in the 3 years of historical EPM-episode data due to annual Medicare payment system updates (for example, IPPS, OPPS, IRF PPS, SNF PPS) and national changes in utilization patterns. Thus, EPM episodes in the third year of the 3 historical years might have higher average payments than those from the earlier 2 years, in part due to Medicare payment rate increases over the course of the 3-year period. Also, EPM-episode payments could change over time due to national trends reflecting changes in industry-wide practice patterns. For example, readmissions for all patients, including those in CABG model episodes, may decrease nationally due to improved industry-wide surgical protocols that reduce the chance of infections. We do not intend for the incentives under the EPMs to be affected by Medicare payment system rate changes that are beyond EPM participants' control or to provide reconciliation payments to (or require repayments from) EPM participants for achieving lower (or higher) Medicare expenditures solely because they followed national changes in practice patterns. Instead, we aim to incentivize EPM participants to improve care quality and efficiency based on their hospital-specific inpatient and post-discharge care practices under the EPMs.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mitigate the effects of Medicare payment system updates and changes in national utilization practice patterns on the 3 years of historical episode data, we proposed to apply a national trend factor to each of the years of historical EPM-episode payments </w:t>
      </w:r>
      <w:hyperlink r:id="rId9" w:history="1">
        <w:r>
          <w:rPr>
            <w:rFonts w:ascii="arial" w:eastAsia="arial" w:hAnsi="arial" w:cs="arial"/>
            <w:b w:val="0"/>
            <w:i/>
            <w:strike w:val="0"/>
            <w:noProof w:val="0"/>
            <w:color w:val="0077CC"/>
            <w:position w:val="0"/>
            <w:sz w:val="20"/>
            <w:u w:val="single"/>
            <w:vertAlign w:val="baseline"/>
          </w:rPr>
          <w:t>(81 FR 50855)</w:t>
        </w:r>
      </w:hyperlink>
      <w:r>
        <w:rPr>
          <w:rFonts w:ascii="arial" w:eastAsia="arial" w:hAnsi="arial" w:cs="arial"/>
          <w:b w:val="0"/>
          <w:i w:val="0"/>
          <w:strike w:val="0"/>
          <w:noProof w:val="0"/>
          <w:color w:val="000000"/>
          <w:position w:val="0"/>
          <w:sz w:val="20"/>
          <w:u w:val="none"/>
          <w:vertAlign w:val="baseline"/>
        </w:rPr>
        <w:t xml:space="preserve"> as we do with the CJR model </w:t>
      </w:r>
      <w:hyperlink r:id="rId21" w:history="1">
        <w:r>
          <w:rPr>
            <w:rFonts w:ascii="arial" w:eastAsia="arial" w:hAnsi="arial" w:cs="arial"/>
            <w:b w:val="0"/>
            <w:i/>
            <w:strike w:val="0"/>
            <w:noProof w:val="0"/>
            <w:color w:val="0077CC"/>
            <w:position w:val="0"/>
            <w:sz w:val="20"/>
            <w:u w:val="single"/>
            <w:vertAlign w:val="baseline"/>
          </w:rPr>
          <w:t>(80 FR 73341</w:t>
        </w:r>
      </w:hyperlink>
      <w:r>
        <w:rPr>
          <w:rFonts w:ascii="arial" w:eastAsia="arial" w:hAnsi="arial" w:cs="arial"/>
          <w:b w:val="0"/>
          <w:i w:val="0"/>
          <w:strike w:val="0"/>
          <w:noProof w:val="0"/>
          <w:color w:val="000000"/>
          <w:position w:val="0"/>
          <w:sz w:val="20"/>
          <w:u w:val="none"/>
          <w:vertAlign w:val="baseline"/>
        </w:rPr>
        <w:t xml:space="preserve"> through 73342). Specifically, we proposed to inflate the 2 oldest years of historical EPM-episode payments for EPM episodes to the most recent year of the 3 historical years using changes in the national EPM-episode payments for each different type of EPM episode. That is, we proposed to apply separate national trend factors for the following pricing scenarios:</w:t>
      </w:r>
    </w:p>
    <w:p>
      <w:pPr>
        <w:keepNext w:val="0"/>
        <w:numPr>
          <w:numId w:val="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SHFFT model episodes, separately by each price MS-DRG in 480-482.</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AMI model episodes without CABG readmissions, separately by each price MS-DRG in 280-282 and 246-251; and</w:t>
      </w:r>
    </w:p>
    <w:p>
      <w:pPr>
        <w:keepNext w:val="0"/>
        <w:numPr>
          <w:numId w:val="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anchor hospitalization portion of CABG model episodes, separately by each price MS-DRG in 231-236.</w:t>
      </w:r>
    </w:p>
    <w:p>
      <w:pPr>
        <w:keepNext w:val="0"/>
        <w:numPr>
          <w:numId w:val="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post-anchor hospitalization portion of CABG model episodes, separately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 AMI ICD-CM diagnosis code on the anchor inpatient claim and CABG price MS-DRG with major complication or comorbidity (231, 233, or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 AMI ICD-CM diagnosis code on the anchor inpatient claim and CABG price MS-DRG without major complication or comorbidity (232, 234, or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Without AMI ICD-CM diagnosis code on the anchor inpatient claim and CABG price MS-DRG with major complication or comorbidity (231, 233, or 235);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Without AMI ICD-CM diagnosis code on the anchor inpatient claim and CABG price MS-DRG without major complication or comorbidity (232, 234, or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when using Calendar Year (CY) 2013 through 2015 historical EPM-episode data to establish EPM-episode benchmark prices for performance years 1 and 2, we would calculate an aggregate national average SHFFT model episode payment in historical episodes with price MS-DRG 480 for each of the 3 historical years. To trend historical payments to the most recent year in an historical window, we would create a ratio based on national average historical EPM-episode payment for that episode type in a previous year and for the most recent year. Thus, in this example, we would create a ratio of national average SHFFT model historical episode payment with price MS-DRG 480 in CY 2015 as compared to that national average SHFFT model historical episode payment in CY 2013 in order to trend the CY 2013 historical SHFFT model episode payments to CY 2015. Similarly, we would determine the ratio of the national average SHFFT model historical episode payment for CY 2015 to national average SHFFT model historical episode payment in CY 2014 to trend 2014 SHFFT model episode payments to CY 2015. This process would be repeated for each pricing scenario previously listed.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noted our belief that this method for trending data would capture updates in Medicare payment systems as well as national utilization pattern changes that might have occurred within that 3-year period. Moreover, as with the CJR model, we believed that adjusting for national rather than regional trends in utilization would be most appropriate as any Medicare payment system updates and significant changes in utilization practice patterns would not be region-specific but rather be reflected nationally.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trending historical data was included in § 512.300(c) (11). We sought comment on our proposal for trending historical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addressed the use and trending of historical data. A commenter expressed their general agreement with the proposed trending methodology, but recommended that CMS update prices every other year rather than annually to limit the extent that participants would face increasingly more difficult targets. Another commenter recommended that CMS trend the initial 3 years of historical data for the full five years of the models. A commenter suggested that CMS apply more trend data to each performance year and expressed concerns that while CMS would trend data to the end of the benchmark 3-year period, CMS would not be trending data from the end of the benchmark period to match the time period for which the prices will be applied to pay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we received on our proposal to trend data and would like to clarify that their application would be on a semi-annual basis when we update target prices rather than annually. We disagree with the suggestion to apply </w:t>
      </w:r>
      <w:r>
        <w:rPr>
          <w:rFonts w:ascii="arial" w:eastAsia="arial" w:hAnsi="arial" w:cs="arial"/>
          <w:b/>
          <w:i w:val="0"/>
          <w:strike w:val="0"/>
          <w:noProof w:val="0"/>
          <w:color w:val="000000"/>
          <w:position w:val="0"/>
          <w:sz w:val="20"/>
          <w:u w:val="none"/>
          <w:vertAlign w:val="baseline"/>
        </w:rPr>
        <w:t> [*314] </w:t>
      </w:r>
      <w:r>
        <w:rPr>
          <w:rFonts w:ascii="arial" w:eastAsia="arial" w:hAnsi="arial" w:cs="arial"/>
          <w:b w:val="0"/>
          <w:i w:val="0"/>
          <w:strike w:val="0"/>
          <w:noProof w:val="0"/>
          <w:color w:val="000000"/>
          <w:position w:val="0"/>
          <w:sz w:val="20"/>
          <w:u w:val="none"/>
          <w:vertAlign w:val="baseline"/>
        </w:rPr>
        <w:t xml:space="preserve"> the 3 initial years of trend data to all five performance years as our intention is to establish target prices for the models using more recent performance data so as to maintain incentives for participants to continuously improve. Similarly, we disagree with the suggestion to expand the number of years used to trend data or to permanently relate trend data for a given performance year to those data for the initial 3-year benchmark period as doing so would result in data that are less representative of a participant's most recent 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trend data. Our final policy for trending data is included in § 512.300(c)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Update Historical EPM-Episode Payments To Account for Ongoing Payment System Updates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mentioned, we proposed to prospectively update the historical EPM- episode payments to account for ongoing updates to Medicare payment systems (for example, IPPS, OPPS, IRF PPS, SNF, PFS, etc.) in order to ensure we incentivize EPM participants based on historical utilization and practice patterns, not Medicare payment system rate changes that are beyond hospitals' control. Under our proposal </w:t>
      </w:r>
      <w:hyperlink r:id="rId9" w:history="1">
        <w:r>
          <w:rPr>
            <w:rFonts w:ascii="arial" w:eastAsia="arial" w:hAnsi="arial" w:cs="arial"/>
            <w:b w:val="0"/>
            <w:i/>
            <w:strike w:val="0"/>
            <w:noProof w:val="0"/>
            <w:color w:val="0077CC"/>
            <w:position w:val="0"/>
            <w:sz w:val="20"/>
            <w:u w:val="single"/>
            <w:vertAlign w:val="baseline"/>
          </w:rPr>
          <w:t>(81 FR 50855),</w:t>
        </w:r>
      </w:hyperlink>
      <w:r>
        <w:rPr>
          <w:rFonts w:ascii="arial" w:eastAsia="arial" w:hAnsi="arial" w:cs="arial"/>
          <w:b w:val="0"/>
          <w:i w:val="0"/>
          <w:strike w:val="0"/>
          <w:noProof w:val="0"/>
          <w:color w:val="000000"/>
          <w:position w:val="0"/>
          <w:sz w:val="20"/>
          <w:u w:val="none"/>
          <w:vertAlign w:val="baseline"/>
        </w:rPr>
        <w:t xml:space="preserve"> we would apply the same methodology developed for the CJR model to incorporate Medicare payment updates </w:t>
      </w:r>
      <w:hyperlink r:id="rId21" w:history="1">
        <w:r>
          <w:rPr>
            <w:rFonts w:ascii="arial" w:eastAsia="arial" w:hAnsi="arial" w:cs="arial"/>
            <w:b w:val="0"/>
            <w:i/>
            <w:strike w:val="0"/>
            <w:noProof w:val="0"/>
            <w:color w:val="0077CC"/>
            <w:position w:val="0"/>
            <w:sz w:val="20"/>
            <w:u w:val="single"/>
            <w:vertAlign w:val="baseline"/>
          </w:rPr>
          <w:t>(80 FR 73342</w:t>
        </w:r>
      </w:hyperlink>
      <w:r>
        <w:rPr>
          <w:rFonts w:ascii="arial" w:eastAsia="arial" w:hAnsi="arial" w:cs="arial"/>
          <w:b w:val="0"/>
          <w:i w:val="0"/>
          <w:strike w:val="0"/>
          <w:noProof w:val="0"/>
          <w:color w:val="000000"/>
          <w:position w:val="0"/>
          <w:sz w:val="20"/>
          <w:u w:val="none"/>
          <w:vertAlign w:val="baseline"/>
        </w:rPr>
        <w:t xml:space="preserve"> through 73446).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Medicare payment systems rates are not updated at the same time during the year--for example, rates under the IPPS, IRF PPS, and SNF payment systems are updated effective October 1, while the hospital OPPS and MPFS rates are updated annually effective January 1--we proposed to generally update historical EPM-episode payments and calculate EPM-episode benchmark prices separately for EPM episodes initiated between January 1 and September 30 versus October 1 and December 31 of each performance year, and at other intervals if determined necessary. The EPM-episode benchmark price in effect as of the day the EPM episode is initiated would be the EPM-episode benchmark price for the whole EPM episode. Note that for performance year 5, the second set of EPM-episode benchmark prices would be for EPM episodes that start and end between and including October 1 and December 31 because the fifth performance period of the SHFFT, CABG, and AMI models would end on December 31, 2021. Also, an EPM episode benchmark price for a given EPM performance year could be applied to EPM episodes included in another performance year. For example, an EPM episode initiated in November 2017, and ending in February 2018 would have an EPM-episode benchmark price based on the second set of 2017 EPM-episode benchmark prices (for EPM episodes initiated between October 1, 2017, and December 31, 2017), and it would be captured in the CY 2018 EPM performance year (performance year 2) because it ended between January 1, 2018, and December 31, 2018. We refer to section III.D.2.a. of this final rule for further discussion on the definition of EPM performance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update historical EPM-episode payments by applying separate Medicare payment system update factors each January 1 and October 1 to each of the following six components of each EPM participant's historical EPM-episode payments:</w:t>
      </w: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acute.</w:t>
      </w:r>
    </w:p>
    <w:p>
      <w:pPr>
        <w:keepNext w:val="0"/>
        <w:numPr>
          <w:numId w:val="2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IRF.</w:t>
      </w:r>
    </w:p>
    <w:p>
      <w:pPr>
        <w:keepNext w:val="0"/>
        <w:numPr>
          <w:numId w:val="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SNF.</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HHA.</w:t>
      </w:r>
    </w:p>
    <w:p>
      <w:pPr>
        <w:keepNext w:val="0"/>
        <w:numPr>
          <w:numId w:val="2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different set of update factors would be calculated for January 1 through September 30 versus October 1 through December 31 EPM episodes each EPM performance year. The six update factors for each of the previously stated components would be EPM-participant hospital-specific and would be weighted by the percent of the Medicare payment for which each of the six components accounts in the EPM participant's historical EPM episodes. The weighted update factors would be applied to historical EPM-participant-specific average payments to incorporate ongoing Medicare payment system updates. A weighted update factor would be calculated by multiplying the component-specific update factor by the percent of the EPM participant's historical EPM-episode payments the component represents, and summing together the results. Each of an EPM participant's six update factors would be based on how inputs have changed in the various Medicare payment systems for the specific EPM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example, we would assume for purposes of this example that 50 percent of an EPM participant's historical EPM-episode payments were for inpatient acute care services, 15 percent were for physician services, 35 percent were for SNF services, and 0.0 percent were for the remaining services. We would also assume for purposes of this example that the update factors for inpatient acute care services, physician services, and SNF services are 1.02, 1.03, and 1.01, respectively. The weighted update factor in this example would be the following: (0.5 * 1.02) + (0.15 * 1.03) + (0.35 * 1.01) = 1.018. The EPM participant in this example would have its historical average EPM-episode payments multiplied by 1.018 to incorporate ongoing payment system updates. The specific order of steps, and how this step fits in with others, is discussed further in sections III.D.4.c through d. of the proposed rule. Also, as discussed further in sections III.D.4.c. through d. of the proposed rule, the update factors would vary by price MS-DRG. For example, in CABG model episodes, the update factors would be calculated separately for the anchor hospitalization portion of episodes and the post-anchor hospitalization portion of episodes, as described in section III.D.4.d. of the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Region-specific update factors for each of the previously stated components and weighted update factors would also be calculated in the same manner as the EPM-participant-specific update factors. Instead of using historical EPM episodes attributed to a specific hospital, region-specific update factors would be based on all historical EPM episodes initiated at any IPPS hospital within the region with historical EPM episodes, regardless of whether or not the MSAs in which the hospitals are located were selected for inclusion in the models. We referred to the CJR Final Rule </w:t>
      </w:r>
      <w:hyperlink r:id="rId21" w:history="1">
        <w:r>
          <w:rPr>
            <w:rFonts w:ascii="arial" w:eastAsia="arial" w:hAnsi="arial" w:cs="arial"/>
            <w:b w:val="0"/>
            <w:i/>
            <w:strike w:val="0"/>
            <w:noProof w:val="0"/>
            <w:color w:val="0077CC"/>
            <w:position w:val="0"/>
            <w:sz w:val="20"/>
            <w:u w:val="single"/>
            <w:vertAlign w:val="baseline"/>
          </w:rPr>
          <w:t>(80 FR 73342</w:t>
        </w:r>
      </w:hyperlink>
      <w:r>
        <w:rPr>
          <w:rFonts w:ascii="arial" w:eastAsia="arial" w:hAnsi="arial" w:cs="arial"/>
          <w:b w:val="0"/>
          <w:i w:val="0"/>
          <w:strike w:val="0"/>
          <w:noProof w:val="0"/>
          <w:color w:val="000000"/>
          <w:position w:val="0"/>
          <w:sz w:val="20"/>
          <w:u w:val="none"/>
          <w:vertAlign w:val="baseline"/>
        </w:rPr>
        <w:t xml:space="preserve"> through 73446) for further discussion of our specific methodology and considerations for adopting this methodology for updating historical EPM-episode payments for ongoing payment system updates.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for updating episode payments for ongoing annual Medicare payment updates was included in § 512.300(c)(10). We sought comment on our proposal for updating episodes payments for ongoing annual Medicare payment updates. We received no specific comments on our proposal for updating historical EPM-episode payments to account for ongoing payment system updates. However, we wish to highlight that, as we do for the CJR model </w:t>
      </w:r>
      <w:hyperlink r:id="rId21" w:history="1">
        <w:r>
          <w:rPr>
            <w:rFonts w:ascii="arial" w:eastAsia="arial" w:hAnsi="arial" w:cs="arial"/>
            <w:b w:val="0"/>
            <w:i/>
            <w:strike w:val="0"/>
            <w:noProof w:val="0"/>
            <w:color w:val="0077CC"/>
            <w:position w:val="0"/>
            <w:sz w:val="20"/>
            <w:u w:val="single"/>
            <w:vertAlign w:val="baseline"/>
          </w:rPr>
          <w:t>(80 FR 73343</w:t>
        </w:r>
      </w:hyperlink>
      <w:r>
        <w:rPr>
          <w:rFonts w:ascii="arial" w:eastAsia="arial" w:hAnsi="arial" w:cs="arial"/>
          <w:b w:val="0"/>
          <w:i w:val="0"/>
          <w:strike w:val="0"/>
          <w:noProof w:val="0"/>
          <w:color w:val="000000"/>
          <w:position w:val="0"/>
          <w:sz w:val="20"/>
          <w:u w:val="none"/>
          <w:vertAlign w:val="baseline"/>
        </w:rPr>
        <w:t xml:space="preserve"> through 73344), where an equation is used to calculate update factors for payment systems that apply annual updates to their rates effective October 1 of each year such as for inpatient acute, SNF, and IRF services, in lieu of calculating the update factors using the values applicable at the end of the latest historical year used to calculate target prices, we use a blend of the values applicable during the latest historical </w:t>
      </w:r>
      <w:r>
        <w:rPr>
          <w:rFonts w:ascii="arial" w:eastAsia="arial" w:hAnsi="arial" w:cs="arial"/>
          <w:b/>
          <w:i w:val="0"/>
          <w:strike w:val="0"/>
          <w:noProof w:val="0"/>
          <w:color w:val="000000"/>
          <w:position w:val="0"/>
          <w:sz w:val="20"/>
          <w:u w:val="none"/>
          <w:vertAlign w:val="baseline"/>
        </w:rPr>
        <w:t> [*315] </w:t>
      </w:r>
      <w:r>
        <w:rPr>
          <w:rFonts w:ascii="arial" w:eastAsia="arial" w:hAnsi="arial" w:cs="arial"/>
          <w:b w:val="0"/>
          <w:i w:val="0"/>
          <w:strike w:val="0"/>
          <w:noProof w:val="0"/>
          <w:color w:val="000000"/>
          <w:position w:val="0"/>
          <w:sz w:val="20"/>
          <w:u w:val="none"/>
          <w:vertAlign w:val="baseline"/>
        </w:rPr>
        <w:t xml:space="preserve"> year. This blend is intended to account for the payment systems that update payment rates on a fiscal year cycle, and ensure we are calculating update factors based on the payment rates that apply to a given period to the extent feasible, and result in more accurate target price calculations.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the proposal, without modification, to update episode payments for ongoing annual Medicare payment updates. The final policy for updating episode payments for ongoing annual Medicare payment updates is included in § 512.300(c)(10).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Blend Hospital-Specific and Regional Historical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calculate EPM-episode benchmark prices using a blend of EPM-participant-specific and regional historical average EPM-episode payments, including historical EPM-episode payments for all IPPS hospitals that are in the same U.S. Census division, which was discussed further in section III.D.4.b.(7) of the proposed rule </w:t>
      </w:r>
      <w:hyperlink r:id="rId9" w:history="1">
        <w:r>
          <w:rPr>
            <w:rFonts w:ascii="arial" w:eastAsia="arial" w:hAnsi="arial" w:cs="arial"/>
            <w:b w:val="0"/>
            <w:i/>
            <w:strike w:val="0"/>
            <w:noProof w:val="0"/>
            <w:color w:val="0077CC"/>
            <w:position w:val="0"/>
            <w:sz w:val="20"/>
            <w:u w:val="single"/>
            <w:vertAlign w:val="baseline"/>
          </w:rPr>
          <w:t>(81 FR 50856).</w:t>
        </w:r>
      </w:hyperlink>
      <w:r>
        <w:rPr>
          <w:rFonts w:ascii="arial" w:eastAsia="arial" w:hAnsi="arial" w:cs="arial"/>
          <w:b w:val="0"/>
          <w:i w:val="0"/>
          <w:strike w:val="0"/>
          <w:noProof w:val="0"/>
          <w:color w:val="000000"/>
          <w:position w:val="0"/>
          <w:sz w:val="20"/>
          <w:u w:val="none"/>
          <w:vertAlign w:val="baseline"/>
        </w:rPr>
        <w:t xml:space="preserve"> Specifically, we proposed to blend two-thirds of the EPM-participant-specific historical EPM-episode payments and one-third of the regional historical EPM-episode payments to set an EPM participant's EPM-episode benchmark prices for the first 2 performance years of the EPMs (CYs 2017 and 2018). For performance year 3 of the EPMs (CY 2019), we proposed to adjust the proportion of the EPM-participant-specific and regional historical EPM-episode payments used to calculate the EPM-episode benchmark prices from two-thirds EPM participant-specific and one-third regional to one-third EPM participant-specific and two-thirds regional. Finally, we proposed to use only regional historical EPM-episode payments for performance years 4 and 5 of the EPMs (CYs 2020 and 2021) to set an EPM participant's EPM episode-benchmark prices, rather than a blend between the participant-specific and regional historical EPM episode payments.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our methodology for the CJR model </w:t>
      </w:r>
      <w:hyperlink r:id="rId21" w:history="1">
        <w:r>
          <w:rPr>
            <w:rFonts w:ascii="arial" w:eastAsia="arial" w:hAnsi="arial" w:cs="arial"/>
            <w:b w:val="0"/>
            <w:i/>
            <w:strike w:val="0"/>
            <w:noProof w:val="0"/>
            <w:color w:val="0077CC"/>
            <w:position w:val="0"/>
            <w:sz w:val="20"/>
            <w:u w:val="single"/>
            <w:vertAlign w:val="baseline"/>
          </w:rPr>
          <w:t>(80 FR 73544),</w:t>
        </w:r>
      </w:hyperlink>
      <w:r>
        <w:rPr>
          <w:rFonts w:ascii="arial" w:eastAsia="arial" w:hAnsi="arial" w:cs="arial"/>
          <w:b w:val="0"/>
          <w:i w:val="0"/>
          <w:strike w:val="0"/>
          <w:noProof w:val="0"/>
          <w:color w:val="000000"/>
          <w:position w:val="0"/>
          <w:sz w:val="20"/>
          <w:u w:val="none"/>
          <w:vertAlign w:val="baseline"/>
        </w:rPr>
        <w:t xml:space="preserve"> we proposed two exceptions. First, we proposed to use only regional historical EPM-episode payments to calculate EPM episode-benchmark prices for EPM participants with low historic EPM-episode volume). For SHFFT model episodes, this exception applies to SHFFT model participants with fewer than 50 historical SHFFT model episodes in total across the 3 historical years. For AMI model episodes anchored by MS-DRGs 280-282, this exception applies to AMI model participants with fewer than 75 of these particular AMI model historical episodes in total across the 3 historical years. For AMI model episodes anchored by PCI MS-DRGs 246-251, this exception applies to AMI model participants with fewer than 125 of this particular AMI model historical episodes in total across the 3 historical years. For CABG model episodes, this exception applies to CABG model participants with fewer than 50 historical CABG model episodes in total across the 3 historical years. The thresholds for low historic volume in this final rule are higher than the CJR model threshold for low historical LEJR episode volume of 20 episodes in total across the 3 historical years. The higher thresholds are based on the volume thresholds from the BPCI Model 2 Risk Track B for 90-day episodes, which increase when the ratio of within-hospital episode spending variation to between-hospital episode spending variation increases. That is, as EPM episode payment variation increases within a hospital relative to EPM-episode payment variation between hospitals, it is necessary to have more EPM episodes at that hospital to estimate a stable EPM-episode benchmark price using data from only that hospital. We proposed to set higher thresholds for the SHFFT, AMI, and CABG models based on internal analysis from BPCI episode data that shows higher within-hospital episode spending variation relative to between-hospital episode spending variation for episodes anchored by the EPM MS-DRGs, compared to episodes anchored by MS-DRGs 469 and 470 included in the CJR model. n83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 BPCI Model 2 Baseline Price Common Template calculations for 90-day episodes in Risk Track B calculates BPCI volume thresholds based on the ratio of within-hospital episode spending variation and between-hospital episode spending variation for BPCI Clinical Episodes, based on episodes that met BPCI eligibility criteria and that began in July 1, 2009-June 30, 2012.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in the case of an EPM participant that has undergone a merger, consolidation, spin-off, or other reorganization that results in a new hospital entity without 3 full years of historical claims data, we proposed that EPM participant hospital-specific historical EPM-episode payments would be determined using the historical EPM episode payments attributed to their predecessor(s), as in the CJR model </w:t>
      </w:r>
      <w:hyperlink r:id="rId21" w:history="1">
        <w:r>
          <w:rPr>
            <w:rFonts w:ascii="arial" w:eastAsia="arial" w:hAnsi="arial" w:cs="arial"/>
            <w:b w:val="0"/>
            <w:i/>
            <w:strike w:val="0"/>
            <w:noProof w:val="0"/>
            <w:color w:val="0077CC"/>
            <w:position w:val="0"/>
            <w:sz w:val="20"/>
            <w:u w:val="single"/>
            <w:vertAlign w:val="baseline"/>
          </w:rPr>
          <w:t>(80 FR 73544).</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aforementioned proposals align with our method for blending EPM participant hospital-specific and regional data under the CJR model. We referred to the CJR model Final Rule </w:t>
      </w:r>
      <w:hyperlink r:id="rId21" w:history="1">
        <w:r>
          <w:rPr>
            <w:rFonts w:ascii="arial" w:eastAsia="arial" w:hAnsi="arial" w:cs="arial"/>
            <w:b w:val="0"/>
            <w:i/>
            <w:strike w:val="0"/>
            <w:noProof w:val="0"/>
            <w:color w:val="0077CC"/>
            <w:position w:val="0"/>
            <w:sz w:val="20"/>
            <w:u w:val="single"/>
            <w:vertAlign w:val="baseline"/>
          </w:rPr>
          <w:t>(80 FR 73346</w:t>
        </w:r>
      </w:hyperlink>
      <w:r>
        <w:rPr>
          <w:rFonts w:ascii="arial" w:eastAsia="arial" w:hAnsi="arial" w:cs="arial"/>
          <w:b w:val="0"/>
          <w:i w:val="0"/>
          <w:strike w:val="0"/>
          <w:noProof w:val="0"/>
          <w:color w:val="000000"/>
          <w:position w:val="0"/>
          <w:sz w:val="20"/>
          <w:u w:val="none"/>
          <w:vertAlign w:val="baseline"/>
        </w:rPr>
        <w:t xml:space="preserve"> through 73349) for further discussion on alternatives to and reasons for adopting this methodology for the CJR model, which informed our proposal with respect to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blending payments when establishing participants' benchmark and quality-adjusted targets and certain exceptions was included in § 512.300(c)(2), (3), and (4). We note that the specific order of steps, and how this step fits in with others, is discussed further in section III.D.4.c. of this final rule. We sought comment on our proposal for blending payments when establishing participants' benchmark and quality-adjusted targets as well as the exceptions.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expressed different views on the proposal to base prices initially on a blend of participant-specific and regional historical data, while phasing in full regional pricing. Their perspective commonly related to the proposal to determine regional prices based on U.S. Census Divisions, which is discussed in section III.D.4.b.(7) that immediately follows. Some commenters appreciated the proposal of moving to regional pricing because it would help attenuate the effect of participants having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against their own best performance and where the most efficient participants in a region could be rewarded. Moreover, some of these commenters recommended that CMS even accelerate regional pricing or allow efficient participants the option to transition from historic to regional target prices at an accelerated rate. A commenter viewed the proposal as a way to incentivize both historically efficient and less efficient hospitals to provide high quality, efficient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supporting our proposal to blend payments when establishing participants' benchmark and quality-adjusted targets and agree with their perceived benefits of the proposal. We do not agree with suggestions to accelerate regional pricing or allowing flexibility for hospitals to accelerate their transition to regional prices. We continue to believe our proposed phase-in period for regional pricing would generally be most protective of participants as they adjust to the models because their performance would be compared to their own historical performance rather than hospitals in their region. We are also concerned that allowing certain hospitals the option to accelerate toward regional pricing as was suggested could affect our estimates </w:t>
      </w:r>
      <w:r>
        <w:rPr>
          <w:rFonts w:ascii="arial" w:eastAsia="arial" w:hAnsi="arial" w:cs="arial"/>
          <w:b/>
          <w:i w:val="0"/>
          <w:strike w:val="0"/>
          <w:noProof w:val="0"/>
          <w:color w:val="000000"/>
          <w:position w:val="0"/>
          <w:sz w:val="20"/>
          <w:u w:val="none"/>
          <w:vertAlign w:val="baseline"/>
        </w:rPr>
        <w:t> [*316] </w:t>
      </w:r>
      <w:r>
        <w:rPr>
          <w:rFonts w:ascii="arial" w:eastAsia="arial" w:hAnsi="arial" w:cs="arial"/>
          <w:b w:val="0"/>
          <w:i w:val="0"/>
          <w:strike w:val="0"/>
          <w:noProof w:val="0"/>
          <w:color w:val="000000"/>
          <w:position w:val="0"/>
          <w:sz w:val="20"/>
          <w:u w:val="none"/>
          <w:vertAlign w:val="baseline"/>
        </w:rPr>
        <w:t xml:space="preserve"> and possibly generate inflated reconciliation payments due to potential selection issues if historically efficient hospitals were to opt earlier for a more generous regional price. Allowing certain hospitals the option to select regional pricing earlier would also increase administrative complexity under the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opposed proposed regional pricing policy, asking that CMS slow its phase-in period, asking that CMS phase-in regional prices to something less than 100 percent, for example, to only a 50-50 blend of participant-specific and regional pricing, or relying solely on participant-specific performance data. Some commenters suggested that hospitals might not be prepared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relative to regional pricing while others expressed concern that hospitals would be penalized for factors beyond their control, for example, hospitals with a disproportionately large population of high-cost or vulnerable beneficiaries. Thus, several commenters suggested that CMS also account for these factors.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we stated in the CJR Final Rule </w:t>
      </w:r>
      <w:hyperlink r:id="rId21" w:history="1">
        <w:r>
          <w:rPr>
            <w:rFonts w:ascii="arial" w:eastAsia="arial" w:hAnsi="arial" w:cs="arial"/>
            <w:b w:val="0"/>
            <w:i/>
            <w:strike w:val="0"/>
            <w:noProof w:val="0"/>
            <w:color w:val="0077CC"/>
            <w:position w:val="0"/>
            <w:sz w:val="20"/>
            <w:u w:val="single"/>
            <w:vertAlign w:val="baseline"/>
          </w:rPr>
          <w:t>(80 FR 73348),</w:t>
        </w:r>
      </w:hyperlink>
      <w:r>
        <w:rPr>
          <w:rFonts w:ascii="arial" w:eastAsia="arial" w:hAnsi="arial" w:cs="arial"/>
          <w:b w:val="0"/>
          <w:i w:val="0"/>
          <w:strike w:val="0"/>
          <w:noProof w:val="0"/>
          <w:color w:val="000000"/>
          <w:position w:val="0"/>
          <w:sz w:val="20"/>
          <w:u w:val="none"/>
          <w:vertAlign w:val="baseline"/>
        </w:rPr>
        <w:t xml:space="preserve"> we believe that only using participant-specific pricing would not reward already efficient participants for maintaining high performance and participants already delivering high quality and efficient care would find it challenging to improve upon their own historical performance to quality for reconciliation payments. We appreciate the concerns raised about participants being penalized for factors beyond their control once regional prices are phased-in. As discussed earlier in section III.D.4.b.(2) of this final rule, we will be exploring additional methods for further risk-adjusting episodes under the models that we intend to make effective by PY3. We believe that these additional adjustments in tandem with our general methodology for risk stratification, caps on high-payment episodes, and limits on Medicare repayments will offer sufficient protections to participants so that they are not penalized once regional pricing is phased-in.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noted that even when regional pricing is fully phased-in, CMS and participants will see diminishing returns over time, beginning with providers in low-spending areas where more limited opportunities for additional gains in efficiency exist and target prices could not be further constrained without putting the quality of care at risk. Thus, these commenters requested that CMS use the </w:t>
      </w:r>
      <w:r>
        <w:rPr>
          <w:rFonts w:ascii="arial" w:eastAsia="arial" w:hAnsi="arial" w:cs="arial"/>
          <w:b w:val="0"/>
          <w:i/>
          <w:strike w:val="0"/>
          <w:noProof w:val="0"/>
          <w:color w:val="000000"/>
          <w:position w:val="0"/>
          <w:sz w:val="20"/>
          <w:u w:val="none"/>
          <w:vertAlign w:val="baseline"/>
        </w:rPr>
        <w:t>higher</w:t>
      </w:r>
      <w:r>
        <w:rPr>
          <w:rFonts w:ascii="arial" w:eastAsia="arial" w:hAnsi="arial" w:cs="arial"/>
          <w:b w:val="0"/>
          <w:i w:val="0"/>
          <w:strike w:val="0"/>
          <w:noProof w:val="0"/>
          <w:color w:val="000000"/>
          <w:position w:val="0"/>
          <w:sz w:val="20"/>
          <w:u w:val="none"/>
          <w:vertAlign w:val="baseline"/>
        </w:rPr>
        <w:t xml:space="preserve"> of national or regional historical episode payments when calculating the target price to help ensure that appropriate incentives are provided to participants in both high- and low-spending areas. A commenter recommended that CMS vary pricing based on whether the participants is in a MSA with higher or lower than average historical prices. For example, for participants in MSAs with costs well above the national average, target prices would be based on a blend of participant-specific data and MSA historical data to help level the playing field while continuing to allow program savings. For participants in MSAs already below the national average, CMS should use a 5-state regional benchmark that would allow high performing MSAs to drive improvement and achieve savings for CMS and providers. Alternatively, some commenters recommended that CMS adopt a bifurcated transition whereby it uses a lower weight for the participants determined to have spending higher than their region similar to the Shared Savings Program.</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we stated in the CJR Final Rule </w:t>
      </w:r>
      <w:hyperlink r:id="rId21" w:history="1">
        <w:r>
          <w:rPr>
            <w:rFonts w:ascii="arial" w:eastAsia="arial" w:hAnsi="arial" w:cs="arial"/>
            <w:b w:val="0"/>
            <w:i/>
            <w:strike w:val="0"/>
            <w:noProof w:val="0"/>
            <w:color w:val="0077CC"/>
            <w:position w:val="0"/>
            <w:sz w:val="20"/>
            <w:u w:val="single"/>
            <w:vertAlign w:val="baseline"/>
          </w:rPr>
          <w:t>(80 FR 73348),</w:t>
        </w:r>
      </w:hyperlink>
      <w:r>
        <w:rPr>
          <w:rFonts w:ascii="arial" w:eastAsia="arial" w:hAnsi="arial" w:cs="arial"/>
          <w:b w:val="0"/>
          <w:i w:val="0"/>
          <w:strike w:val="0"/>
          <w:noProof w:val="0"/>
          <w:color w:val="000000"/>
          <w:position w:val="0"/>
          <w:sz w:val="20"/>
          <w:u w:val="none"/>
          <w:vertAlign w:val="baseline"/>
        </w:rPr>
        <w:t xml:space="preserve"> we believe that using the higher of regional and participant-specific prices would not sufficiently incentivize inefficient participants to become more efficient. That is, participants with historically high episode expenditures would have less of an incentive to become more efficient over the course of a model if they can quality for reconciliation payments by improving only slightly relative to their own performance while still being less efficient than their regional peers.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the suggestions to adopt a bifurcated transition or to vary pricing based on whether the participant is in a MSA with higher or lower than average historical prices--that is, to base target prices on a blend of participant-specific data and MSA historical data in MSAs with higher than average costs and a 5-state regional benchmark for hospitals in MSAs with lower than average costs, but do not believe these would materially improve upon our proposed methodology. We believe the protections we are offering participants are sufficient and obviate further adjustments such as the "bifurcated" transition or weighting adjustments recently adopted for the Shared Savings Program. Further, we believe the latter proposal would decrease incentives for all participants by potentially making it too difficult to achieve success for participants in higher-spending regions while relaxing standards for those in lower spending regions.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recommended that, in lieu of regional pricing targets, CMS adopt national targets. In its comments, MedPAC noted that national prices are used in other Medicare FFS payment systems and that it believes the EPMs should transition to national prices. Further, in 2013, MedPAC reported that risk-adjusted spending on post-acute care and readmissions varied about 30 percent between high- and low-spending MSAs for SHFFT episodes. Transitioning to regionally-based benchmarks, as opposed to nationally-based benchmarks, will continue to allow large differences in spending across the country. In markets with long-term care hospitals (LTCH) and inpatient rehabilitation facilities (IRF), these high-cost settings will raise the participants' benchmarks. In markets without these providers, on the other hand, post-acute care is delivered in lower-cost settings and participants' benchmarks will be lower. MedPAC recommended that CMS ultimately transition to national benchmarks to exert pressure on high-cost regions to bring their spending in line with spending in other markets. Another commenter seemed to suggest that applying nationally-based benchmarks would help in addressing their concern with disparate device costs depending on whether a participant was in a rural or metropolitan area. In their view, participants in rural areas would be disadvantaged by higher costs for these items.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MedPAC on the benefits of national prices as well as their view that national prices should ultimately be adopted if the EPMs were fully integrated into Medicare on a national basis. We also continue to believe that our proposal to phase-in regional pricing from participant-specific prices offers the most appropriate balance of incentives and protections for purposes of testing the proposed EPMs. In particular, we are concerned that immediately moving toward national pricing could impede the chances for success among participants in high cost regions. As a result, we are reluctant to adopt national pricing at this time. We also do not agree with the suggestion that moving toward national pricing would benefit participants in rural areas with respect to device costs. This is because financial performance, including spending on devices, during the performance years would be generally compared to a participant's historical costs or to the historical costs of providers in their region. In either case, the costs for </w:t>
      </w:r>
      <w:r>
        <w:rPr>
          <w:rFonts w:ascii="arial" w:eastAsia="arial" w:hAnsi="arial" w:cs="arial"/>
          <w:b/>
          <w:i w:val="0"/>
          <w:strike w:val="0"/>
          <w:noProof w:val="0"/>
          <w:color w:val="000000"/>
          <w:position w:val="0"/>
          <w:sz w:val="20"/>
          <w:u w:val="none"/>
          <w:vertAlign w:val="baseline"/>
        </w:rPr>
        <w:t> [*317] </w:t>
      </w:r>
      <w:r>
        <w:rPr>
          <w:rFonts w:ascii="arial" w:eastAsia="arial" w:hAnsi="arial" w:cs="arial"/>
          <w:b w:val="0"/>
          <w:i w:val="0"/>
          <w:strike w:val="0"/>
          <w:noProof w:val="0"/>
          <w:color w:val="000000"/>
          <w:position w:val="0"/>
          <w:sz w:val="20"/>
          <w:u w:val="none"/>
          <w:vertAlign w:val="baseline"/>
        </w:rPr>
        <w:t xml:space="preserve"> devices should be relatively more comparable than if comparisons were made to a national measure.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blend payments when establishing participants' benchmark and quality-adjusted targets. We would note that our final policy would also include § 512.300(c)(5) in conjunction with § 512.300(c)(2), (3), and (4). Thus, the final policy for blending payments when establishing benchmark and quality-adjusted targets is included in § 512.300(c)(2), (3), (4), and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Define Regions as U.S. Census Divisions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did for the CJR model </w:t>
      </w:r>
      <w:hyperlink r:id="rId21" w:history="1">
        <w:r>
          <w:rPr>
            <w:rFonts w:ascii="arial" w:eastAsia="arial" w:hAnsi="arial" w:cs="arial"/>
            <w:b w:val="0"/>
            <w:i/>
            <w:strike w:val="0"/>
            <w:noProof w:val="0"/>
            <w:color w:val="0077CC"/>
            <w:position w:val="0"/>
            <w:sz w:val="20"/>
            <w:u w:val="single"/>
            <w:vertAlign w:val="baseline"/>
          </w:rPr>
          <w:t>(80 FR 73349</w:t>
        </w:r>
      </w:hyperlink>
      <w:r>
        <w:rPr>
          <w:rFonts w:ascii="arial" w:eastAsia="arial" w:hAnsi="arial" w:cs="arial"/>
          <w:b w:val="0"/>
          <w:i w:val="0"/>
          <w:strike w:val="0"/>
          <w:noProof w:val="0"/>
          <w:color w:val="000000"/>
          <w:position w:val="0"/>
          <w:sz w:val="20"/>
          <w:u w:val="none"/>
          <w:vertAlign w:val="baseline"/>
        </w:rPr>
        <w:t xml:space="preserve"> through 73350), for all 5 performance years, we defined "region" as one of the nine U.S. Census divisions n84 in Figure 1 </w:t>
      </w:r>
      <w:hyperlink r:id="rId9" w:history="1">
        <w:r>
          <w:rPr>
            <w:rFonts w:ascii="arial" w:eastAsia="arial" w:hAnsi="arial" w:cs="arial"/>
            <w:b w:val="0"/>
            <w:i/>
            <w:strike w:val="0"/>
            <w:noProof w:val="0"/>
            <w:color w:val="0077CC"/>
            <w:position w:val="0"/>
            <w:sz w:val="20"/>
            <w:u w:val="single"/>
            <w:vertAlign w:val="baseline"/>
          </w:rPr>
          <w:t>(81 FR 50857).</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 There are four census regions--Northeast, Midwest, South, and West. Each of the four census regions is divided into two or more "census divisions". Source: </w:t>
      </w:r>
      <w:hyperlink r:id="rId48" w:history="1">
        <w:r>
          <w:rPr>
            <w:rFonts w:ascii="arial" w:eastAsia="arial" w:hAnsi="arial" w:cs="arial"/>
            <w:b w:val="0"/>
            <w:i/>
            <w:strike w:val="0"/>
            <w:noProof w:val="0"/>
            <w:color w:val="0077CC"/>
            <w:position w:val="0"/>
            <w:sz w:val="20"/>
            <w:u w:val="single"/>
            <w:vertAlign w:val="baseline"/>
          </w:rPr>
          <w:t>https://www.census.gov/geo/reference/gtc/gtc_census_divreg.html</w:t>
        </w:r>
      </w:hyperlink>
      <w:r>
        <w:rPr>
          <w:rFonts w:ascii="arial" w:eastAsia="arial" w:hAnsi="arial" w:cs="arial"/>
          <w:b w:val="0"/>
          <w:i w:val="0"/>
          <w:strike w:val="0"/>
          <w:noProof w:val="0"/>
          <w:color w:val="000000"/>
          <w:position w:val="0"/>
          <w:sz w:val="20"/>
          <w:u w:val="none"/>
          <w:vertAlign w:val="baseline"/>
        </w:rPr>
        <w:t>. Accessed on April 15,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 </w:t>
      </w:r>
      <w:hyperlink r:id="rId49" w:history="1">
        <w:r>
          <w:rPr>
            <w:rFonts w:ascii="arial" w:eastAsia="arial" w:hAnsi="arial" w:cs="arial"/>
            <w:b w:val="0"/>
            <w:i/>
            <w:strike w:val="0"/>
            <w:noProof w:val="0"/>
            <w:color w:val="0077CC"/>
            <w:position w:val="0"/>
            <w:sz w:val="20"/>
            <w:u w:val="single"/>
            <w:vertAlign w:val="baseline"/>
          </w:rPr>
          <w:t>http://www.eia.gov/consumption/commercial/census_maps.cfm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2.06pt;height:413.31pt">
            <v:imagedata r:id="rId5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U.S. Census divisions provide the most appropriate balance between very large areas with highly disparate utilization patterns and very small areas that would be subject to price distortions due to low volume or participant-specific utilization patterns. Our proposed rule also clarified that we would ascribe the same regional component of EPM-episode benchmark prices for EPM participants in MSAs that span U.S. Census divisions. That is, selected MSAs that span U.S. Census divisions would be attributed to one U.S. Census division for purposes of calculating the regional component of an EPM-episode benchmark price. Specifically, we would attribute an MSA to the U.S. Census division in which the majority of people in the MSA reside.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define a region as one of the nine U.S. Census divisions was included in § 512.300(c)(2). We sought comment on our proposal to define region in this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of the commenters on the proposed regional definition expressed concerns about the proposal to blend participant-specific and regional pricing. In general, the commenters expressed concerns that, given the size and diversity of the proposed U.S. Census divisions with respect to health conditions and costs, a single regional price would potentially not be an accurate measure of a participant's costs. As a result, those participants that treated sicker patients would be penalized in particularly large and diverse regions. Thus, many of these commenters requested that CMS set prices based on a narrower and more cohesive geographic area, for example, at the MSA level, IPPS wage index level, or based on MAC regions. A commenter recommended that CMS not base benchmark prices fully on a regional average but consider taking into account a participant's relative mix of patients with respect to CCs and MCCs.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suggested that while some financial risk is captured based on CMS-HCC scores, the best way to remove unintended consequence is by comparing participants with similar patient populations, instead of using Census Divisions to calculate target prices. In their view, using Census Divisions to set target prices penalizes high acuity hospitals for existing in the same multi- state "region" as lower-acuity hospitals, even if those hospitals are more capable at caring for sicker patients. As such, many hospitals are funneled the most complex AMI, CABG, or fracture cases, which may increase average costs in a way that is consistent with providing the highest-quality care. As such, this commenter recommended that CMS instead compare hospitals against other hospitals with similar patient populations for the purpose of calculating target prices. As high-acuity </w:t>
      </w:r>
      <w:r>
        <w:rPr>
          <w:rFonts w:ascii="arial" w:eastAsia="arial" w:hAnsi="arial" w:cs="arial"/>
          <w:b/>
          <w:i w:val="0"/>
          <w:strike w:val="0"/>
          <w:noProof w:val="0"/>
          <w:color w:val="000000"/>
          <w:position w:val="0"/>
          <w:sz w:val="20"/>
          <w:u w:val="none"/>
          <w:vertAlign w:val="baseline"/>
        </w:rPr>
        <w:t> [*318] </w:t>
      </w:r>
      <w:r>
        <w:rPr>
          <w:rFonts w:ascii="arial" w:eastAsia="arial" w:hAnsi="arial" w:cs="arial"/>
          <w:b w:val="0"/>
          <w:i w:val="0"/>
          <w:strike w:val="0"/>
          <w:noProof w:val="0"/>
          <w:color w:val="000000"/>
          <w:position w:val="0"/>
          <w:sz w:val="20"/>
          <w:u w:val="none"/>
          <w:vertAlign w:val="baseline"/>
        </w:rPr>
        <w:t xml:space="preserve"> referral centers are most at-risk given that they treat the most ill patients in the nation for all of the proposed EPMs, the commenter recommended that CMS group together such high-acuity referral centers and treat them as their own "Peer group" cohort rather than by region or within each region for the purpose of calculating target price. This would ensure that locations systematically treating the most complex cases are being compared appropriately. Another commenter suggested this concept be expanded more broadly so that peer groups might be formed around characteristics such as urban teaching hospitals, suburban hospitals, or small rural hospitals.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and concerns raised on our proposal to base regional pricing on U.S. Census Divisions as well as the suggested alternatives. Our proposal intended to balance our goal of identifying relatively cohesive, homogeneous, and meaningful groups for purposes of establishing benchmark prices with what was administratively feasible. While we appreciate the suggested alternatives that were offered and could consider them for future models, we continue to believe, as we stated in the CJR Final Rule </w:t>
      </w:r>
      <w:hyperlink r:id="rId21" w:history="1">
        <w:r>
          <w:rPr>
            <w:rFonts w:ascii="arial" w:eastAsia="arial" w:hAnsi="arial" w:cs="arial"/>
            <w:b w:val="0"/>
            <w:i/>
            <w:strike w:val="0"/>
            <w:noProof w:val="0"/>
            <w:color w:val="0077CC"/>
            <w:position w:val="0"/>
            <w:sz w:val="20"/>
            <w:u w:val="single"/>
            <w:vertAlign w:val="baseline"/>
          </w:rPr>
          <w:t>(80 FR 73350),</w:t>
        </w:r>
      </w:hyperlink>
      <w:r>
        <w:rPr>
          <w:rFonts w:ascii="arial" w:eastAsia="arial" w:hAnsi="arial" w:cs="arial"/>
          <w:b w:val="0"/>
          <w:i w:val="0"/>
          <w:strike w:val="0"/>
          <w:noProof w:val="0"/>
          <w:color w:val="000000"/>
          <w:position w:val="0"/>
          <w:sz w:val="20"/>
          <w:u w:val="none"/>
          <w:vertAlign w:val="baseline"/>
        </w:rPr>
        <w:t xml:space="preserve"> that U.S. Census Divisions provide the most appropriate balance between very large areas with highly disparate utilization patterns and very small areas that would be subject to price distortions due to low volume or hospital specific utilization patterns. We would also note that as discussed earlier in section III.D.4.b.(2), we will be exploring additional methods for further risk-adjusting episodes under the models that we intend to make effective by PY3. We believe that these additional adjustments will make comparisons of financial performance among participants more comparable regardless of a region's diversity.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define a region as one of the nine U.S. Census divisions. Our final policy for defining regions is included in § 512.300(c)(2).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Normalize for Provider-Specific Wage Adjustment Variations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variation in historical EPM-episode payments across hospitals in a region may be due to wage adjustment differences in Medicare payments. In setting Medicare payment rates, Medicare typically adjusts facilities' costs attributable to wages and wage-related costs (as estimated by the Secretary from time to time) by a factor (established by the Secretary) that reflects the relative wage level in the geographic area of the facility or practitioner (or the beneficiary's residence, in the case of home health and hospice services) compared to a national average wage level. Such adjustments are essential for setting accurate payments, as wage levels vary significantly across geographic areas of the country. However, having the wage level for one hospital influence the regional-component of another hospital's EPM episode-benchmark price with a different level would introduce unintended pricing distortion not based on utilization pattern differences.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preserve how wage levels affect provider payment amounts, while minimizing the distortions introduced when calculating the regional-component of blended EPM-episode benchmark prices, we proposed to normalize for wage indices at the claim level for both historical EPM-episode payments and actual EPM-episode payments </w:t>
      </w:r>
      <w:hyperlink r:id="rId9" w:history="1">
        <w:r>
          <w:rPr>
            <w:rFonts w:ascii="arial" w:eastAsia="arial" w:hAnsi="arial" w:cs="arial"/>
            <w:b w:val="0"/>
            <w:i/>
            <w:strike w:val="0"/>
            <w:noProof w:val="0"/>
            <w:color w:val="0077CC"/>
            <w:position w:val="0"/>
            <w:sz w:val="20"/>
            <w:u w:val="single"/>
            <w:vertAlign w:val="baseline"/>
          </w:rPr>
          <w:t>(81 FR 50858).</w:t>
        </w:r>
      </w:hyperlink>
      <w:r>
        <w:rPr>
          <w:rFonts w:ascii="arial" w:eastAsia="arial" w:hAnsi="arial" w:cs="arial"/>
          <w:b w:val="0"/>
          <w:i w:val="0"/>
          <w:strike w:val="0"/>
          <w:noProof w:val="0"/>
          <w:color w:val="000000"/>
          <w:position w:val="0"/>
          <w:sz w:val="20"/>
          <w:u w:val="none"/>
          <w:vertAlign w:val="baseline"/>
        </w:rPr>
        <w:t xml:space="preserve"> As discussed in section III.D.3.b. of the proposed rule </w:t>
      </w:r>
      <w:hyperlink r:id="rId9" w:history="1">
        <w:r>
          <w:rPr>
            <w:rFonts w:ascii="arial" w:eastAsia="arial" w:hAnsi="arial" w:cs="arial"/>
            <w:b w:val="0"/>
            <w:i/>
            <w:strike w:val="0"/>
            <w:noProof w:val="0"/>
            <w:color w:val="0077CC"/>
            <w:position w:val="0"/>
            <w:sz w:val="20"/>
            <w:u w:val="single"/>
            <w:vertAlign w:val="baseline"/>
          </w:rPr>
          <w:t>(81 FR 50845</w:t>
        </w:r>
      </w:hyperlink>
      <w:r>
        <w:rPr>
          <w:rFonts w:ascii="arial" w:eastAsia="arial" w:hAnsi="arial" w:cs="arial"/>
          <w:b w:val="0"/>
          <w:i w:val="0"/>
          <w:strike w:val="0"/>
          <w:noProof w:val="0"/>
          <w:color w:val="000000"/>
          <w:position w:val="0"/>
          <w:sz w:val="20"/>
          <w:u w:val="none"/>
          <w:vertAlign w:val="baseline"/>
        </w:rPr>
        <w:t xml:space="preserve"> through 50846), we utilize the CMS Price (Payment) Standardization Detailed Methodology to calculate EPM-episode benchmark and quality-adjusted target prices and actual EPM-episode spending. This methodology removes wage level differences in calculating standardized payment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it is important to reintroduce wage index variations near the end of the EPM-episode price-setting methodology and when calculating actual EPM-episode payments during an EPM performance year, to account for the differences in cost for care redesign across different geographic areas of the country. For example, hiring additional hospital staff to aid in patient follow-up during the post-discharge period of an AMI model episode would be significantly more costly in San Francisco than in rural Idaho. If we do not reintroduce wage index variations into EPM-episode benchmark price and actual EPM-episode payment calculations, we would calculate reconciliation and repayment amounts that would not capture labor cost variation throughout the country, and EPM participants in certain regions may see less opportunity and financial incentive to invest in care redesign. Thus, when setting EPM-episode benchmark prices and calculating actual EPM-episode payments, we proposed to reintroduce the participant-specific wage variations by multiplying EPM-episode payments by the wage normalization factor when calculating the EPM-episode benchmark prices and actual EPM-episode payments for each EPM participant, as described in section III.D.4.c. of the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use the following algorithm to create a wage normalization factor: 0.7 * IPPS wage index + 0.3. The 0.7 approximates the labor share in IPPS, IRF PPS, SNF, and HHA Medicare payments. The specific order of steps, and how this step fits in with others, is discussed further in section III.D.4.c. through III.D.4.e. of the proposed rule </w:t>
      </w:r>
      <w:hyperlink r:id="rId9" w:history="1">
        <w:r>
          <w:rPr>
            <w:rFonts w:ascii="arial" w:eastAsia="arial" w:hAnsi="arial" w:cs="arial"/>
            <w:b w:val="0"/>
            <w:i/>
            <w:strike w:val="0"/>
            <w:noProof w:val="0"/>
            <w:color w:val="0077CC"/>
            <w:position w:val="0"/>
            <w:sz w:val="20"/>
            <w:u w:val="single"/>
            <w:vertAlign w:val="baseline"/>
          </w:rPr>
          <w:t>(81 FR 50862</w:t>
        </w:r>
      </w:hyperlink>
      <w:r>
        <w:rPr>
          <w:rFonts w:ascii="arial" w:eastAsia="arial" w:hAnsi="arial" w:cs="arial"/>
          <w:b w:val="0"/>
          <w:i w:val="0"/>
          <w:strike w:val="0"/>
          <w:noProof w:val="0"/>
          <w:color w:val="000000"/>
          <w:position w:val="0"/>
          <w:sz w:val="20"/>
          <w:u w:val="none"/>
          <w:vertAlign w:val="baseline"/>
        </w:rPr>
        <w:t xml:space="preserve"> through 50864). We also referred to the CJR model Final Rule for more detailed information on our normalization process adopted for the CJR model </w:t>
      </w:r>
      <w:hyperlink r:id="rId21" w:history="1">
        <w:r>
          <w:rPr>
            <w:rFonts w:ascii="arial" w:eastAsia="arial" w:hAnsi="arial" w:cs="arial"/>
            <w:b w:val="0"/>
            <w:i/>
            <w:strike w:val="0"/>
            <w:noProof w:val="0"/>
            <w:color w:val="0077CC"/>
            <w:position w:val="0"/>
            <w:sz w:val="20"/>
            <w:u w:val="single"/>
            <w:vertAlign w:val="baseline"/>
          </w:rPr>
          <w:t>(80 FR 73350</w:t>
        </w:r>
      </w:hyperlink>
      <w:r>
        <w:rPr>
          <w:rFonts w:ascii="arial" w:eastAsia="arial" w:hAnsi="arial" w:cs="arial"/>
          <w:b w:val="0"/>
          <w:i w:val="0"/>
          <w:strike w:val="0"/>
          <w:noProof w:val="0"/>
          <w:color w:val="000000"/>
          <w:position w:val="0"/>
          <w:sz w:val="20"/>
          <w:u w:val="none"/>
          <w:vertAlign w:val="baseline"/>
        </w:rPr>
        <w:t xml:space="preserve"> through 73352).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normalize for provider-specific wage adjustment variations was included in § 512.300(c)(12). We sought comment on our proposal to normalize for these variations.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specific comments on our proposal to normalize for provider-specific wage adjustment variations other than one in support of the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the proposal, without modification, to normalize for provider-specific wage adjustment variations. Our final policy for normalizing provider-specific wage adjustment variations is included in § 512.300(c)(12).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Combining Episodes to Set Stable Benchmark and Quality-Adjusted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purposes of having sufficient episode volume to set stable EPM-episode benchmark and quality-adjusted target prices, we proposed generally to follow the process from the CJR model </w:t>
      </w:r>
      <w:hyperlink r:id="rId21" w:history="1">
        <w:r>
          <w:rPr>
            <w:rFonts w:ascii="arial" w:eastAsia="arial" w:hAnsi="arial" w:cs="arial"/>
            <w:b w:val="0"/>
            <w:i/>
            <w:strike w:val="0"/>
            <w:noProof w:val="0"/>
            <w:color w:val="0077CC"/>
            <w:position w:val="0"/>
            <w:sz w:val="20"/>
            <w:u w:val="single"/>
            <w:vertAlign w:val="baseline"/>
          </w:rPr>
          <w:t>(80 FR 73352 and 73353)</w:t>
        </w:r>
      </w:hyperlink>
      <w:r>
        <w:rPr>
          <w:rFonts w:ascii="arial" w:eastAsia="arial" w:hAnsi="arial" w:cs="arial"/>
          <w:b w:val="0"/>
          <w:i w:val="0"/>
          <w:strike w:val="0"/>
          <w:noProof w:val="0"/>
          <w:color w:val="000000"/>
          <w:position w:val="0"/>
          <w:sz w:val="20"/>
          <w:u w:val="none"/>
          <w:vertAlign w:val="baseline"/>
        </w:rPr>
        <w:t xml:space="preserve"> to calculate severity factors, EPM participant-specific weights, and region-specific weights that allow us to surmount issues of low volume for EPM episodes with particular characteristics by aggregating EPM episodes and portions of EPM episodes across dimensions that include anchor MS-DRGs, the presence of AMI ICD-CM diagnosis code on the anchor inpatient claim, and the presence of a major complication or comorbidity for anchor CABG MS-DRGs </w:t>
      </w:r>
      <w:hyperlink r:id="rId9" w:history="1">
        <w:r>
          <w:rPr>
            <w:rFonts w:ascii="arial" w:eastAsia="arial" w:hAnsi="arial" w:cs="arial"/>
            <w:b w:val="0"/>
            <w:i/>
            <w:strike w:val="0"/>
            <w:noProof w:val="0"/>
            <w:color w:val="0077CC"/>
            <w:position w:val="0"/>
            <w:sz w:val="20"/>
            <w:u w:val="single"/>
            <w:vertAlign w:val="baseline"/>
          </w:rPr>
          <w:t>(81 FR 50858</w:t>
        </w:r>
      </w:hyperlink>
      <w:r>
        <w:rPr>
          <w:rFonts w:ascii="arial" w:eastAsia="arial" w:hAnsi="arial" w:cs="arial"/>
          <w:b w:val="0"/>
          <w:i w:val="0"/>
          <w:strike w:val="0"/>
          <w:noProof w:val="0"/>
          <w:color w:val="000000"/>
          <w:position w:val="0"/>
          <w:sz w:val="20"/>
          <w:u w:val="none"/>
          <w:vertAlign w:val="baseline"/>
        </w:rPr>
        <w:t xml:space="preserve"> through 50861). Where the CJR Final Rule referred to anchor factors, however, for the purposes of the proposed rule, we referred to severity factors to avoid confusion when performing calculations pertaining to expenditures that occurred during the anchor hospitalization and after the anchor hospitalization in CABG model episodes. </w:t>
      </w:r>
      <w:r>
        <w:rPr>
          <w:rFonts w:ascii="arial" w:eastAsia="arial" w:hAnsi="arial" w:cs="arial"/>
          <w:b/>
          <w:i w:val="0"/>
          <w:strike w:val="0"/>
          <w:noProof w:val="0"/>
          <w:color w:val="000000"/>
          <w:position w:val="0"/>
          <w:sz w:val="20"/>
          <w:u w:val="none"/>
          <w:vertAlign w:val="baseline"/>
        </w:rPr>
        <w:t> [*319]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SHFFT model episodes, we proposed to combine episodes with price MS-DRGs 480-482 to use a greater historical episode volume to set more stable SHFFT episode benchmark and quality-adjusted target prices. To do so, we proposed to calculate severity factors for episodes with price MS-DRGs 480 and 481 equal to--</w:t>
      </w:r>
    </w:p>
    <w:p>
      <w:pPr>
        <w:keepNext w:val="0"/>
        <w:spacing w:before="200" w:after="0" w:line="260" w:lineRule="atLeast"/>
        <w:ind w:left="0" w:right="0" w:firstLine="0"/>
        <w:jc w:val="both"/>
      </w:pPr>
      <w:r>
        <w:pict>
          <v:shape id="_x0000_i1030" type="#_x0000_t75" style="width:432.06pt;height:78.01pt">
            <v:imagedata r:id="rId5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average would be based on SHFFT model episodes attributed to any IPPS hospital. The resulting severity factors would be the same for all SHFFT model participants. For each SHFFT model participant, a hospital weight would be calculated using the following formula, where SHFFT model episode counts are SHFFT-model-participant hospital-specific and based on the SHFFT model episodes in the 3 historical years used in SHFFT model episode benchmark and quality-adjusted target price calculations:</w:t>
      </w:r>
    </w:p>
    <w:p>
      <w:pPr>
        <w:keepNext w:val="0"/>
        <w:spacing w:before="200" w:after="0" w:line="260" w:lineRule="atLeast"/>
        <w:ind w:left="0" w:right="0" w:firstLine="0"/>
        <w:jc w:val="both"/>
      </w:pPr>
      <w:r>
        <w:pict>
          <v:shape id="_x0000_i1031" type="#_x0000_t75" style="width:432.06pt;height:70.51pt">
            <v:imagedata r:id="rId5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SHFFT model participant's specific average episode payment would be calculated by multiplying such participant's weight by its combined historical average episode payment (sum of historical episode payments for historical episodes with price MS-DRGs 480-482 divided by the number of historical episodes with price MS-DRGs 480-482). The calculation of the participant weights and the participant-specific pooled historical average episode payments would be comparable to how case-mix indices are used to generate case-mix adjusted Medicare payments. The participant weight essentially would count each episode with price MS-DRGs 480 and 481 as more than one episode (assuming episodes with price MS- DRGs 480 and 481 have higher average payments than episodes with price MS-DRG 482) so that the pooled historical average episode payment, and subsequently the SHFFT model episode benchmark and quality-adjusted target prices, are not skewed by the SHFFT model participant's relative breakdown of historical episodes with price MS-DRGs 480 and 481 versus historical episodes with price MS-DRG 482.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calculate region-specific weights and region-specific pooled historical average payments following the same steps as for hospital-specific weights and hospital-specific pooled average payments. Instead of grouping episodes by the attributed hospital as for hospital-specific calculations, region-specific calculations would group together SHFFT model episodes that were attributed to any IPPS hospital located within the region. The participant-specific and region-specific pooled historical average payments would be blended together as discussed in section III.D.4.b.(6) of the proposed rule. The specific order of steps, and how this step fits in with others, is discussed further in section III.D.4.c.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Afterwards, the blended pooled calculations would be "unpooled" by setting the episode benchmark price for episodes with price MS-DRG 482 to the resulting calculation, and by multiplying the resulting calculation by the severity factors to produce the episode benchmark prices for episodes with price MS-DRGs 480 and 481. Applying the discount factor as discussed in III.D.4.b.(10) and III.D.4.c. of the proposed rule would result in the SHFFT model quality-adjusted target prices for episodes with price MS-DRGs 480-482.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episodes in the AMI model with price MS-DRGs in 280-282 or 246-251 and without readmissions for CABG MS-DRGs, we proposed to follow an analogous procedure to the SHFFT model with the following modifications. First we proposed to group episodes with price MS-DRGs 280-282 separately from episodes with price MS-DRGs 246-251 for the calculations. Second, we proposed to calculate severity factors for episodes with price MS-DRGs 280-282 as--</w:t>
      </w:r>
    </w:p>
    <w:p>
      <w:pPr>
        <w:keepNext w:val="0"/>
        <w:spacing w:before="200" w:after="0" w:line="260" w:lineRule="atLeast"/>
        <w:ind w:left="0" w:right="0" w:firstLine="0"/>
        <w:jc w:val="both"/>
      </w:pPr>
      <w:r>
        <w:pict>
          <v:shape id="_x0000_i1032" type="#_x0000_t75" style="width:432.06pt;height:78.01pt">
            <v:imagedata r:id="rId5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we proposed to calculate hospital-specific weights and region-specific weights for episodes with price MS-DRGs 280-282 as-- </w:t>
      </w:r>
      <w:r>
        <w:rPr>
          <w:rFonts w:ascii="arial" w:eastAsia="arial" w:hAnsi="arial" w:cs="arial"/>
          <w:b/>
          <w:i w:val="0"/>
          <w:strike w:val="0"/>
          <w:noProof w:val="0"/>
          <w:color w:val="000000"/>
          <w:position w:val="0"/>
          <w:sz w:val="20"/>
          <w:u w:val="none"/>
          <w:vertAlign w:val="baseline"/>
        </w:rPr>
        <w:t> [*320] </w:t>
      </w:r>
    </w:p>
    <w:p>
      <w:pPr>
        <w:keepNext w:val="0"/>
        <w:spacing w:before="200" w:after="0" w:line="260" w:lineRule="atLeast"/>
        <w:ind w:left="0" w:right="0" w:firstLine="0"/>
        <w:jc w:val="both"/>
      </w:pPr>
      <w:r>
        <w:pict>
          <v:shape id="_x0000_i1033" type="#_x0000_t75" style="width:432.06pt;height:69.01pt">
            <v:imagedata r:id="rId54"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we proposed to calculate severity factors for episodes with price MS-DRG 246-251 as--</w:t>
      </w:r>
    </w:p>
    <w:p>
      <w:pPr>
        <w:keepNext w:val="0"/>
        <w:spacing w:before="200" w:after="0" w:line="260" w:lineRule="atLeast"/>
        <w:ind w:left="0" w:right="0" w:firstLine="0"/>
        <w:jc w:val="both"/>
      </w:pPr>
      <w:r>
        <w:pict>
          <v:shape id="_x0000_i1034" type="#_x0000_t75" style="width:432.06pt;height:221.28pt">
            <v:imagedata r:id="rId5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Fifth, we proposed to calculate hospital-specific weights and region-specific weights for episodes with price MS-DRG 246-251 as--</w:t>
      </w:r>
    </w:p>
    <w:p>
      <w:pPr>
        <w:keepNext w:val="0"/>
        <w:spacing w:before="200" w:after="0" w:line="260" w:lineRule="atLeast"/>
        <w:ind w:left="0" w:right="0" w:firstLine="0"/>
        <w:jc w:val="both"/>
      </w:pPr>
      <w:r>
        <w:pict>
          <v:shape id="_x0000_i1035" type="#_x0000_t75" style="width:432.06pt;height:124.52pt">
            <v:imagedata r:id="rId5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blending historical and regional pooled episode payments for episodes with price MS-DRGs 280-282, the blended pooled calculations would be "unpooled" by setting the episode benchmark price for price MS-DRG 282 to the resulting calculation, and by multiplying the resulting calculation by the severity factors to produce the episode benchmark prices for price MS-DRGs 280 and 281.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blending historical and regional pooled episode payments for episodes with price MS-DRGs 246-251, the blended pooled calculations would be "unpooled" by setting the episode benchmark price for price MS-DRG to the resulting calculation, and by multiplying the resulting calculation by the severity factors to produce the episode benchmark prices for price MS-DRGs 246-251.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Applying the discount factor as discussed in III.D.4.b.(10) and III.D.4.c of the proposed rule would result in the quality-adjusted target prices for price MS-DRGs 280-282 and 246-251.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episodes in the CABG model with price MS-DRGs in 231-236, we proposed to calculate severity factors, hospital-specific weights, and region-specific weights separately for the anchor hospitalization portion of CABG model episodes and the post-anchor hospitalization portion of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anchor hospitalization portion of CABG model episodes, we proposed to follow an analogous procedure to the SHFFT model with the anchor hospitalization portion of CABG model episodes grouped by the price MS-DRG. Specifically, we proposed to calculate anchor hospitalization severity factors for price MS-DRGs 231-235 as-- </w:t>
      </w:r>
      <w:r>
        <w:rPr>
          <w:rFonts w:ascii="arial" w:eastAsia="arial" w:hAnsi="arial" w:cs="arial"/>
          <w:b/>
          <w:i w:val="0"/>
          <w:strike w:val="0"/>
          <w:noProof w:val="0"/>
          <w:color w:val="000000"/>
          <w:position w:val="0"/>
          <w:sz w:val="20"/>
          <w:u w:val="none"/>
          <w:vertAlign w:val="baseline"/>
        </w:rPr>
        <w:t> [*321] </w:t>
      </w:r>
    </w:p>
    <w:p>
      <w:pPr>
        <w:keepNext w:val="0"/>
        <w:spacing w:before="200" w:after="0" w:line="260" w:lineRule="atLeast"/>
        <w:ind w:left="0" w:right="0" w:firstLine="0"/>
        <w:jc w:val="both"/>
      </w:pPr>
      <w:r>
        <w:pict>
          <v:shape id="_x0000_i1036" type="#_x0000_t75" style="width:432.06pt;height:360.8pt">
            <v:imagedata r:id="rId57"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proposed to calculate participant-specific weights and region-specific weights for the anchor hospitalization portion of CABG model episodes as--</w:t>
      </w:r>
    </w:p>
    <w:p>
      <w:pPr>
        <w:keepNext w:val="0"/>
        <w:spacing w:before="200" w:after="0" w:line="260" w:lineRule="atLeast"/>
        <w:ind w:left="0" w:right="0" w:firstLine="0"/>
        <w:jc w:val="both"/>
      </w:pPr>
      <w:r>
        <w:pict>
          <v:shape id="_x0000_i1037" type="#_x0000_t75" style="width:432.06pt;height:104.26pt">
            <v:imagedata r:id="rId58"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blending historical and regional pooled anchor hospitalization payments for the CABG model episodes, the blended pooled calculations would be "unpooled" by setting the price MS-DRG 236 anchor hospitalization benchmark price to the resulting calculation, and by multiplying the resulting calculation by the severity factors to produce the anchor hospitalization benchmark prices for price MS-DRGs 231-235.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post-anchor hospitalization portion of CABG model episodes, we proposed to follow an analogous procedure to the SHFFT model with the post-anchor hospitalization portion of CABG model episodes grouped in the following manner--</w:t>
      </w:r>
    </w:p>
    <w:p>
      <w:pPr>
        <w:keepNext w:val="0"/>
        <w:numPr>
          <w:numId w:val="2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diagnosis on the anchor inpatient claim and price MS-DRG with major complication or comorbidity (231, 233, or 235)</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diagnosis on the anchor inpatient claim and price MS-DRG without major complication or comorbidity (232, 234, or 236)</w:t>
      </w:r>
    </w:p>
    <w:p>
      <w:pPr>
        <w:keepNext w:val="0"/>
        <w:numPr>
          <w:numId w:val="2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diagnosis on the anchor inpatient claim and price MS-DRG with major complication or comorbidity (231, 233, or 235)</w:t>
      </w:r>
    </w:p>
    <w:p>
      <w:pPr>
        <w:keepNext w:val="0"/>
        <w:numPr>
          <w:numId w:val="2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diagnosis on the anchor inpatient claim and price MS-DRG without major complication or comorbidity (232, 234, or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we proposed to calculate post-anchor hospitalization severity factors as-- </w:t>
      </w:r>
      <w:r>
        <w:rPr>
          <w:rFonts w:ascii="arial" w:eastAsia="arial" w:hAnsi="arial" w:cs="arial"/>
          <w:b/>
          <w:i w:val="0"/>
          <w:strike w:val="0"/>
          <w:noProof w:val="0"/>
          <w:color w:val="000000"/>
          <w:position w:val="0"/>
          <w:sz w:val="20"/>
          <w:u w:val="none"/>
          <w:vertAlign w:val="baseline"/>
        </w:rPr>
        <w:t> [*322] </w:t>
      </w:r>
    </w:p>
    <w:p>
      <w:pPr>
        <w:keepNext w:val="0"/>
        <w:spacing w:before="200" w:after="0" w:line="260" w:lineRule="atLeast"/>
        <w:ind w:left="0" w:right="0" w:firstLine="0"/>
        <w:jc w:val="both"/>
      </w:pPr>
      <w:r>
        <w:pict>
          <v:shape id="_x0000_i1038" type="#_x0000_t75" style="width:432.06pt;height:144.02pt">
            <v:imagedata r:id="rId5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proposed to calculate hospital-specific weights and region-specific weights for the post-anchor hospitalization portion of CABG model episodes as--</w:t>
      </w:r>
    </w:p>
    <w:p>
      <w:pPr>
        <w:keepNext w:val="0"/>
        <w:spacing w:before="200" w:after="0" w:line="260" w:lineRule="atLeast"/>
        <w:ind w:left="0" w:right="0" w:firstLine="0"/>
        <w:jc w:val="both"/>
      </w:pPr>
      <w:r>
        <w:pict>
          <v:shape id="_x0000_i1039" type="#_x0000_t75" style="width:432.06pt;height:126.77pt">
            <v:imagedata r:id="rId6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blending historical and regional pooled post-anchor hospitalization payments for the CABG model episodes, the blended pooled calculations would be "unpooled" by setting the without AMI ICD-CM diagnosis code on the anchor inpatient claim and price MS-DRG without major complication or comorbidity (232, 234, or 236) post-anchor hospitalization benchmark price to the resulting calculation, and by multiplying the resulting calculation by the severity factors to produce the post-anchor hospitalization benchmark prices for:</w:t>
      </w:r>
    </w:p>
    <w:p>
      <w:pPr>
        <w:keepNext w:val="0"/>
        <w:numPr>
          <w:numId w:val="2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diagnosis on the anchor inpatient claim and price MS-DRG with major complication or comorbidity (231, 233, or 235)</w:t>
      </w:r>
    </w:p>
    <w:p>
      <w:pPr>
        <w:keepNext w:val="0"/>
        <w:numPr>
          <w:numId w:val="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diagnosis on the anchor inpatient claim and price MS-DRG without major complication or comorbidity (232, 234, or 236)</w:t>
      </w:r>
    </w:p>
    <w:p>
      <w:pPr>
        <w:keepNext w:val="0"/>
        <w:numPr>
          <w:numId w:val="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diagnosis on the anchor inpatient claim and price MS-DRG with major complication or comorbidity (231, 233, or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calculate episode benchmark prices for CABG model episodes by summing combinations of CABG anchor hospitalization benchmark prices and CABG post-anchor hospitalization benchmark prices. Applying the discount factor as discussed in III.D.4.b.(10) and III.D.4.d of the proposed rule would result in the quality-adjusted target prices for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episodes in the AMI model with CABG readmissions, we proposed to perform no additional blending of participant-specific and regional-specific episode payments. We proposed to calculate the AMI model episode benchmark and quality-adjusted target prices for such episodes as described in section III.D.4.e.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to combine episodes to set stable benchmark and quality-adjusted target prices were included in § 512.300(c)(13). We sought comment on our proposals for combining episodes for these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comments on our proposals for combining episodes.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the proposal, without modification, to combine prices for episodes. Our final policy for combining episodes is included in § 512.300(c)(13). We would note that since we did not finalize our proposal for price MS-DRGs, the term price MS-DRG is excluded and replaced with the term anchor MS-DRG.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Effective Discount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section III.D.2.c. of the proposed rule, we proposed to make EPM participants partly or fully accountable for EPM-episode payments in relationship to the EPM quality-adjusted target price </w:t>
      </w:r>
      <w:hyperlink r:id="rId9" w:history="1">
        <w:r>
          <w:rPr>
            <w:rFonts w:ascii="arial" w:eastAsia="arial" w:hAnsi="arial" w:cs="arial"/>
            <w:b w:val="0"/>
            <w:i/>
            <w:strike w:val="0"/>
            <w:noProof w:val="0"/>
            <w:color w:val="0077CC"/>
            <w:position w:val="0"/>
            <w:sz w:val="20"/>
            <w:u w:val="single"/>
            <w:vertAlign w:val="baseline"/>
          </w:rPr>
          <w:t>(81 FR 50844).</w:t>
        </w:r>
      </w:hyperlink>
      <w:r>
        <w:rPr>
          <w:rFonts w:ascii="arial" w:eastAsia="arial" w:hAnsi="arial" w:cs="arial"/>
          <w:b w:val="0"/>
          <w:i w:val="0"/>
          <w:strike w:val="0"/>
          <w:noProof w:val="0"/>
          <w:color w:val="000000"/>
          <w:position w:val="0"/>
          <w:sz w:val="20"/>
          <w:u w:val="none"/>
          <w:vertAlign w:val="baseline"/>
        </w:rPr>
        <w:t xml:space="preserve"> As part of this, in setting an episode quality-adjusted target price for an EPM participant, we proposed to apply an effective discount factor to an EPM participant's participant-specific and regional blended historical EPM-episode payments for a performance period. We expect EPM participants to have a significant opportunity to improve the quality and efficiency of care furnished during episodes in comparison with historical practice, because the EPMs would facilitate the alignment of financial incentives among providers caring for EPM beneficiaries. Our proposed effective discount factors were intended to serve as Medicare's portion of reduced expenditures from an EPM episode with any EPM-episode expenditures below the quality-adjusted target price potentially available as reconciliation payments to the EPM participant where the anchor hospitalization occurred. </w:t>
      </w:r>
      <w:r>
        <w:rPr>
          <w:rFonts w:ascii="arial" w:eastAsia="arial" w:hAnsi="arial" w:cs="arial"/>
          <w:b/>
          <w:i w:val="0"/>
          <w:strike w:val="0"/>
          <w:noProof w:val="0"/>
          <w:color w:val="000000"/>
          <w:position w:val="0"/>
          <w:sz w:val="20"/>
          <w:u w:val="none"/>
          <w:vertAlign w:val="baseline"/>
        </w:rPr>
        <w:t> [*323]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EPMs, we proposed to establish a 3 percent effective discount factor to calculate the quality-adjusted target prices for EPM participants in the below acceptable and acceptable quality categories, as discussed in section III.E.3.f. of the proposed rule </w:t>
      </w:r>
      <w:hyperlink r:id="rId9" w:history="1">
        <w:r>
          <w:rPr>
            <w:rFonts w:ascii="arial" w:eastAsia="arial" w:hAnsi="arial" w:cs="arial"/>
            <w:b w:val="0"/>
            <w:i/>
            <w:strike w:val="0"/>
            <w:noProof w:val="0"/>
            <w:color w:val="0077CC"/>
            <w:position w:val="0"/>
            <w:sz w:val="20"/>
            <w:u w:val="single"/>
            <w:vertAlign w:val="baseline"/>
          </w:rPr>
          <w:t>(81 FR 50887</w:t>
        </w:r>
      </w:hyperlink>
      <w:r>
        <w:rPr>
          <w:rFonts w:ascii="arial" w:eastAsia="arial" w:hAnsi="arial" w:cs="arial"/>
          <w:b w:val="0"/>
          <w:i w:val="0"/>
          <w:strike w:val="0"/>
          <w:noProof w:val="0"/>
          <w:color w:val="000000"/>
          <w:position w:val="0"/>
          <w:sz w:val="20"/>
          <w:u w:val="none"/>
          <w:vertAlign w:val="baseline"/>
        </w:rPr>
        <w:t xml:space="preserve"> through 50893) and similar to the CJR model </w:t>
      </w:r>
      <w:hyperlink r:id="rId21" w:history="1">
        <w:r>
          <w:rPr>
            <w:rFonts w:ascii="arial" w:eastAsia="arial" w:hAnsi="arial" w:cs="arial"/>
            <w:b w:val="0"/>
            <w:i/>
            <w:strike w:val="0"/>
            <w:noProof w:val="0"/>
            <w:color w:val="0077CC"/>
            <w:position w:val="0"/>
            <w:sz w:val="20"/>
            <w:u w:val="single"/>
            <w:vertAlign w:val="baseline"/>
          </w:rPr>
          <w:t>(80 FR 73355).</w:t>
        </w:r>
      </w:hyperlink>
      <w:r>
        <w:rPr>
          <w:rFonts w:ascii="arial" w:eastAsia="arial" w:hAnsi="arial" w:cs="arial"/>
          <w:b w:val="0"/>
          <w:i w:val="0"/>
          <w:strike w:val="0"/>
          <w:noProof w:val="0"/>
          <w:color w:val="000000"/>
          <w:position w:val="0"/>
          <w:sz w:val="20"/>
          <w:u w:val="none"/>
          <w:vertAlign w:val="baseline"/>
        </w:rPr>
        <w:t xml:space="preserve"> The effective discount factor to calculate the quality-adjusted target price for EPM participants in the good and excellent quality categories would be 2 percent and 1.5 percent, respectively.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section III.D.2.c. of the proposed rule </w:t>
      </w:r>
      <w:hyperlink r:id="rId9" w:history="1">
        <w:r>
          <w:rPr>
            <w:rFonts w:ascii="arial" w:eastAsia="arial" w:hAnsi="arial" w:cs="arial"/>
            <w:b w:val="0"/>
            <w:i/>
            <w:strike w:val="0"/>
            <w:noProof w:val="0"/>
            <w:color w:val="0077CC"/>
            <w:position w:val="0"/>
            <w:sz w:val="20"/>
            <w:u w:val="single"/>
            <w:vertAlign w:val="baseline"/>
          </w:rPr>
          <w:t>(81 FR 50844),</w:t>
        </w:r>
      </w:hyperlink>
      <w:r>
        <w:rPr>
          <w:rFonts w:ascii="arial" w:eastAsia="arial" w:hAnsi="arial" w:cs="arial"/>
          <w:b w:val="0"/>
          <w:i w:val="0"/>
          <w:strike w:val="0"/>
          <w:noProof w:val="0"/>
          <w:color w:val="000000"/>
          <w:position w:val="0"/>
          <w:sz w:val="20"/>
          <w:u w:val="none"/>
          <w:vertAlign w:val="baseline"/>
        </w:rPr>
        <w:t xml:space="preserve"> because of the proposed phase-in of repayment responsibility with no responsibility in either performance year 1 or performance year 2 (NDR) and only partial repayment responsibility in performance year 2 (DR) and all of performance year 3, an EPM participant with actual EPM-episode payments that exceeded the quality-adjusted target prices multiplied by the EPM participant's number of EPM episodes to which each quality-adjusted target price would apply in performance year 2 (DR) and performance year 3 would owe Medicare less than would otherwise result from this calculation.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as discussed in section III.E.3.f of the proposed rule </w:t>
      </w:r>
      <w:hyperlink r:id="rId9" w:history="1">
        <w:r>
          <w:rPr>
            <w:rFonts w:ascii="arial" w:eastAsia="arial" w:hAnsi="arial" w:cs="arial"/>
            <w:b w:val="0"/>
            <w:i/>
            <w:strike w:val="0"/>
            <w:noProof w:val="0"/>
            <w:color w:val="0077CC"/>
            <w:position w:val="0"/>
            <w:sz w:val="20"/>
            <w:u w:val="single"/>
            <w:vertAlign w:val="baseline"/>
          </w:rPr>
          <w:t>(81 FR 50801),</w:t>
        </w:r>
      </w:hyperlink>
      <w:r>
        <w:rPr>
          <w:rFonts w:ascii="arial" w:eastAsia="arial" w:hAnsi="arial" w:cs="arial"/>
          <w:b w:val="0"/>
          <w:i w:val="0"/>
          <w:strike w:val="0"/>
          <w:noProof w:val="0"/>
          <w:color w:val="000000"/>
          <w:position w:val="0"/>
          <w:sz w:val="20"/>
          <w:u w:val="none"/>
          <w:vertAlign w:val="baseline"/>
        </w:rPr>
        <w:t xml:space="preserve"> we proposed to apply an "applicable discount factor" to repayment amounts in performance years 2 and 3 while this repayment responsibility was being phased-in. We refer to section III.E.1. and specifically Tables 20 through 28 in our proposed rule for further illustration of the discount percentages that would apply for reconciliation payment and Medicare repayment over the 5 EPM performance years </w:t>
      </w:r>
      <w:hyperlink r:id="rId9" w:history="1">
        <w:r>
          <w:rPr>
            <w:rFonts w:ascii="arial" w:eastAsia="arial" w:hAnsi="arial" w:cs="arial"/>
            <w:b w:val="0"/>
            <w:i/>
            <w:strike w:val="0"/>
            <w:noProof w:val="0"/>
            <w:color w:val="0077CC"/>
            <w:position w:val="0"/>
            <w:sz w:val="20"/>
            <w:u w:val="single"/>
            <w:vertAlign w:val="baseline"/>
          </w:rPr>
          <w:t>(81 FR 50888</w:t>
        </w:r>
      </w:hyperlink>
      <w:r>
        <w:rPr>
          <w:rFonts w:ascii="arial" w:eastAsia="arial" w:hAnsi="arial" w:cs="arial"/>
          <w:b w:val="0"/>
          <w:i w:val="0"/>
          <w:strike w:val="0"/>
          <w:noProof w:val="0"/>
          <w:color w:val="000000"/>
          <w:position w:val="0"/>
          <w:sz w:val="20"/>
          <w:u w:val="none"/>
          <w:vertAlign w:val="baseline"/>
        </w:rPr>
        <w:t xml:space="preserve"> through 50892). We believe this methodology offers EPM participants an opportunity to create savings for themselves and Medicare, while also maintaining or improving quality of care for EPM model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establish discount factors that would apply to the quality categories was included in § 512.300(d). We sought comment on our proposal to establish discount factors that apply to the quality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Most commenters suggested that the ability to achieve savings under the proposed models (most notably for the cardiac models and the CABG model in particular) was more limited than for the CJR model, and that these limitations would become more significant as target prices decline further over time. For example, commenters opined that while about half of CJR episode spending is attributable to the initial hospitalization, CMS noted that about three-quarters of CABG episode spending is attributable to the initial hospitalization. As such, there are fewer opportunities to achieve efficiencies within the inpatient hospital payment amount because it is a predetermined per-discharge payment based primarily on the patient's condition, not on services provided. Further, some portion of CABG and AMI costs outside the initial hospitalization is attributable to readmissions; however, these costs are already declining due to hospitals' responses to the HRRP and any remaining readmissions are more likely to be clinically appropriate and necessary. As such, it would be difficult to achieve efficiencies within the remaining percentage of spending that occurs outside the initial hospitalization. Thus, commenters requested that CMS implement a smaller discount factor than what was proposed--typically a 1 percentage point reduction.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and concerns raised with respect to our proposed discount factor. We recognize that, as compared to episodes under the CJR model, opportunities to achieve improved efficiencies under the proposed models would be different and potentially more challenging for participants under the proposed models. However, we do not believe the increased efficiencies needed to be successful as was proposed under the models are unattainable. Given our policy to phase-in full regional pricing over time, participants' performance will increasingly be compared to that of peers within their region; thus, for the more efficient participants, target pricing would likely be higher than if we relied on participant-specific pricing alone. Further, as discussed in section III.D.4.b.(2), we plan to explore and implement additional adjustments for risk beginning in PY3, which should facilitate successful participants' ability to achieve savings under the models. We would also note that our final policy to include reconciliation payments when updating target prices for successful participants under the models should ease the decline in pricing over time, which should facilitate their ability to be rewarded for improved efficiencies.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encouraged CMS to provide participants with protection against having to make repayments that result from adverse events beyond their control, similar to the protections offered under the Medicare Shared Savings Program. Specifically, during risk-bearing periods of the program, instead of setting a repayment target price equal to historical payments minus some percentage, the commenters recommended that CMS should instead set a symmetric target price equal to historical payments plus or minus some percentage. Under this proposal, participants with historical payments falling between, for example, 97 percent and 103 percent of historical payments would neither receive reconciliation payments nor be held responsible for repaying Medicare.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suggested alternative the commenter offered, but would note that the proposed models are intended to test a bundled payment rather than a shared savings model, which is being tested through Innovation Center and Shared Savings Program ACO efforts.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 modification, to establish discount factors that would apply to the quality categories. Specifically, for repayment amounts in performance year 2, our final applicable discount factor would apply only to participants that elected downside risk in that year. Also, in conformance with our final policy for phasing-in repayment responsibility, the applicable discount factor is extended so that it will apply to all EPM participants in performance year 4. Our final policy for the discount factor is included in § 512.300(d).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Approach To Combine Pricing Features for All SHFFT Model Episodes and AMI Model Episodes Without CABG Readmissions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presents our proposed methodology for combining the pricing features presented in section III.D.4.b. of the proposed rule with respect to SHFFT model episodes and AMI model episodes without a CABG readmission </w:t>
      </w:r>
      <w:hyperlink r:id="rId9" w:history="1">
        <w:r>
          <w:rPr>
            <w:rFonts w:ascii="arial" w:eastAsia="arial" w:hAnsi="arial" w:cs="arial"/>
            <w:b w:val="0"/>
            <w:i/>
            <w:strike w:val="0"/>
            <w:noProof w:val="0"/>
            <w:color w:val="0077CC"/>
            <w:position w:val="0"/>
            <w:sz w:val="20"/>
            <w:u w:val="single"/>
            <w:vertAlign w:val="baseline"/>
          </w:rPr>
          <w:t>(81 FR 50862 and 50863).</w:t>
        </w:r>
      </w:hyperlink>
    </w:p>
    <w:p>
      <w:pPr>
        <w:keepNext w:val="0"/>
        <w:numPr>
          <w:numId w:val="2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Step 1--Calculate historical EPM-episode payments for episodes that were initiated during the 3-historical-years of each applicable EPM (that is, individually for each of the SHFFT and AMI models) (section III.D.4.b.(3) of the proposed rule) for all IPPS hospitals for all Medicare Part A and B services included in the EPM episodes. Limit the potential AMI model episodes to those episodes with price MS-DRGs in 280-282 or 246-251 and without readmissions for CABG MS-DRGs. We note that specific PBPM payments may be excluded from historical EPM-episode payment calculations as </w:t>
      </w:r>
      <w:r>
        <w:rPr>
          <w:rFonts w:ascii="arial" w:eastAsia="arial" w:hAnsi="arial" w:cs="arial"/>
          <w:b/>
          <w:i w:val="0"/>
          <w:strike w:val="0"/>
          <w:noProof w:val="0"/>
          <w:color w:val="000000"/>
          <w:position w:val="0"/>
          <w:sz w:val="20"/>
          <w:u w:val="none"/>
          <w:vertAlign w:val="baseline"/>
        </w:rPr>
        <w:t> [*324] </w:t>
      </w:r>
      <w:r>
        <w:rPr>
          <w:rFonts w:ascii="arial" w:eastAsia="arial" w:hAnsi="arial" w:cs="arial"/>
          <w:b w:val="0"/>
          <w:i w:val="0"/>
          <w:strike w:val="0"/>
          <w:noProof w:val="0"/>
          <w:color w:val="000000"/>
          <w:position w:val="0"/>
          <w:sz w:val="20"/>
          <w:u w:val="none"/>
          <w:vertAlign w:val="baseline"/>
        </w:rPr>
        <w:t xml:space="preserve"> discussed in section III.D.6.d. of the proposed rule.</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2--Remove the effects of special payment provisions (section III.D.3.b. of the proposed rule) and normalize for wage index differences (section III.D.4.b.(8). of the proposed rule) by standardizing Medicare FFS payments at the claim-level.</w:t>
      </w:r>
    </w:p>
    <w:p>
      <w:pPr>
        <w:keepNext w:val="0"/>
        <w:numPr>
          <w:numId w:val="2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3--Prorate Medicare payments for included episode services that span a period of care that extends beyond the episode (section III.D.3.c. of the proposed rule.).</w:t>
      </w:r>
    </w:p>
    <w:p>
      <w:pPr>
        <w:keepNext w:val="0"/>
        <w:numPr>
          <w:numId w:val="2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4--Trend forward the 2 oldest historical years of data to the most recent year of historical data (section III.D.4.b.(4) of the proposed rule). Separate national trend factors would be applied for each combination of price MS-DRGs.</w:t>
      </w:r>
    </w:p>
    <w:p>
      <w:pPr>
        <w:keepNext w:val="0"/>
        <w:numPr>
          <w:numId w:val="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5--Cap high episode payment episodes with a region- and price-MS-DRG-specific high payment ceiling (section III.D.3.d. of the proposed rule), using the episode output from the previous step.</w:t>
      </w:r>
    </w:p>
    <w:p>
      <w:pPr>
        <w:keepNext w:val="0"/>
        <w:numPr>
          <w:numId w:val="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6--Group episodes based on price MS-DRGs (SHFFT MS-DRGs 480-482; AMI MS-DRGs 280-282; PCI MS-DRGs 246-251). Within each group of episodes, calculate severity factors and EPM participant-specific weights (section III.D.4.b.(9) of the proposed rule) using the episode output from the previous step to pool together episodes in each group of price MS-DRGs, resulting in EPM participant-specific pooled historical average episode payments for each group of price MS-DRGs. Similarly, calculate region-specific weights to calculate region-specific pooled historical average episode payments for each group of price MS-DRGs.</w:t>
      </w:r>
    </w:p>
    <w:p>
      <w:pPr>
        <w:keepNext w:val="0"/>
        <w:numPr>
          <w:numId w:val="2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7--Calculate EPM participant-specific and region-specific weighted update factors (section III.D.4.b.(5). of the proposed rule). Multiply each EPM participant-specific and region-specific pooled historical average episode payment by its corresponding EPM participant-specific and region-specific weighted update factors to calculate EPM participant-specific and region-specific updated, pooled, historical average episode payments.</w:t>
      </w:r>
    </w:p>
    <w:p>
      <w:pPr>
        <w:keepNext w:val="0"/>
        <w:numPr>
          <w:numId w:val="2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8--Blend together each EPM-participant-specific updated, pooled, historical average episode payment with the corresponding region-specific updated, pooled, historical average episode payment according to the proportions for the EPM performance year (III.D.4.b.(6) of the proposed rule). EPM participants that do not have the minimum episode volume across the historical 3 years would use 0.0 percent and 100 percent as the proportions for hospital and region, respectively.</w:t>
      </w:r>
    </w:p>
    <w:p>
      <w:pPr>
        <w:keepNext w:val="0"/>
        <w:numPr>
          <w:numId w:val="2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9--Multiply the outputs of step (8) by the wage normalization factor described in section III.D.4.b.(8) of this final rule to reintroduce geographic variation. For purposes of the proposed rule, we defined the three outputs of this step as the standard episode benchmark price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SHFFT model episodes with price MS-DRG 482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AMI model episodes with price MS-DRG 282 without readmission for CABG,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AMI model episodes with price MS-DRG 251 without readmission for CABG.</w:t>
      </w:r>
    </w:p>
    <w:p>
      <w:pPr>
        <w:keepNext w:val="0"/>
        <w:numPr>
          <w:numId w:val="2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10--Multiply the output of step (9) by the appropriate severity factors (step (6) of this calculation process and detailed in section III.D.4.b.(9) of the proposed rule) to calculate the standard episode benchmark prices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SHFFT model episodes with price MS-DRGs 480-481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AMI model episodes with price MS-DRGs 280-281 without readmission for CABG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AMI model episodes with price MS-DRGs 246-250 without readmission for CABG</w:t>
      </w:r>
    </w:p>
    <w:p>
      <w:pPr>
        <w:keepNext w:val="0"/>
        <w:numPr>
          <w:numId w:val="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11--Multiply the outputs of step (9) and (10) by 1 minus the applicable effective discount factor based on the EPM participant's quality category as described in sections III.D.4.b.(10) and III.E.3.f. of the proposed rule. For purposes of the proposed rule, we defined the outputs of this step as the episode quality-adjusted target prices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SHFFT model episodes with price MS-DRGs 480-482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AMI model episodes with price MS-DRGs 280-282 without readmission for CABG,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AMI model episodes with price MS-DRGs 246-251 without readmission for CABG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note that because our final policy for inpatient-to-inpatient hospital transfers for AMI episodes does not include chained anchor hospitalizations, the one change to our proposed approach for combining pricing features for all SHFFT model episodes and AMI model episodes without CABG readmissions is to replace the term price MS-DRG with the term anchor MS-DRG.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Approach To Combine Pricing Features for CABG Model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presents our proposed methodology for combining the pricing features presented in section III.D.4.b of the proposed rule with respect to CABG model episodes </w:t>
      </w:r>
      <w:hyperlink r:id="rId9" w:history="1">
        <w:r>
          <w:rPr>
            <w:rFonts w:ascii="arial" w:eastAsia="arial" w:hAnsi="arial" w:cs="arial"/>
            <w:b w:val="0"/>
            <w:i/>
            <w:strike w:val="0"/>
            <w:noProof w:val="0"/>
            <w:color w:val="0077CC"/>
            <w:position w:val="0"/>
            <w:sz w:val="20"/>
            <w:u w:val="single"/>
            <w:vertAlign w:val="baseline"/>
          </w:rPr>
          <w:t>(81 FR 50863</w:t>
        </w:r>
      </w:hyperlink>
      <w:r>
        <w:rPr>
          <w:rFonts w:ascii="arial" w:eastAsia="arial" w:hAnsi="arial" w:cs="arial"/>
          <w:b w:val="0"/>
          <w:i w:val="0"/>
          <w:strike w:val="0"/>
          <w:noProof w:val="0"/>
          <w:color w:val="000000"/>
          <w:position w:val="0"/>
          <w:sz w:val="20"/>
          <w:u w:val="none"/>
          <w:vertAlign w:val="baseline"/>
        </w:rPr>
        <w:t xml:space="preserve"> through 50864).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Anchor Hospitalization Portion of CABG Model Episodes</w:t>
      </w:r>
    </w:p>
    <w:p>
      <w:pPr>
        <w:keepNext w:val="0"/>
        <w:numPr>
          <w:numId w:val="2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1--Calculate historical episode payments that occurred during the anchor hospitalization of CABG model episodes that were initiated during the 3 historical years (section III.D.4.b.(2). of the proposed rule) for all IPPS hospitals for all Medicare Part A and B services included in the episodes. We note that specific PBPM payments may be excluded from historical episode payment calculations as discussed in section III.D.6. of the proposed rule.</w:t>
      </w:r>
    </w:p>
    <w:p>
      <w:pPr>
        <w:keepNext w:val="0"/>
        <w:numPr>
          <w:numId w:val="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2--Apply steps III.D.4.c.(2) through (4) to the results of step (1) with trend factors calculated based on the anchor hospitalization portion of CABG model episodes with price MS-DRGs 231-236.</w:t>
      </w:r>
    </w:p>
    <w:p>
      <w:pPr>
        <w:keepNext w:val="0"/>
        <w:numPr>
          <w:numId w:val="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3--Group the anchor hospitalization portion of episodes based on price MS-DRGs 231-236 and apply steps III.D.4.c.(6) through (10) to the anchor hospitalization portion of the CABG model episodes with severity factors, hospital-specific weighted update factors, and region-specific weighted update factors calculated to apply based only on the anchor hospitalization portion of CABG model episodes with price MS-DRGs 231-236. For purposes of the proposed rule, we defined the output of this step as CABG anchor hospitalization benchmark prices for CABG model episodes with price MS-DRGs 231-236.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note that because our final policy for inpatient-to-inpatient hospital transfers for AMI episodes does not include chained anchor hospitalizations, the one change to our approach for combining pricing features for CABG model episodes is to replace the term price MS-DRG with the term anchor MS-DRG.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Approach To Combine Pricing Features for Post-Anchor Hospitalization Portion of CABG Model Episodes</w:t>
      </w:r>
    </w:p>
    <w:p>
      <w:pPr>
        <w:keepNext w:val="0"/>
        <w:numPr>
          <w:numId w:val="2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1--Calculate historical episode payments that occurred after the anchor hospitalization for CABG model episodes that were initiated during the 3 historical years (section III.D.4.b.(2) of the proposed rule) for all IPPS hospitals for all Medicare Parts A and B services included in the episodes. We note that specific PBPM payments may be excluded from historical episode payment calculations as discussed in section III.D.6. of the proposed rule.</w:t>
      </w:r>
    </w:p>
    <w:p>
      <w:pPr>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Step 2--Apply steps III.D.4.c.(2) through (4) to the results of step (1) with </w:t>
      </w:r>
      <w:r>
        <w:rPr>
          <w:rFonts w:ascii="arial" w:eastAsia="arial" w:hAnsi="arial" w:cs="arial"/>
          <w:b/>
          <w:i w:val="0"/>
          <w:strike w:val="0"/>
          <w:noProof w:val="0"/>
          <w:color w:val="000000"/>
          <w:position w:val="0"/>
          <w:sz w:val="20"/>
          <w:u w:val="none"/>
          <w:vertAlign w:val="baseline"/>
        </w:rPr>
        <w:t> [*325] </w:t>
      </w:r>
      <w:r>
        <w:rPr>
          <w:rFonts w:ascii="arial" w:eastAsia="arial" w:hAnsi="arial" w:cs="arial"/>
          <w:b w:val="0"/>
          <w:i w:val="0"/>
          <w:strike w:val="0"/>
          <w:noProof w:val="0"/>
          <w:color w:val="000000"/>
          <w:position w:val="0"/>
          <w:sz w:val="20"/>
          <w:u w:val="none"/>
          <w:vertAlign w:val="baseline"/>
        </w:rPr>
        <w:t xml:space="preserve"> trend factors calculated based on the post-anchor hospitalization portion of CABG model episodes with price MS-DRGs 231-236, as described in section III.D.4.b.(4) of the proposed rule.</w:t>
      </w:r>
    </w:p>
    <w:p>
      <w:pPr>
        <w:keepNext w:val="0"/>
        <w:numPr>
          <w:numId w:val="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3--Group the post-anchor hospitalization portion of episodes based 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 AMI diagnosis on the anchor inpatient claim and price MS-DRG with major complication or comorbidity (231, 233, or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 AMI diagnosis on the anchor inpatient claim and price MS-DRG without major complication or comorbidity (232, 234, or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Without AMI diagnosis on the anchor inpatient claim and price MS-DRG with major complication or comorbidity (231, 233, or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Without AMI diagnosis on the anchor inpatient claim and price MS-DRG without major complication or comorbidity (232, 234, or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apply steps III.D.4.c.(6)-(10) to the post-anchor hospitalization portion of the CABG model episodes with severity factors, hospital-specific weights, and region-specific weights calculated to apply based on the groups previously described in this step. For purposes of the proposed rule, we defined the output of this step as CABG post-anchor hospitalization benchmark prices for CABG model episodes corresponding to the groups described in this step.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note that because our final policy for inpatient-to-inpatient hospital transfers for AMI episodes does not include chained anchor hospitalizations, the one change to our approach for combining pricing features for the post-anchor hospitalization portion of CABG model episodes is to replace the term price MS-DRG with the term anchor MS-DRG.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Combine CABG Anchor Hospitalization Benchmark Price and CABG Post-Anchor Hospitalization Benchmark Price</w:t>
      </w:r>
    </w:p>
    <w:p>
      <w:pPr>
        <w:keepNext w:val="0"/>
        <w:numPr>
          <w:numId w:val="2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1--Sum the CABG anchor hospitalization benchmark price corresponding to each price CABG MS-DRG and the CABG post-anchor hospitalization price corresponding to each of the post-anchor hospitalization groupings described in III.D.4.d.(2) of the proposed rule. For purposes of the proposed rule, we defined the outputs of those calculations to be CABG model episode benchmark prices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231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232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233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234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235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236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231 and without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232 and without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233 and without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234 and without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235 and without AMI diagnosis;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236 and without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CABG episode benchmark prices for each price CABG MS-DRG with AMI diagnosis would also apply as AMI model episode benchmark prices for AMI model episodes with price MS-DRGs 231-236.</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2--Multiply the results of step 1 by the appropriate effective discount factor that reflects the EPM participant's quality category as described in sections III.D.4.b.(10) and III.E.3.f. of the proposed rule. For purposes of the proposed rule, we defined the outputs of this step to be CABG model episode quality-adjusted target prices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231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232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233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234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235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236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231 and without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232 and without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233 and without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234 and without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235 and without AMI diagnosis;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236 and without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episode quality-adjusted target prices for each anchor CABG MS-DRG with AMI diagnosis would also apply as AMI model episode quality-adjusted target prices for AMI model episodes with price MS-DRGs 231-236. The effective discount factor applied to calculate the AMI model episode quality-adjusted target prices for AMI model episodes with price MS-DRGs 231-236 could differ from the effective discount factor applied to calculate CABG model episode quality-adjusted target prices for CABG model episodes if the participant had different levels of quality performance on the AMI and CABG model composite quality scores that determine the discount factor for the quality-adjusted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note that because our final policy for inpatient-to-inpatient hospital transfers for AMI episodes does not include chained anchor hospitalizations, the one change to our approach for combining CABG anchor hospitalization benchmark prices and CABG post-anchor hospitalization benchmark prices is to replace the term price MS-DRG with the term anchor MS-DRG.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Approach To Combine Pricing Features for AMI Model Episodes With CABG Readmissions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presents our proposed methodology for combining the pricing features presented in section III.D.4.b of the proposed rule with respect to AMI model episodes with a CABG readmission </w:t>
      </w:r>
      <w:hyperlink r:id="rId9" w:history="1">
        <w:r>
          <w:rPr>
            <w:rFonts w:ascii="arial" w:eastAsia="arial" w:hAnsi="arial" w:cs="arial"/>
            <w:b w:val="0"/>
            <w:i/>
            <w:strike w:val="0"/>
            <w:noProof w:val="0"/>
            <w:color w:val="0077CC"/>
            <w:position w:val="0"/>
            <w:sz w:val="20"/>
            <w:u w:val="single"/>
            <w:vertAlign w:val="baseline"/>
          </w:rPr>
          <w:t>(81 FR 50864).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AMI model episode benchmark price for AMI model episodes with CABG readmission is the sum of the applicable standard AMI model episode benchmark price for an AMI episode without readmission corresponding to the AMI price MS-DRG and the applicable CABG anchor hospitalization benchmark price for a CABG model episode corresponding to the CABG readmission MS-DRG in the AMI model.</w:t>
      </w:r>
    </w:p>
    <w:p>
      <w:pPr>
        <w:keepNext w:val="0"/>
        <w:numPr>
          <w:numId w:val="2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1--For each combination of AMI price MS-DRG and CABG readmission MS-DRG, sum the corresponding AMI model episode benchmark price and CABG anchor hospitalization benchmark price. This results in 54 possible CABG readmission AMI model episode benchmark prices, corresponding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Price MS-DRG 280; Readmission MS-DRG 231; </w:t>
      </w:r>
      <w:r>
        <w:rPr>
          <w:rFonts w:ascii="arial" w:eastAsia="arial" w:hAnsi="arial" w:cs="arial"/>
          <w:b/>
          <w:i w:val="0"/>
          <w:strike w:val="0"/>
          <w:noProof w:val="0"/>
          <w:color w:val="000000"/>
          <w:position w:val="0"/>
          <w:sz w:val="20"/>
          <w:u w:val="none"/>
          <w:vertAlign w:val="baseline"/>
        </w:rPr>
        <w:t> [*326]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280; Readmission MS-DRG 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280; Readmission MS-DRG 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280; Readmission MS-DRG 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280; Readmission MS-DRG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280; Readmission MS-DRG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281; Readmission MS-DRG 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281; Readmission MS-DRG 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281; Readmission MS-DRG 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281; Readmission MS-DRG 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281; Readmission MS-DRG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281; Readmission MS-DRG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282; Readmission MS-DRG 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282; Readmission MS-DRG 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282; Readmission MS-DRG 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282; Readmission MS-DRG 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282; Readmission MS-DRG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282; Readmission MS-DRG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246; Readmission MS-DRG 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246; Readmission MS-DRG 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246; Readmission MS-DRG 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246; Readmission MS-DRG 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246; Readmission MS-DRG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246; Readmission MS-DRG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247; Readmission MS-DRG 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247; Readmission MS-DRG 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247; Readmission MS-DRG 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247; Readmission MS-DRG 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247; Readmission MS-DRG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247; Readmission MS-DRG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248; Readmission MS-DRG 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248; Readmission MS-DRG 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248; Readmission MS-DRG 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248; Readmission MS-DRG 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248; Readmission MS-DRG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248; Readmission MS-DRG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249; Readmission MS-DRG 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249; Readmission MS-DRG 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249; Readmission MS-DRG 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249; Readmission MS-DRG 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249; Readmission MS-DRG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249; Readmission MS-DRG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250; Readmission MS-DRG 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250; Readmission MS-DRG 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250; Readmission MS-DRG 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250; Readmission MS-DRG 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250; Readmission MS-DRG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250; Readmission MS-DRG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251; Readmission MS-DRG 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251; Readmission MS-DRG 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251; Readmission MS-DRG 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251; Readmission MS-DRG 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251; Readmission MS-DRG 235;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251; Readmission MS-DRG 236.</w:t>
      </w:r>
    </w:p>
    <w:p>
      <w:pPr>
        <w:keepNext w:val="0"/>
        <w:numPr>
          <w:numId w:val="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2--Multiply the results of step 1 by the effective discount factor that reflects the EPM participant's quality category, as described in sections III.D.4.b.(10) and III.E.3.f. of the proposed rule. For purposes of the proposed rule, we defined the outputs of this step to be AMI model episode quality-adjusted target prices for the same combinations of AMI price MS-DRG and readmission MS-DRG in step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note that because our final policy for inpatient-to-inpatient hospital transfers for AMI episodes does not include chained anchor hospitalizations, the one change to our approach for combining pricing features for AMI model episodes with CABG readmissions is to replace the term price MS-DRG with the term anchor MS-DRG.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Process for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Net Payment Reconciliation Amount (NPRA)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CJR model </w:t>
      </w:r>
      <w:hyperlink r:id="rId21" w:history="1">
        <w:r>
          <w:rPr>
            <w:rFonts w:ascii="arial" w:eastAsia="arial" w:hAnsi="arial" w:cs="arial"/>
            <w:b w:val="0"/>
            <w:i/>
            <w:strike w:val="0"/>
            <w:noProof w:val="0"/>
            <w:color w:val="0077CC"/>
            <w:position w:val="0"/>
            <w:sz w:val="20"/>
            <w:u w:val="single"/>
            <w:vertAlign w:val="baseline"/>
          </w:rPr>
          <w:t>(80 FR 73381</w:t>
        </w:r>
      </w:hyperlink>
      <w:r>
        <w:rPr>
          <w:rFonts w:ascii="arial" w:eastAsia="arial" w:hAnsi="arial" w:cs="arial"/>
          <w:b w:val="0"/>
          <w:i w:val="0"/>
          <w:strike w:val="0"/>
          <w:noProof w:val="0"/>
          <w:color w:val="000000"/>
          <w:position w:val="0"/>
          <w:sz w:val="20"/>
          <w:u w:val="none"/>
          <w:vertAlign w:val="baseline"/>
        </w:rPr>
        <w:t xml:space="preserve"> through 73383), we proposed to conduct reconciliation for each EPM by calculating an EPM-specific NPRA for each EPM participant </w:t>
      </w:r>
      <w:hyperlink r:id="rId9" w:history="1">
        <w:r>
          <w:rPr>
            <w:rFonts w:ascii="arial" w:eastAsia="arial" w:hAnsi="arial" w:cs="arial"/>
            <w:b w:val="0"/>
            <w:i/>
            <w:strike w:val="0"/>
            <w:noProof w:val="0"/>
            <w:color w:val="0077CC"/>
            <w:position w:val="0"/>
            <w:sz w:val="20"/>
            <w:u w:val="single"/>
            <w:vertAlign w:val="baseline"/>
          </w:rPr>
          <w:t>(81 FR 50864</w:t>
        </w:r>
      </w:hyperlink>
      <w:r>
        <w:rPr>
          <w:rFonts w:ascii="arial" w:eastAsia="arial" w:hAnsi="arial" w:cs="arial"/>
          <w:b w:val="0"/>
          <w:i w:val="0"/>
          <w:strike w:val="0"/>
          <w:noProof w:val="0"/>
          <w:color w:val="000000"/>
          <w:position w:val="0"/>
          <w:sz w:val="20"/>
          <w:u w:val="none"/>
          <w:vertAlign w:val="baseline"/>
        </w:rPr>
        <w:t xml:space="preserve"> through 50865). After the completion of an EPM performance year, we proposed to retrospectively calculate an EPM participant's actual EPM-episode payments based on the EPM episode definitions as discussed in sections III.C.3. and III.C.4. of the proposed rule and the payment policies applicable to calculating actual EPM-episode payments as discussed in the subsections of section III.D.3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compare each EPM participant's actual EPM episode payments to its quality-adjusted target prices. We proposed, as discussed in section III.D.4. of the proposed rule, that an EPM participant would have multiple quality-adjusted target prices for EPM episodes ending in a given performance year, based on the anchor MS-DRG for the EPM episode, whether the EPM episode included a chained anchor hospitalization; whether the EPM episode included readmission for CABG MS-DRGs; whether the EPM episode included an AMI ICD-CM diagnosis code on the anchor inpatient claim; the performance year when the EPM episode was initiated; when the EPM episode was initiated within a given performance year (January 1 through September 30 of the performance year, October 1 through December 31 of the performance year, October 1 through December 31 of the prior performance year); and the potential effective discount factors. The difference between each EPM episode's actual EPM episode payment and the relevant quality-adjusted target price under the EPM (calculated as quality-adjusted target price subtracted by actual EPM episode payment) would be aggregated for all EPM episodes in each EPM for an EPM participant within the performance year, representing the NPRA. For performance year 2, we would perform two separate aggregations in order to create two NPRAs--one reflecting episodes that ended during performance year 2 (NDR), and a second for episodes that ended during performance year 2 (DR).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not include any reconciliation payments or repayments to Medicare under the EPMs for a given performance year when calculating actual episode spending and, therefore the NPRA for a subsequent performance year. We want to incentivize providers to provide high-quality and efficient care in all years of the EPMs. If reconciliation payments for a performance year were counted as Medicare expenditures in a subsequent performance year, an EPM participant would experience higher Medicare expenditures in the subsequent performance year as a consequence of </w:t>
      </w:r>
      <w:r>
        <w:rPr>
          <w:rFonts w:ascii="arial" w:eastAsia="arial" w:hAnsi="arial" w:cs="arial"/>
          <w:b/>
          <w:i w:val="0"/>
          <w:strike w:val="0"/>
          <w:noProof w:val="0"/>
          <w:color w:val="000000"/>
          <w:position w:val="0"/>
          <w:sz w:val="20"/>
          <w:u w:val="none"/>
          <w:vertAlign w:val="baseline"/>
        </w:rPr>
        <w:t> [*327] </w:t>
      </w:r>
      <w:r>
        <w:rPr>
          <w:rFonts w:ascii="arial" w:eastAsia="arial" w:hAnsi="arial" w:cs="arial"/>
          <w:b w:val="0"/>
          <w:i w:val="0"/>
          <w:strike w:val="0"/>
          <w:noProof w:val="0"/>
          <w:color w:val="000000"/>
          <w:position w:val="0"/>
          <w:sz w:val="20"/>
          <w:u w:val="none"/>
          <w:vertAlign w:val="baseline"/>
        </w:rPr>
        <w:t xml:space="preserve"> providing high-quality and efficient care in the prior performance year, negating some of the incentive to perform well in the prior year. Therefore, we proposed to not have the NPRA for a given performance year be impacted by EPM repayments or reconciliation payments made in a prior performance year. For example, if an EPM participant receives a $ 10,000 reconciliation payment in the second quarter of 2018 for achieving episode spending below the quality-adjusted target price for performance year 1, that $ 10,000 reconciliation payment amount would not be included in the performance year 2 calculations of actual EPM-episode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NPRA would be subject to the stop-loss and stop-gain limits described in section III.D.7.b. and III.D.7.c.(1)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Payment Reconciliation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retrospectively reconcile an EPM participant's actual EPM-episode payments against the quality-adjusted target prices 2 months after the end of the performance year </w:t>
      </w:r>
      <w:hyperlink r:id="rId9" w:history="1">
        <w:r>
          <w:rPr>
            <w:rFonts w:ascii="arial" w:eastAsia="arial" w:hAnsi="arial" w:cs="arial"/>
            <w:b w:val="0"/>
            <w:i/>
            <w:strike w:val="0"/>
            <w:noProof w:val="0"/>
            <w:color w:val="0077CC"/>
            <w:position w:val="0"/>
            <w:sz w:val="20"/>
            <w:u w:val="single"/>
            <w:vertAlign w:val="baseline"/>
          </w:rPr>
          <w:t>(81 FR 50865</w:t>
        </w:r>
      </w:hyperlink>
      <w:r>
        <w:rPr>
          <w:rFonts w:ascii="arial" w:eastAsia="arial" w:hAnsi="arial" w:cs="arial"/>
          <w:b w:val="0"/>
          <w:i w:val="0"/>
          <w:strike w:val="0"/>
          <w:noProof w:val="0"/>
          <w:color w:val="000000"/>
          <w:position w:val="0"/>
          <w:sz w:val="20"/>
          <w:u w:val="none"/>
          <w:vertAlign w:val="baseline"/>
        </w:rPr>
        <w:t xml:space="preserve"> through 50867). Specifically, we would capture claims submitted by March 1st following the end of the performance year and carry out the NPRA calculation as described previously to make an EPM reconciliation payment or hold participants responsible for repayment, as applicable, in quarter 2 of that calendar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proposed that during the following performance year's reconciliation process, we would calculate the prior performance year's actual EPM episode payments a second time to account for final claims run-out and any canceled EPM episodes, due to overlap with other models or other reasons as specified in section III.C.4.b of the proposed rule. This calculation, termed the subsequent reconciliation, would occur approximately 14 months after the end of the prior performance year. As discussed later in that section, the amount from this calculation, if different from zero, would be applied to the NPRA for the subsequent performance year, as well as the post-episode spending and ACO overlap calculation in order to determine the amount of the payment Medicare would make to the EPM participant or such participant's repayment amount. We note that the subsequent reconciliation calculation would be combined with the previous calculation of NPRA for a performance year to ensure the stop-loss and stop-gain limits discussed in section III.D.7.b. and III.D.7.c.(1) of the proposed rule are not exceeded for a given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performance year 1 reconciliation process, we would calculate an EPM participant's NPRA as previously described, and if positive, such participant would receive the amount as a reconciliation payment from Medicare, subject to the stop-gain limit for performance year 1. If negative, the EPM participant would not be responsible for repayment to Medicare, consistent with our proposal to phase in financial responsibility beginning in the second quarter of performance year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performance year 2 reconciliation process, we would calculate two separate NPRAs for an EPM participant--one for episodes that ended during performance year 2 (NDR) and a second for episodes that ended during performance year 2 (DR). While these NPRAs would be separately determined for each of these two periods, whether an EPM participant receives a Medicare reconciliation payment or makes a Medicare repayment in performance year 2 would be determined based on the sum of these two separately determined NPRAs. The NPRA for both performance year 2 (NDR) and performance year 2 (DR) would be subject to the same stop-gain limit of 5 percent, but because EPM participants would only have repayment responsibility for negative NPRA in performance year 2 (DR), the stop-loss limit of 5 percent would only apply to performance year 2 (DR). Thus, if an EPM participant's NPRA for the first quarter of performance year 2 is positive, that amount would be counted toward a reconciliation payment from Medicare, subject to the stop-gain limit for performance year 2. If negative, the EPM participant would not be responsible for repayment to Medicare of the amount determined for performance year 2 (NDR). If an EPM participant's NPRA is positive for episodes ending during performance year 2 (DR), that amount would be counted toward a reconciliation payment from Medicare, subject to the stop-gain limit for performance year 2. If negative, the EPM participant would be responsible for repayment to Medicare of the amount determined for episodes ending during performance year 2 (DR), subject to the stop loss limits for performance year 2 (DR). During the subsequent reconciliation process for performance year 2, we would also calculate the prior performance year's actual EPM episode payments a second time separately for episodes that ended during performance year 2 (NDR) and for episodes that ended during performance year 2 (DR).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starting with the EPM reconciliation process for performance year 2, in order to determine the reconciliation or repayment amount, the amount from the subsequent reconciliation calculation would be combined with the NPRA for that subsequent year. The result of the post-episode spending calculation for performance year 1, as discussed in section III.D.7.e. of the proposed rule, and the dollar amount of the EPM discount percentage that was paid out as shared savings to an ACO during the prior year as specified in section III.D.6.b. of the proposed rule, would also be added to the NPRA and subsequent reconciliation calculation in order to create the reconciliation payment or repayment amount. If the amount is positive, and if the EPM participant is in the acceptable or better quality category for the EPM (discussed further in section III.E.3.f of the proposed rule), the EPM participant would receive the amount as a reconciliation payment from Medicare. If the amount is negative, Medicare would hold the EPM participant responsible for repaying the absolute value of the repayment amount following the rules and processes for all other Medicare debts. For example, when we conduct reconciliation for performance year 2 in early 2019, we would calculate the performance year 2 NPRA and the subsequent reconciliation calculation, post-episode spending, and ACO overlap calculation for performance year 1. These amounts would be added together to create the reconciliation payment or repayment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 that given our proposal to not hold EPM participants financially responsible for repayment for the first performance year, during the reconciliation process for performance year 2, the subsequent reconciliation calculation amount (for performance year 1) would be compared against the performance year 1 NPRA to ensure that the sum of the NPRA calculated for performance year 1 and the subsequent reconciliation calculation for year 1 is not less than zero. Likewise given our proposal to not hold EPM participants financially responsible for repayment for episodes ending during performance year 2 (NDR), during the reconciliation process for performance year 3, the subsequent reconciliation calculation amount for performance year 2 (NDR) would be compared against the performance year 2 (NDR) NPRA to ensure that the sum of the NPRA calculated for performance year 2 (NDR) and the subsequent reconciliation calculation for performance year 2 (NDR) is not less than zero. </w:t>
      </w:r>
      <w:r>
        <w:rPr>
          <w:rFonts w:ascii="arial" w:eastAsia="arial" w:hAnsi="arial" w:cs="arial"/>
          <w:b/>
          <w:i w:val="0"/>
          <w:strike w:val="0"/>
          <w:noProof w:val="0"/>
          <w:color w:val="000000"/>
          <w:position w:val="0"/>
          <w:sz w:val="20"/>
          <w:u w:val="none"/>
          <w:vertAlign w:val="baseline"/>
        </w:rPr>
        <w:t> [*328]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performance year 2 (DR) and performance years 3 through 5, though, we proposed that Medicare would hold the participant responsible for repaying part or all of the absolute value of the repayment amount, as proposed in section III.D.2.c. of the proposed rule, following the rules and processes for all other Medicare debts. Table 17 illustrates a simplified example of how the subsequent reconciliation calculation may affect the following year's reconciliation payment. Note that this example assumes the EPM participant is not responsible for post-episode spending or ACO overlap for performance year 1.</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17--Sample Reconciliation Results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Difference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between PY1</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2</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subsequent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subsequent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(2018)</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made</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NPRA</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NPRA *</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EPM</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calculation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calculation</w:t>
            </w: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participant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w:t>
            </w: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quarter 2</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NPRA</w:t>
            </w: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$ 50,000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$ 40,000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($ 10,000)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$ 25,000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$ 15,000</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Note the calculation of NPRA for performance year 2 represents the combined amounts of the NPRA for performance year 2 (NDR) and performance year 2 (DR).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column represents the NPRA calculated for performance year 1, meaning that EPM participant A's aggregated episode payment was $ 50,000 below the sum of quality-adjusted target prices for all of Participant A's EPM episodes. The third column represents the subsequent reconciliation calculation, indicating that when calculating actual EPM-episode payments during performance year 1 a second time, we determined that Participant A's aggregated EPM-episode payment was $ 40,000 below the sum of quality-adjusted target prices for all of Hospital A's EPM episodes, due to claims run out, accounting for model overlap, or other reasons. The fourth column represents the difference between the subsequent reconciliation calculation and the raw NPRA calculated for performance year 1. This difference is then combined with the amount in the fifth column to create the reconciliation payment amount for PY2, which is reflected in the sixth column.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reconciliation process would account for overlap between the EPMs and other CMS models and programs as discussed in section III.D.6.b of the proposed rule, and would also involve updating performance year EPM-episode claims data. We also noted that in cases where an EPM participant has appealed one or more of its EPM quality measure results through the HIQR Program appeal process (which is not part of the proposed EPM appeals process), where such HIQR Program appeal findings would result in a different effective discount factor for the EPM participant to calculate the quality-adjusted target prices from EPM-episode benchmark prices, the subsequent reconciliation calculation would account for these changes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for performance year 1 for these EPMs in 2017, we would capture claims submitted by March 1, 2018, and reconcile payments for EPM participants approximately 6 months after the end of the performance year 1 in quarter 2 of calendar year 2018. We would carry out the subsequent reconciliation calculation in the following year in quarter 2 of calendar 2019, simultaneously with the reconciliation process for the second performance year, 2018. Table 18 displays the reconciliation timeframes for the EPMs.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18--Timeframe for Reconciliation for EPMs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EPM</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EPM</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NPRA</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Second</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Calculation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 claims</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calculation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period</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submitted by</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 ACO</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included in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overlap, and</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post-episode</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spending</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and</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calculations</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amounts</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1 *</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Q2 2018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2019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beginning on</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after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2016</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ending</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Q2 2019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2020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ending</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January 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 through</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Q2 2020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2,</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2021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ending</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January 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 through</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Q2 2021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2021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ending</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January 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 through</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Q2 2022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1,</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2023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ending</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2022</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2023</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January 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 through</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Note that the reconciliation for Year 1 would not include repayment responsibility from EPM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this approach in order to balance our goals of providing reconciliation payments in a reasonable timeframe, while being able to account for overlap and all Medicare claims attributable to EPM episodes. We believe that beginning to pull claims 2 months after the end of the performance year would provide sufficient claims run-out to conduct the reconciliation in a timely manner, given that our performance year includes EPM episodes ending, not beginning, by December 31st. We noted that in accordance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424.44 and the Medicare Claims Processing Manual (</w:t>
      </w:r>
      <w:hyperlink r:id="rId61" w:history="1">
        <w:r>
          <w:rPr>
            <w:rFonts w:ascii="arial" w:eastAsia="arial" w:hAnsi="arial" w:cs="arial"/>
            <w:b w:val="0"/>
            <w:i/>
            <w:strike w:val="0"/>
            <w:noProof w:val="0"/>
            <w:color w:val="0077CC"/>
            <w:position w:val="0"/>
            <w:sz w:val="20"/>
            <w:u w:val="single"/>
            <w:vertAlign w:val="baseline"/>
          </w:rPr>
          <w:t>Pub. L. 100-04</w:t>
        </w:r>
      </w:hyperlink>
      <w:r>
        <w:rPr>
          <w:rFonts w:ascii="arial" w:eastAsia="arial" w:hAnsi="arial" w:cs="arial"/>
          <w:b w:val="0"/>
          <w:i w:val="0"/>
          <w:strike w:val="0"/>
          <w:noProof w:val="0"/>
          <w:color w:val="000000"/>
          <w:position w:val="0"/>
          <w:sz w:val="20"/>
          <w:u w:val="none"/>
          <w:vertAlign w:val="baseline"/>
        </w:rPr>
        <w:t xml:space="preserve">), Chapter 1, Section 70, Medicare claims can be submitted no later than 1 calendar year from the date-of-service. We also noted our recognition that by </w:t>
      </w:r>
      <w:r>
        <w:rPr>
          <w:rFonts w:ascii="arial" w:eastAsia="arial" w:hAnsi="arial" w:cs="arial"/>
          <w:b/>
          <w:i w:val="0"/>
          <w:strike w:val="0"/>
          <w:noProof w:val="0"/>
          <w:color w:val="000000"/>
          <w:position w:val="0"/>
          <w:sz w:val="20"/>
          <w:u w:val="none"/>
          <w:vertAlign w:val="baseline"/>
        </w:rPr>
        <w:t> [*329] </w:t>
      </w:r>
      <w:r>
        <w:rPr>
          <w:rFonts w:ascii="arial" w:eastAsia="arial" w:hAnsi="arial" w:cs="arial"/>
          <w:b w:val="0"/>
          <w:i w:val="0"/>
          <w:strike w:val="0"/>
          <w:noProof w:val="0"/>
          <w:color w:val="000000"/>
          <w:position w:val="0"/>
          <w:sz w:val="20"/>
          <w:u w:val="none"/>
          <w:vertAlign w:val="baseline"/>
        </w:rPr>
        <w:t xml:space="preserve"> pulling claims 2 months after the end of the performance year to conduct reconciliation, we would not have complete claims run-out. However, we believed that the 2 months of claims run-out would be an accurate reflection of EPM-episode payments and consistent with the claims run-out timeframes used for reconciliation in other payment models, such as BPCI Models 2 and 3 and the CJR model. Otherwise, the alternative would be to wait to reconcile until we have full claims run out 12 months after the end of the performance year, but we were concerned that this approach would significantly delay earned reconciliation payments under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proposed to conduct a subsequent reconciliation calculation 14 months after the end of a performance year to account for canceled episodes, post-episode spending, overlap with other CMS models and programs, and any remaining claims available at that time. The proposals for the annual reconciliation and subsequent reconciliation calculation were included in § 512.305 and § 512.307. We sought comment on these proposals for an annual reconciliation and subsequent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number of commenters supported the proposal for reconciliation payments, including the waiver of deductibles and copays with respect to reconciliation payments and Medicare repayments. While one commenter indicated that the proposed timeframes for reconciliation were reasonable, most of the commenters requested that CMS provide reconciliation payments or estimates of what reconciliation payments would be on a more frequent basis than annually. In most cases, these commenters recommended reconciliation payments on a quarterly basis (some noted this would be similar to BPCI and recommended the BPCI true-up process whereby we would make an initial reconciliation with three revisions (or "true-ups") in order to include additional claims run outs and any other changes that might have occurred with the third (final) true-up occurring 9 months after the initial reconciliation rather than 12 months later than the subsequent reconciliation as is the case for the EPMs and CJR. Another commenter recommended quarterly reconciliation determination with the option of an annual reconciliation for those hospitals preferring such while another recommended the opposite. Commenters favoring more frequent reconciliations suggested that doing so would provide hospitals with better cash flow that could be used to invest in the changes needed to be successful as well as more immediate feedback that would enable participants to better assess their performance and determine which of their approaches are effective as well as what changes might be needed to improve their performance. Further, if hospitals had more up front funding, they could in turn provide more frequent financial rewards to downstream collaborating providers, which would better maintain incentives on a more consistent basis to promote care coordination, with improved quality and efficiencies. One commenter suggested that the proposed annual reconciliation payment schedule could impede care redesign efforts and undermine gainsharing.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comments on the frequency of reconciliation, a commenter recommended that reconciliation occur at the beneficiary episode level rather than in aggregate across beneficiary episodes, as we proposed, because the former would better focus financial incentives on each episode as hospitals would recognize that they bear risk for every episode individually rather than in aggregate. In this commenter's view, CMS' proposal will more likely encourage gaming across episodes where a hospital tries to offset losses from one episode through savings on another.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we received supporting our proposal for an annual reconciliation with subsequent calculation as well as the suggestions for more frequent reconciliations or estimated reconciliation amounts. We are not persuaded to make reconciliation payments or estimated payment amounts available more frequently than on an annual basis. We are concerned that, particularly for small hospitals, the number of cases included in quarterly data would limit the representativeness of the data, which could produce somewhat misleading results. For similar reasons, do not believe that making more frequent reconciliation payments available than annually would advantage participants based on the expectation that additional resources would enhance their ability to develop infrastructure or gainsharing arrangements. Last, we are not persuaded to adopt the suggestion to determine reconciliations at the episode level. The commenter suggested that the proposed policy will result in hospitals "gaming" payments by offsetting losses for one episode with savings in another; however, we question this view. Rather, we believe the issue raised in this comment and our proposal for determining reconciliation payments under the models is similar and analogous to the basis under which Medicare makes payments under its FFS prospective systems in general. That is, for Medicare FFS prospective payments, an "average" payment is typically determined for a specific procedure or set of services where participants might "gain" or "lose" for a specific case but, on average and in aggregate across all cases, are paid that average amount. Given their recognition of this, we would not anticipate that Medicare providers and suppliers "game" their payments to offset losses on a case-by-case basis. Likewise, we would not expect that EPM participants would be any more or less encouraged to "game" episode payments depending on whether they received reconciliation payments at the episode level or in aggregate across all episodes.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make an annual reconciliation with subsequent calculation. Our final policies for an annual reconciliation and subsequent calculation are included in § 512.305 and § 512.307.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also note that since we have delayed the requirement to assume downside risk to performance year 3, except for participants that elect downside risk in performance year 2, we will not be performing two separate aggregations, as we had proposed, to separately create one NPRA for the period in performance year 2 without downside risk and another NPRA for the period where downside risk would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in contrast to our proposal, unless the EPM participant elected downside risk in performance year 2, we would calculate an EPM participant's NPRA for the performance year 1 and 2 reconciliation processes, and if positive, such participant would receive the amount as a reconciliation payment from Medicare, subject to the stop-gain limit for performance year 1 or performance year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starting with the EPM reconciliation process for performance year 2, in order to determine the reconciliation or repayment amount, the amount from the subsequent reconciliation calculation would be combined with the NPRA for that subsequent year. The result of the post-episode spending calculation for performance year 1, as discussed in section III.D.7.e. of the proposed rule, and the dollar amount of the EPM discount percentage that was paid out as </w:t>
      </w:r>
      <w:r>
        <w:rPr>
          <w:rFonts w:ascii="arial" w:eastAsia="arial" w:hAnsi="arial" w:cs="arial"/>
          <w:b/>
          <w:i w:val="0"/>
          <w:strike w:val="0"/>
          <w:noProof w:val="0"/>
          <w:color w:val="000000"/>
          <w:position w:val="0"/>
          <w:sz w:val="20"/>
          <w:u w:val="none"/>
          <w:vertAlign w:val="baseline"/>
        </w:rPr>
        <w:t> [*330] </w:t>
      </w:r>
      <w:r>
        <w:rPr>
          <w:rFonts w:ascii="arial" w:eastAsia="arial" w:hAnsi="arial" w:cs="arial"/>
          <w:b w:val="0"/>
          <w:i w:val="0"/>
          <w:strike w:val="0"/>
          <w:noProof w:val="0"/>
          <w:color w:val="000000"/>
          <w:position w:val="0"/>
          <w:sz w:val="20"/>
          <w:u w:val="none"/>
          <w:vertAlign w:val="baseline"/>
        </w:rPr>
        <w:t xml:space="preserve"> shared savings to an ACO during the prior year as specified in section III.D.6.b. of the proposed rule, would also be added to the NPRA and subsequent reconciliation calculation in order to create the reconciliation payment or repayment amount. If the amount is positive, and if the EPM participant is in the acceptable or better quality category for the EPM (discussed further in section III.E.3.f of the proposed rule), the EPM participant would receive the amount as a reconciliation payment from Medicare. If the amount is negative, Medicare would hold the EPM participant responsible for repaying the absolute value of the repayment amount following the rules and processes for all other Medicare debts. Though the NPRA for performance year 2 will be subject to a stop-loss limit of 0 percent, except for EPM participants that elected downside risk in performance year 2, it is still possible that EPM participants not electing downside risk for performance year 2 could owe a repayment amount because of the subsequent reconciliation calculation, post-episode spending calculation, and ACO overlap calculation for performance year 1. For example, when we conduct reconciliation for performance year 3 in early 2020, we would calculate the performance year 3 NPRA and the subsequent reconciliation calculation, post-episode spending, and ACO overlap calculation for performance year 2. These amounts would be added together to create the reconciliation payment or repayment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that given our proposal to not hold EPM participants financially responsible for repayment for the first performance year and the stop-loss limit of 0 percent for NPRA for the second performance year (except for EPM participants that otherwise elected downside risk),during the reconciliation process for performance year 3, the subsequent reconciliation calculation amount (for performance year 2) would be compared against the performance year 2 NPRA to ensure that the sum of the NPRA calculated for performance year 2 and the subsequent reconciliation calculation for year 2 is not less than zero.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an EPM participant that elected downside risk in performance year 2 and all participants in performance years 3 through 5, Medicare would hold the participant responsible for repaying part or all of the absolute value of the repayment amount, as proposed in section III.D.2.c. of the proposed rule, following the rules and processes for all other Medicare debts.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we would note that this final rule corrects proposed § 512.305(d)(iii) so that it refers to § 512.460(b) rather than § 512.460(b)(5).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Reconciliation Report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EPM participants to receive timely and meaningful feedback on their performance under the models as well as better understand the basis of their reconciliation payment or Medicare repayment for a given performance year, if any, we proposed to annually issue to EPM participants a reconciliation report </w:t>
      </w:r>
      <w:hyperlink r:id="rId9" w:history="1">
        <w:r>
          <w:rPr>
            <w:rFonts w:ascii="arial" w:eastAsia="arial" w:hAnsi="arial" w:cs="arial"/>
            <w:b w:val="0"/>
            <w:i/>
            <w:strike w:val="0"/>
            <w:noProof w:val="0"/>
            <w:color w:val="0077CC"/>
            <w:position w:val="0"/>
            <w:sz w:val="20"/>
            <w:u w:val="single"/>
            <w:vertAlign w:val="baseline"/>
          </w:rPr>
          <w:t>(81 FR 50867),</w:t>
        </w:r>
      </w:hyperlink>
      <w:r>
        <w:rPr>
          <w:rFonts w:ascii="arial" w:eastAsia="arial" w:hAnsi="arial" w:cs="arial"/>
          <w:b w:val="0"/>
          <w:i w:val="0"/>
          <w:strike w:val="0"/>
          <w:noProof w:val="0"/>
          <w:color w:val="000000"/>
          <w:position w:val="0"/>
          <w:sz w:val="20"/>
          <w:u w:val="none"/>
          <w:vertAlign w:val="baseline"/>
        </w:rPr>
        <w:t xml:space="preserve"> similar to the CJR Reconciliation Report we make available to CJR participants </w:t>
      </w:r>
      <w:hyperlink r:id="rId21" w:history="1">
        <w:r>
          <w:rPr>
            <w:rFonts w:ascii="arial" w:eastAsia="arial" w:hAnsi="arial" w:cs="arial"/>
            <w:b w:val="0"/>
            <w:i/>
            <w:strike w:val="0"/>
            <w:noProof w:val="0"/>
            <w:color w:val="0077CC"/>
            <w:position w:val="0"/>
            <w:sz w:val="20"/>
            <w:u w:val="single"/>
            <w:vertAlign w:val="baseline"/>
          </w:rPr>
          <w:t>(80 FR 73408).</w:t>
        </w:r>
      </w:hyperlink>
      <w:r>
        <w:rPr>
          <w:rFonts w:ascii="arial" w:eastAsia="arial" w:hAnsi="arial" w:cs="arial"/>
          <w:b w:val="0"/>
          <w:i w:val="0"/>
          <w:strike w:val="0"/>
          <w:noProof w:val="0"/>
          <w:color w:val="000000"/>
          <w:position w:val="0"/>
          <w:sz w:val="20"/>
          <w:u w:val="none"/>
          <w:vertAlign w:val="baseline"/>
        </w:rPr>
        <w:t xml:space="preserve"> We proposed that these reports would contain the following information:</w:t>
      </w:r>
    </w:p>
    <w:p>
      <w:pPr>
        <w:keepNext w:val="0"/>
        <w:numPr>
          <w:numId w:val="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on the EPM participant's composite quality score described in section III.E.3.a. through III.E.3.e of this final rule.</w:t>
      </w:r>
    </w:p>
    <w:p>
      <w:pPr>
        <w:keepNext w:val="0"/>
        <w:numPr>
          <w:numId w:val="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actual episode payments for the EPM participant.</w:t>
      </w:r>
    </w:p>
    <w:p>
      <w:pPr>
        <w:keepNext w:val="0"/>
        <w:numPr>
          <w:numId w:val="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NPRA.</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EPM participant is eligible for a reconciliation payment or must make a repayment to Medicare.</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NPRA and subsequent reconciliation calculation amount for the previous performance year, as applicable.</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post-episode spending amount and ACO overlap calculation for the previous performance year, as applicable.</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reconciliation payment or repayment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performance year 2, we proposed that the reconciliation report would include information separately for the performance year 2 (NDR) and performance year 2 (DR) portions of that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III.D.8 of the proposed rule, EPM participants would review their reconciliation report and would be required to provide written notice of any error, in a calculation error form that must be submitted in a form and manner specified by CMS. Unless the EPM participant provides such notice, the reconciliation report would be deemed final within 45 calendar days after it is issued, and CMS would proceed with payment or repayment. The proposal to issue a reconciliation report was included in § 512.305(f). We sought comments on our proposal to issue a reconciliation report to EPM participants and what other information, if any, would be helpful to include in this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As noted previously in section III.D.5.a. and b. of this final rule, some commenters requested that reconciliation payments or estimates of what reconciliation payments would be more frequently than on an annual basis. A commenter requested that, given the many adjustments to costs, including various value-based payments such as HRRP, CMS make publicly available and to the CJR model participant hospitals and EPM participants documentation of the various adjustments that would allow participants to verify or validate the adjustments and calculations. This commenter was concerned that providers who are taking on risk could otherwise be penalized multiple times for readmissions in the bundled payment program as well as other value-based payment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For the reasons previously articulated in this comment and response section, we are not persuaded to make reconciliation reports available for frequently than on an annual basis.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annually issue a reconciliation report. Our final policy for issuing a reconciliation report is included in § 512.305(f).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Adjustments for Overlaps With Other Innovation Center Models and CMS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issues may arise in overlap situations that must be addressed under EPM. First, we acknowledge that there may be circumstances where a hospital in a geographic area selected for the AMI, CABG or SHFFT model is also participating in BPCI for the same episode. We refer to this as "provider overlap." Second, there may be situations where a Medicare beneficiary receives care that could potentially be counted under more than one episode or total cost of care payment model. We refer to this as "beneficiary overlap." Finally, EPM reconciliation payments and Medicare repayments made under Parts A and B and attributable to a specific beneficiary's episode may be at risk of not being accounted for by other models and programs when determining the beneficiary's cost of care under Medicare. Therefore, a payment reconciliation policy is necessary in order to credit the entity that is closest to that care for the episode of care in terms of time, location, and care management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established our proposal for provider overlap at § 512.100(b) and § 512.230(g). We established our proposal for beneficiary overlap at </w:t>
      </w:r>
      <w:r>
        <w:rPr>
          <w:rFonts w:ascii="arial" w:eastAsia="arial" w:hAnsi="arial" w:cs="arial"/>
          <w:b/>
          <w:i w:val="0"/>
          <w:strike w:val="0"/>
          <w:noProof w:val="0"/>
          <w:color w:val="000000"/>
          <w:position w:val="0"/>
          <w:sz w:val="20"/>
          <w:u w:val="none"/>
          <w:vertAlign w:val="baseline"/>
        </w:rPr>
        <w:t> [*331] </w:t>
      </w:r>
      <w:r>
        <w:rPr>
          <w:rFonts w:ascii="arial" w:eastAsia="arial" w:hAnsi="arial" w:cs="arial"/>
          <w:b w:val="0"/>
          <w:i w:val="0"/>
          <w:strike w:val="0"/>
          <w:noProof w:val="0"/>
          <w:color w:val="000000"/>
          <w:position w:val="0"/>
          <w:sz w:val="20"/>
          <w:u w:val="none"/>
          <w:vertAlign w:val="baseline"/>
        </w:rPr>
        <w:t xml:space="preserve"> § 512.230(f), § 512.230(h), and § 512.230(i). We established our proposal for payment reconciliation at § 512.210 and § 512.305. We sought comment on our proposals to account for overlap between EPMs and other CMS models or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numerous comments related to overlap between EPMs and other CMS models or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For further discussion of comments related to model and program overlap, we refer readers to the specific sections later in this section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Provider Overlap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BPCI Participant Hospitals in Geographic Areas Selected for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Provider overlap exists when a hospital in a geographic area selected for the AMI, CABG or SHFFT model is also an episode initiator in BPCI for an episode anchored by that EPM's DRG. BPCI is an episode payment model testing AMI, CABG, SHFFT, and 45 other episodes in acute care, post-acute care, or both acute care and post-acute care settings.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CJR, we proposed for the EPMs that in the geographic areas where the AMI, CABG and SHFFT models will be implemented, an acute care hospital participating in BPCI Model 2 or 4 will participate in an EPM for episodes anchored by EPM MS-DRGs that are not covered under the hospital's current BPCI agreement. If a BPCI hospital in an EPM-selected area withdraws from BPCI episodes anchored by EPM MS-DRGs, the BPCI hospital will participate in the EPMs from which it was previously excluded. As we stated in the proposed rule, we believe this proposal promotes accountable care by ensuring beneficiary coverage by BPCI or an EPM in selected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established the proposal for hospitals in geographic areas selected for EPMs that are also participating in BPCI episodes anchored by EPM DRGs at § 512.100(b). We sought comment on this proposal. 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Overall, we received considerable support from commenters for our proposal to continue to give precedence to existing BPCI models where the EPM participant was also participating in a BPCI model that overlapped with a SHFFT, AMI, or CABG EPM. Several commenters requested that existing precedence rules should continue for any similar voluntary models implemented after September 2018 when the current BPCI model is scheduled to end.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many comments of support received for this aspect of the model. We wish to clarify that the current order of precedence for model overlaps pertains only to the currently existing models. CMS shall evaluate how to handle model overlaps for any future models at the time of implementation based on experience and knowledge gained through previous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recognize that this policy could indirectly impact clinicians with financial arrangements with an EPM participant, therefore, we refer to section III.A.2 for discussions of the ability for eligible clinicians to become qualifying APM participants (QP) as affiliated practitioners of EPMs that meet the Advanced APM criteria under the Quality Payment Program. Specifically, we are referring to the policy that eligible clinicians can meet program thresholds through participation in multiple Advanced APMs. We further discuss the considerations for a new alternative bundled payment model, and in particular the consideration for such a program to qualify as an Advanced APM, in section III.A.3.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in order to minimize overlap with existing BPCI models, CMS exclude MSAs where there are existing BPCI models. A commenter recommended that BPCI participating hospitals be exempt from having to participate in multiple models even if there were no overlap in the episodes covered under each model. For example, a hospital participating in BPCI for SHFFT episodes would be exempt from having to participate in CABG or AMI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identifying eligible MSAs where the EPMs could be implemented, we proposed to explicitly factor in the number of non-BPCI eligible cases when considering the relevant minimum volume of cases in an MSA. We refer readers to sections III.B.4., "Geographic Unit of Selection and Exclusion of Selected Hospitals" and IIII.B.5., "Overview and Options for Geographic Area Selection for AMI and CABG Episodes" of this final rule for a more detailed discussion of the factors considered in the selection of MSAs for EPMs. We do not believe it is appropriate to exempt hospitals from participating in EPMs solely because they are participating in a BPCI model for another non-overlapping episode. To do so would limit the potential volume of cases for evaluation purposes and could lead to patient steerage in areas where some hospitals in the same market may be participating in the EPM and others may not. Moreover, while we acknowledge the potential for some operational differences for those hospitals implementing multiple models, hospitals already participating in BPCI may, in fact, already have some of the infrastructure in place and be well positioned to succeed in implementing EPMs as well.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for handling overlap situations between EPM and BPCI participating hospitals. That is, in the geographic areas where the AMI, CABG and SHFFT models will be implemented, an acute care hospital participating in BPCI Model 2 or 4 will participate in an EPM only for episodes anchored by EPM MS-DRGs that would not otherwise be a BPCI episode. BPCI episodes would take precedence over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BPCI Physician Group Practice (PGP) Episode Initiators in Hospitals Participating in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possible that a physician in a BPCI PGP may treat a Medicare beneficiary in a hospital participating in one or more EPMs. We proposed that if a beneficiary is admitted to an EPM participant for an episode anchored by EPM MS-DRGs that is also covered under the PGP's BPCI agreement and the attending or operating physician on the admission's inpatient claim is a member of the BPCI PGP, the BPCI episode will take precedence over the EPM episode for which the hospital would otherwise be the accountable entity. In other words, if, for any portion of the EPM episode, a beneficiary would also be in a BPCI PGP episode, we will cancel an episode that has already been initiated or never initiate the EPM episode in the first place. For example:</w:t>
      </w:r>
    </w:p>
    <w:p>
      <w:pPr>
        <w:keepNext w:val="0"/>
        <w:numPr>
          <w:numId w:val="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beneficiary is admitted for a CABG to an EPM participant in the CABG model. The attending or operating physician on the inpatient claim for the admission is in a BPCI Model 2 PGP participating in CABG. The episode is initiated under BPCI; an EPM episode does not initiate.</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beneficiary is admitted for an AMI to an EPM participant in the AMI model. The beneficiary receives a PCI while hospitalized. The attending or operating physician on the inpatient claim for the admission is in a BPCI Model 2 PGP participating in PCI episodes but not medical AMI episodes. A PCI episode is initiated under BPCI; an EPM episode does not initiate. </w:t>
      </w:r>
      <w:r>
        <w:rPr>
          <w:rFonts w:ascii="arial" w:eastAsia="arial" w:hAnsi="arial" w:cs="arial"/>
          <w:b/>
          <w:i w:val="0"/>
          <w:strike w:val="0"/>
          <w:noProof w:val="0"/>
          <w:color w:val="000000"/>
          <w:position w:val="0"/>
          <w:sz w:val="20"/>
          <w:u w:val="none"/>
          <w:vertAlign w:val="baseline"/>
        </w:rPr>
        <w:t> [*332] </w:t>
      </w:r>
    </w:p>
    <w:p>
      <w:pPr>
        <w:keepNext w:val="0"/>
        <w:numPr>
          <w:numId w:val="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beneficiary is admitted for an AMI to an EPM participant in the AMI model. A PCI was not part of the beneficiary's treatment. The attending or operating physician on the inpatient claim for the admission is in a BPCI Model 2 PGP participating in PCI episodes only. The episode is initiated under the AMI model. A PCI episode under BPCI Model 2 would not initiate unless a PCI were performed on the beneficiary, and</w:t>
      </w:r>
    </w:p>
    <w:p>
      <w:pPr>
        <w:keepNext w:val="0"/>
        <w:numPr>
          <w:numId w:val="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beneficiary is admitted for an AMI to an EPM participant in the AMI model. A CABG was not part of the beneficiary's treatment. The attending or operating physician on the inpatient claim is in a BPCI Model 2 PGP participating in CABG episodes only. The episode is initiated under the AMI model. A CABG episode under BPCI Model 2 would not be initiated unless a CABG was performed on the beneficiary while hospitalized.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established the proposal for BPCI PGP episode initiators in hospitals participating in EPMs at § 512.230(g). We sought comment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supported our proposal to give precedence to situations where there was overlap between an episode attributed to a PGP voluntarily participating in BPCI and one that could otherwise have been attributed to an EPM participating hospital. However, we received several comments that expressed disagreement with this policy. These commenters believed that the hospital participant should have priority for having responsibility and financial accountability for the episode. A commenter expressed the specific concern that PGPs participating in BPCI could potentially select lower intensity cases and steer higher intensity and potentially more costly cases to non-BPCI, EPM participant hospitals. Concern was also expressed by some commenters that attributing episodes to BPCI in these situations would lower the volume of episodes available to the hospital and potentially make it less cost effective for the hospital to implement operational changes necessary to better manage episodes.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the potential for overlap between PGP initiated BPCI episodes and hospital attributed EPM episodes in those MSAs selected for EPM participation where there are also PGP BPCI initiators. CMS will monitor admission and transfer patterns and trends to identify any inappropriate patient steerage that may be occurring. On balance, however, we believe it is important to maintain CMS' commitment to existing models for which participants have volunteered and in which they are already actively involved. As these models end and CMS has the opportunity to evaluate their performance, including the impact of overlaps, we will incorporate the findings in the design of future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for handling overlaps between BPCI PGP episodes and episodes initiated in hospitals participating in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Beneficiary Overlap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Beneficiary Overlap With BPCI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stated in the proposed rule, we also need to account for instances where a different model's episode could initiate during an ongoing EPM episode. We proposed that any BPCI Model 2, 3 or 4 episode, regardless of its anchor DRG exclusion status from an EPM episode definition, takes precedence over an AMI, CABG or SHFFT episode such that it would cancel or prevent the initiation of an AMI, CABG or SHFFT episode. For example--</w:t>
      </w:r>
    </w:p>
    <w:p>
      <w:pPr>
        <w:keepNext w:val="0"/>
        <w:numPr>
          <w:numId w:val="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beneficiary is in an ongoing AMI model episode and is treated for SHFFT by a hospital, PGP physician, or post-acute care provider participating in a BPCI SHFFT episode, the initial AMI model episode will be canceled. The second entity will initiate a new episode under BPCI subject to the payment rules under that model, and</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beneficiary is in an ongoing BPCI AMI episode and is readmitted for SHFFT to an EPM participant in the SHFFT model, the BPCI episode would continue and the SHFFT model episode would not initiate.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Participants in BPCI have an expectation that eligible episodes will be part of the BPCI model test, whereas, based on our proposal, EPM participants would be aware that episodes may be canceled when there is overlap with BPCI episodes. As stated in the proposed rule, we aim to preserve the integrity of ongoing model tests without introducing major modifications that could make evaluation of existing models more challenging. Given the current scheduled end date for BPCI, we proposed to give precedence to episodes covered under BPCI Models 2, 3 and 4 initiated on or before September 30, 2018.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acknowledged that this proposed BPCI-EPM overlap policy differs from the CJR beneficiary overlap policy, where a beneficiary may be in a CJR LEJR episode and a non-LEJR BPCI episode concurrently. However, in CJR this overlap is rare. Within the 90-day post-hospital discharge period, included readmissions occur for less than 1 percent of LEJR beneficiaries. In contrast, included readmissions occur for approximately 25 percent of AMI and CABG beneficiaries. The high incidence of included readmissions for AMI, CABG, and SHFFT episodes necessitates a different policy to avoid double-paying savings and double-counting losses, as well as not initiating new episodes when the readmission is a complication of care during the first episode that could have been managed.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stated in the proposed rule, we considered alternative options for dealing with situations in which a beneficiary in an EPM episode could also be in a BPCI episode, including allowing the first episode initiated to take precedence regardless of the model under which it occurred. This would encourage more accountable care, particularly with AMI, CABG, and SHFFT episodes that are more likely to involve readmissions for complications than generally occur with LEJR. However, preventing BPCI episodes from being initiated, particularly those initiated by post-acute care providers which, by definition, occur after an anchor hospitalization, could substantially reduce the number of such episodes and our ability to fully test BPCI. Moreover, operational challenges due to different timelines for payment reconciliation are of concern.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established the proposal for beneficiary overlap with BPCI at § 512.230(h). We sought comment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As with the previously described overlap situations, we received numerous comments in support of giving precedence to the BPCI initiated episode. However, many commenters did express concern over how EPM participant hospitals would be able to know whether a presenting patient is already covered by a BPCI episode or if an EPM episode is subsequently cancelled. Several commenters stated that it was unrealistic to expect hospitals or other providers to identify such patients in "real-time" and requested CMS clarify its administrative policies for identifying and informing EPM participants about beneficiaries whose episodes are initiated and then cancelled for any reason. A commenter requested at least quarterly notification. The commenters pointed out that EPM participant awareness of episode cancellation is important for several </w:t>
      </w:r>
      <w:r>
        <w:rPr>
          <w:rFonts w:ascii="arial" w:eastAsia="arial" w:hAnsi="arial" w:cs="arial"/>
          <w:b/>
          <w:i w:val="0"/>
          <w:strike w:val="0"/>
          <w:noProof w:val="0"/>
          <w:color w:val="000000"/>
          <w:position w:val="0"/>
          <w:sz w:val="20"/>
          <w:u w:val="none"/>
          <w:vertAlign w:val="baseline"/>
        </w:rPr>
        <w:t> [*333] </w:t>
      </w:r>
      <w:r>
        <w:rPr>
          <w:rFonts w:ascii="arial" w:eastAsia="arial" w:hAnsi="arial" w:cs="arial"/>
          <w:b w:val="0"/>
          <w:i w:val="0"/>
          <w:strike w:val="0"/>
          <w:noProof w:val="0"/>
          <w:color w:val="000000"/>
          <w:position w:val="0"/>
          <w:sz w:val="20"/>
          <w:u w:val="none"/>
          <w:vertAlign w:val="baseline"/>
        </w:rPr>
        <w:t xml:space="preserve"> reasons, including EPM participant calculation and monitoring of episode spending; beneficiary notification; provision of beneficiary engagement incentives; and determination of beneficiary eligibility for certain rule waivers. In addition, these commenters expressed concern about the potential for beneficiary confusion and dissatisfaction with multiple coordinators of care, as well as costly duplication of services when multiple entities believe they are accountable for the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the potential for confusion for providers participating in markets where there are BPCI participants or in situations where patients may travel out of area to receive services that result in cancelling EPM episodes. We also appreciate the interest of the commenters in conducting timely analyses of EPM episode spending, as well as ensuring that the requirements of the EPM are met in their treatment of Medicare beneficiaries. The potential for this to occur makes it important for EPM participants to become familiar with the range of models operating in their market and to maintain ongoing relationships with their patients after discharge, as well as to develop collaboration arrangements with physicians. Even with this, we acknowledge that EPM participants and their staff may not know when all overlaps occur. Given our plans for providing and updating episode claims data to EPM participants upon request as frequently as quarterly as discussed in section III.K.5. of this final rule, we will explore adding additional data elements to the beneficiary-identifiable claims data provided to EPM participants that would indicate potential for episode cancellation such as admission of a beneficiary to a hospital or post-acute care facility that initiates episodes under BPCI or receipt of inpatient services by a physician in a BPCI PGP. To the extent adding such indicators to the claims data is feasible, providing this information through the claims data shared with EPM participants would ensure that EPM participants are informed as frequently as quarterly about beneficiary circumstances that could result in EPM episode cancellation. This information would not be real-time, however, and while based on the best available information at the time, it would be subject to change due to the lag-time for the relevant claim to be submitted and processed and then reported back to the EPM participant. We note that at reconciliation, complete information would be provided to EPM participants about those episodes that were ultimately included in the participant's reconciliation report as discussed in section III.D.5.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we expect EPM participants to be actively managing all of their beneficiaries with conditions characterized by AMI, CABG, or SHFFT based on their care pathways, regardless of the model of program that may ultimately apply to the beneficiary under the uncommon circumstances of EPM episode cancellation. We also want to emphasize the importance of strong, ongoing communication among providers in a given geographic area caring for beneficiaries in similar models or programs where provider interests in delivering high quality, efficient health care should align.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for handling situations in which a beneficiary eligible for coverage under an EPM is already covered by a BPCI episode or subsequently becomes eligible for coverage under a BPCI episode during the EPM episode period. Recognizing the limitation on available data, CMS will work to provide better, more timely informational resources to participants, where feasible, to assist them in identifying episodes that may be ineligible or cancelled due to overlaps.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Beneficiary Overlap With the CJR Model and Other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III.C.4. of the proposed rule, if a beneficiary is in a SHFFT, AMI or CABG model or CJR episode and has a hospital readmission that is not excluded from the ongoing episode definition and would otherwise initiate an episode in a different EPM or the CJR model, that hospital readmission will not initiate another episode or cancel the ongoing episode. If a beneficiary is in a SHFFT, AMI or CABG model episode or CJR episode and has a hospital readmission that is excluded from the ongoing episode definition and could initiate an episode in a different EPM or the CJR model, the subsequent EPM or CJR episode will initiate, the ongoing episode would continue, and both episodes will occur concurrently. For example--</w:t>
      </w:r>
    </w:p>
    <w:p>
      <w:pPr>
        <w:keepNext w:val="0"/>
        <w:numPr>
          <w:numId w:val="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CJR model episode definition does not exclude the MS-DRGs that would initiate a SHFFT model episode. If a beneficiary is in the CJR model and receives SHFFT at an EPM participant in the SHFFT model during the ongoing CJR episode, the CJR episode will continue and the SHFFT model episode will not initiate;</w:t>
      </w:r>
    </w:p>
    <w:p>
      <w:pPr>
        <w:keepNext w:val="0"/>
        <w:numPr>
          <w:numId w:val="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SHFFT model episode definition does not exclude the MS-DRGs that would initiate a CJR LEJR episode. If a beneficiary is in the SHFFT model and receives an LEJR at a CJR hospital during the ongoing SHFFT episode, the SHFFT episode will continue and the CJR episode will not initiate;</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SHFFT model episode definition does not exclude the MS-DRGs that would initiate an AMI model episode. If a beneficiary is in the SHFFT model and is readmitted for an AMI to an EPM participant in the AMI model during the ongoing SHFFT model episode, the SHFFT model episode will continue and the AMI model episode will not initiate;</w:t>
      </w:r>
    </w:p>
    <w:p>
      <w:pPr>
        <w:keepNext w:val="0"/>
        <w:numPr>
          <w:numId w:val="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AMI model episode definition does not exclude the MS-DRGs that would initiate a CABG model episode. If a beneficiary is in the AMI model and is readmitted for a CABG to the same or another EPM participant in the CABG model during the ongoing AMI model episode, the AMI model episode will continue and the CABG model episode will not initiate.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the proposed rule, we believe that an overlap policy that gives precedence to the ongoing episode over subsequent episodes initiated during the post-hospital discharge period, except where the second admission is explicitly excluded, aligns with our stated goal of encouraging more accountable care. Moreover, this policy would establish an operationally straightforward policy for future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established the proposal for beneficiary overlap with the CJR model and other EPMs at § 512.230(i). We sought comment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comments related to our proposed overlap policy that gave precedence to the ongoing episode when there was the potential for overlap between CJR and EPM episodes that were not otherwise excluded from the first episode's definition.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Given that we received no public comments on the proposed policy for beneficiary overlap with the CJR model and the EPMs, we are finalizing the proposal, without modification, to give precedence to an ongoing EPM episode over subsequent episodes initiated during the post-hospital discharge period, except where the second admission is explicitly excluded from the initial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Beneficiary Overlap With Shared Savings Models and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explained in the proposed rule our expectation that many beneficiaries in an AMI, CABG or SHFFT model episode will also be assigned to a </w:t>
      </w:r>
      <w:r>
        <w:rPr>
          <w:rFonts w:ascii="arial" w:eastAsia="arial" w:hAnsi="arial" w:cs="arial"/>
          <w:b/>
          <w:i w:val="0"/>
          <w:strike w:val="0"/>
          <w:noProof w:val="0"/>
          <w:color w:val="000000"/>
          <w:position w:val="0"/>
          <w:sz w:val="20"/>
          <w:u w:val="none"/>
          <w:vertAlign w:val="baseline"/>
        </w:rPr>
        <w:t> [*334] </w:t>
      </w:r>
      <w:r>
        <w:rPr>
          <w:rFonts w:ascii="arial" w:eastAsia="arial" w:hAnsi="arial" w:cs="arial"/>
          <w:b w:val="0"/>
          <w:i w:val="0"/>
          <w:strike w:val="0"/>
          <w:noProof w:val="0"/>
          <w:color w:val="000000"/>
          <w:position w:val="0"/>
          <w:sz w:val="20"/>
          <w:u w:val="none"/>
          <w:vertAlign w:val="baseline"/>
        </w:rPr>
        <w:t xml:space="preserve"> Shared Savings Program ACO or a participant in an ACO model initiated by the CMS Innovation Center. For the purposes of this discussion, the term ACO will be used generically to refer to either Shared Savings Program or Innovation Center ACO models. Shared savings payments to ACOs and shared savings losses repaid by ACOs to CMS have the potential to overlap with EPM reconciliation payments. As with CJR, we proposed to attribute savings achieved during an EPM episode to the EPM participant, and to include EPM reconciliation payments for ACO-aligned beneficiaries as ACO expenditures. In order to address comments received during rulemaking for CJR, we proposed to test an alternative strategy to address ACO overlap. Specifically, we proposed to exclude beneficiaries from EPMs who are aligned to ACOs in the Next Generation ACO model and End Stage Renal Disease (ESRD) Seamless Care Organizations (ESCOs) in the Comprehensive ESRD Care model in tracks with downside risk for financial losses. We did not propose to exclude beneficiaries assigned to Shared Savings Program ACOs in Tracks 1, 2, or 3. However, we sought comment on excluding beneficiaries from EPMs that are prospectively assigned to Shared Savings Program Track 3 ACOs as well as to other financial risk tracks. The Shared Savings Program is a national program. We do not believe that testing a new approach to addressing overlap, which could potentially disrupt ACO investments, operations, and care redesign activities, would be appropriate for all Shared Savings Program ACOs at this time prior to a test with a smaller population. As we stated in the proposed rule, we plan to monitor and learn from the test of excluding beneficiaries prospectively assigned to an ACO from risk tracks and to consider these results and comments in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strong considerations drive us to otherwise follow CJR precedent for addressing ACO overlap. As we stated in the proposed rule, CMS continues to avoid double payment of savings and double recoupment of losses, which is an important principle of successful payment reform. Further, in implementing the EPMs, there would be no additional operational effort due to consistency in ACO overlap policies across models. In this respect, we anticipate little to no difficulty in replicating prior policy as new episode payment models are introduced. Third, this would have no negative financial impact on EPM participants, an important consideration for future EPMs. The payment reconciliation for EPM participants is described in section III.D.5.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proposed to follow the policy set forth in the CJR Final Rule for accounting for overlap between EPMs and the Shared Savings Program and ACO models other than the Next Generation ACO and CEC models listed previously.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for programmatic consistency among ACO models and programs, given that our ACO models generally are tested for the purpose of informing future potential changes to the Shared Savings Program, we believe that the ACO model overlap adjustment policy should be aligned with the Shared Savings Program policy. Thus, we proposed that under EPMs, we would make an adjustment to the reconciliation amount to account for any of the applicable discount for an episode resulting in Medicare savings that is paid back through shared savings under the Shared Savings Program or any other ACO model, but only when an EPM hospital also participates in the ACO and the beneficiary in the EPM episode is also assigned to that ACO. This adjustment would be necessary to ensure that the applicable discount under the EPM is not reduced because a portion of that discount is paid out in shared savings to the ACO and thus, indirectly, back to the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proposed not to make an adjustment under EPMs when a beneficiary receives an AMI, SHFFT, or CABG at a hospital participating in the corresponding EPM and is assigned to an ACO in which the hospital is not participating. While this proposal would leave overlap unaccounted for in such situations, we do not believe it would be appropriate to hold responsible for repayment the hospital that managed the beneficiary during the episode through an EPM adjustment, given that the participant may have engaged in care redesign and reduced spending during the EPM episode. The participant may be unaware that the beneficiary is also assigned to an ACO. However, we recognize that as proposed this policy would allow an unrelated ACO full credit for the Medicare savings achieved during the episode. The evaluation of each of the EPMs, as discussed in section IV of the proposed rule, would examine overlap in such situations and the potential effect on Medicare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our proposed policy as outlined in the proposed rule would entail CMS reclaiming from the EPM participant any discount percentage paid out as shared savings for the Shared Savings Program or ACO models only when the hospital is an ACO participant and the beneficiary is assigned to that ACO, while other total cost of care models such as the Comprehensive Primary Care Plus initiative (CPC+) would adjust for the discount percentage in their calculations. We believe that other ACO models in testing that share operating principles with the Shared Savings Program should follow the same policies as the EPM Shared Savings Program adjustment for certain overlapping ACO beneficiaries. As the landscape of CMS models and programs changes, we may revisit this policy through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there are circumstances when an alternative option may be appropriate to consider. Therefore, we are also considering an EPM-ACO overlap policy that would exclude from EPMs beneficiaries who are assigned to ACOs in the Next Generation ACO model and ESCOs in the Comprehensive ESRD Care model in tracks with downside risk for financial losses. Some ACOs have successfully managed acute care and post-acute care expenditures below regional or national mean costs, and expressed that the current CJR and BPCI ACO overlap policies deprives them of a key source of savings. We are aware of situations in certain markets that seem to reduce opportunities for ACOs to achieve savings given historic experience that indicates these particular ACOs are able to manage the care within episodes as successfully as EPM participants. Attributing savings to participants in episode payment models, such as CJR participants and EPM participants under the proposed rule, creates a problem where the ACO is accountable for coordinating a beneficiary's care over a performance year but is not able to benefit from savings achieved from episodes completed during the performance year. Data shows that post-acute care spending is among the most significant sources of savings for ACOs currently, and where they focus significant investments. n86 n87 As we discussed in the proposed rule certain considerations </w:t>
      </w:r>
      <w:r>
        <w:rPr>
          <w:rFonts w:ascii="arial" w:eastAsia="arial" w:hAnsi="arial" w:cs="arial"/>
          <w:b/>
          <w:i w:val="0"/>
          <w:strike w:val="0"/>
          <w:noProof w:val="0"/>
          <w:color w:val="000000"/>
          <w:position w:val="0"/>
          <w:sz w:val="20"/>
          <w:u w:val="none"/>
          <w:vertAlign w:val="baseline"/>
        </w:rPr>
        <w:t> [*335] </w:t>
      </w:r>
      <w:r>
        <w:rPr>
          <w:rFonts w:ascii="arial" w:eastAsia="arial" w:hAnsi="arial" w:cs="arial"/>
          <w:b w:val="0"/>
          <w:i w:val="0"/>
          <w:strike w:val="0"/>
          <w:noProof w:val="0"/>
          <w:color w:val="000000"/>
          <w:position w:val="0"/>
          <w:sz w:val="20"/>
          <w:u w:val="none"/>
          <w:vertAlign w:val="baseline"/>
        </w:rPr>
        <w:t xml:space="preserve"> weigh against exclusion of all ACO-assigned beneficiaries from participation in EPM episodes. Such a blanket exclusion would remove a large proportion of Medicare FFS beneficiaries from the EPMs, many of whom would inevitably receive care at EPM participants. This would dilute the power of the EPM test and generalizability of EPM findings. Additionally, differences between ACO beneficiary assignment algorithms do not support a blanket exclusion. It is more operationally feasible to identify and exclude beneficiaries who are prospectively assigned to ACOs. In retrospective assignment models, beneficiaries may be assigned to an ACO at the end of the performance year, before the performance year, or preliminarily assigned to one ACO before the performance year and subsequently assigned to a different ACO after all qualifying services are considered. In retrospective assignment, there will be significant numbers of beneficiaries assigned at final reconciliation to a given ACO who were not identified as preliminarily assigned to that ACO prior to the performance year. That is, they were identified either as unassigned to any ACO or assigned to a different ACO. In prospective assignment models and tracks, the list of assigned beneficiaries is available prior to the start of the performance year and a beneficiary's assignment does not change on the basis of his or her utilization in the performance year (subject to various exclusions made on a quarterly basis, such as a beneficiary's election into a Medicare Advantage plan).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 McWilliams, J. Michael, Laura A. Hatfield, Michael E. Chernew, Bruce E. Landon, and Aaron L. Schwartz. "Early Performance of Accountable Care Organizations in Medicare--NEJM." N Engl J Med. Massachusetts Medical Society, 13 Apr. 2016. Web. 02 May 2016. </w:t>
      </w:r>
      <w:hyperlink r:id="rId62" w:history="1">
        <w:r>
          <w:rPr>
            <w:rFonts w:ascii="arial" w:eastAsia="arial" w:hAnsi="arial" w:cs="arial"/>
            <w:b w:val="0"/>
            <w:i/>
            <w:strike w:val="0"/>
            <w:noProof w:val="0"/>
            <w:color w:val="0077CC"/>
            <w:position w:val="0"/>
            <w:sz w:val="20"/>
            <w:u w:val="single"/>
            <w:vertAlign w:val="baseline"/>
          </w:rPr>
          <w:t>http://www.ncbi.nlm.nih.gov/pubmed/27075832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 McWilliams, J. Michael, Michael E. Chernew, Bruce E. Landon, and Aaron L. Schwartz. "Performance Differences in Year 1 of Pioneer Accountable Care Organizations." N Engl J Med. (2015); 372(20): 1927-936. Massachusetts Medical Society, 15 Apr. 2015. Web. 02 May 2016. </w:t>
      </w:r>
      <w:hyperlink r:id="rId63" w:history="1">
        <w:r>
          <w:rPr>
            <w:rFonts w:ascii="arial" w:eastAsia="arial" w:hAnsi="arial" w:cs="arial"/>
            <w:b w:val="0"/>
            <w:i/>
            <w:strike w:val="0"/>
            <w:noProof w:val="0"/>
            <w:color w:val="0077CC"/>
            <w:position w:val="0"/>
            <w:sz w:val="20"/>
            <w:u w:val="single"/>
            <w:vertAlign w:val="baseline"/>
          </w:rPr>
          <w:t>http://www.ncbi.nlm.nih.gov/pubmed/25875195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ACOs in two-sided risk arrangements share in both savings and losses, they have stronger incentives than those in one-sided risk arrangements that share only in savings to reduce total cost of care. Given the possibility of paying CMS shared losses, we believe that ACOs in two-sided risk arrangements may be best positioned to assume the risk associated with EPM episodes, while ACOs in one-sided risk arrangements may be less well-positioned to do so. ACOs in one-sided risk arrangements, such as those in the Shared Savings Program Track 1, do not bear the risk of owing losses to CMS. In contrast, ACOs in two-sided risk arrangements, such as the Next Generation ACO model, are held to as much as 80 percent to 100 percent of first dollar losses. Thus, we explained our belief that pursuing a blanket exclusion from EPMs of assigned beneficiaries from all ACOs would inappropriately disadvantage EPM participants that carry significant financial risk under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ACO overlap policy would grant ACOs in models and tracks with the highest levels of downside risk for financial losses--the Next Generation ACO model and tracks of the Comprehensive ESRD Care model with downside risk for financial losses--paramount financial opportunity in exchange for accepting total cost of care responsibility for their beneficiaries. EPM participants may still realize opportunities to save by partnering with ACOs, but outside of the EPM arrangement. Specifically, we refer to section III.I. of the proposed rule which describes opportunities for gainsharing allowed under these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stated in the proposed rule, this policy tests the effects of such an ACO-assigned beneficiary exclusion policy within a broader test of the effectiveness of EPMs. We can learn its impact on EPM participants and ACOs that have beneficiaries excluded from EPMs, as well as ACOs that do not have beneficiaries excluded from EPMs. This will improve our understanding about the appropriate entity to hold accountable for the costs within the episode. For this reason we recommended this test be limited to the AMI, CABG, and SHFFT, and CJR models, and ACO models being conducted under CMS' Innovation Center, and did not propose to implement the policy more broadly to other ACOs, such as those in the Shared Savings Program. In proposing the exclusion of beneficiaries in only a limited number of ACO initiatives we attempted to balance the desire to build a new payment reform initiative while mitigating the potential challenges to existing shared savings models and programs. We sought comment on this proposal as well as input on extending the proposal to CJR and other ACOs accepting two-sided risk, such as those ACOs in the Shared Savings Program Track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investigated CMS data related to the services under consideration in the AMI, CABG and SHFFT models. A small fraction of total beneficiaries assigned to ACOs qualifying for this exclusion in fact have relevant anchor hospitalizations that would initiate an EPM in a given calendar year. For instance, from 2013 through 2015, about 2.4 percent of beneficiaries aligned to Pioneer ACO model participants had an anchor hospitalization that would have initiated an AMI, CABG or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several additional options to account for EPM-ACO beneficiary overlap prior to proposing the strategy outlined previously. We considered whether to split the risk, including at an equal sharing rate, at the time of financial reconciliation between EPM participants and ACOs when episodes included overlapping beneficiaries. This has the advantage of mitigating the supposed "carve out" of ACO expenditures, but requires CMS to arbitrarily declare a level of risk sharing. We are also concerned about the operational feasibility of such calculations, given that reconciliation would have to occur in tandem, resulting in long delays in payments or recoupments for both EPM participants and ACOs. We also considered whether to attribute to ACOs the more favorable of either the episode-specific target price or the actual expenditures incurred by the beneficiary during the episode time period. However, this policy would result in significant losses to the Medicare Trust Fund, as the double payment of savings/losses would be a certainty.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established the proposal to exclude from the EPMs beneficiaries who are assigned to an ACO in the Next Generation ACO Model or Comprehensive ESRD Care Initiative at § 512.230(f). We established the proposal to attribute savings achieved during an EPM episode to the EPM participant, and include EPM reconciliation payments for other ACO-assigned beneficiaries as ACO expenditures at § 512.305 and § 512.307. We sought comment on our proposals to account for beneficiary overlap with shared savings models and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numerous comments in response to our proposed policies for handling overlap between ACOs and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expressed concern that ACOs should not be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with bundled payment models and that CMS needs a sustainable overlap policy that would allow both models to thrive. Related to this, many commenters expressed concern over the difficulty of understanding the different model policies, and the need for a rigorous analysis of how different programs interact and impact participating providers as well as patients. A few commenters believed more information on the effect of overlapping value based models was necessary before moving forward with additional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wrote to support the current overlap policy and recommended that EPM participants be allowed to execute arrangements to </w:t>
      </w:r>
      <w:r>
        <w:rPr>
          <w:rFonts w:ascii="arial" w:eastAsia="arial" w:hAnsi="arial" w:cs="arial"/>
          <w:b/>
          <w:i w:val="0"/>
          <w:strike w:val="0"/>
          <w:noProof w:val="0"/>
          <w:color w:val="000000"/>
          <w:position w:val="0"/>
          <w:sz w:val="20"/>
          <w:u w:val="none"/>
          <w:vertAlign w:val="baseline"/>
        </w:rPr>
        <w:t> [*336] </w:t>
      </w:r>
      <w:r>
        <w:rPr>
          <w:rFonts w:ascii="arial" w:eastAsia="arial" w:hAnsi="arial" w:cs="arial"/>
          <w:b w:val="0"/>
          <w:i w:val="0"/>
          <w:strike w:val="0"/>
          <w:noProof w:val="0"/>
          <w:color w:val="000000"/>
          <w:position w:val="0"/>
          <w:sz w:val="20"/>
          <w:u w:val="none"/>
          <w:vertAlign w:val="baseline"/>
        </w:rPr>
        <w:t xml:space="preserve"> share or shift risk to an ACO but recommended against automatically excluding certain categories of beneficiaries assigned to ACOs. Only if the ACO and EPM fail to come to agreement on a distribution arrangement should the proposed rule be implemented. Another commenter wrote that giving priority to ACOs over EPMs could subordinate "provider led" models and sought further clarification on how this policy might function with future physician led EPMs. A commenter suggested that in the absence of an agreement, ACOs should be allowed to accept EPM assignment for ACO beneficiaries where an ACO participant served as the "attending physician" during the anchor stay. Under this policy a beneficiary would only be excluded from an EPM if they are actively being managed by an attending physician associated with the ACO and the provider managed episode would take precedence over the EPM participant which was an institutional provider.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a significant number of commenters wrote to support the proposed exclusion of beneficiaries assigned to ACOs in either the Next Generation ACO or Comprehensive ESRD Care models. A substantial number of these commenters supported extending the exclusion to beneficiaries assigned to Shared Savings Program Track 3 ACOs. A number of these commenters recommended extending the exclusion even further to include more ACO related exclusions from EPMs and expressed concern that the current approach undermines ACOs. These commenters believed it was important to give preference to population based models versus those focused on more limited episodes. While bundling may give short term savings, it was noted, they do not focus on the total cost of care and have the potential to increase total utilization. In support of this perspective, several commenters recommended the exclusion be extended to include beneficiaries assigned to any ACO unless a collaboration agreement is in place. If there is no collaborative agreement in place between an EPM participant hospital and an ACO that it is not part of, then beneficiaries assigned to that ACO should be excluded from the EPM episodes. A commenter suggested that CMS should allow for "more flexible, market-based options where parties can mutually agree" to share the risk of an episode rather than the proposed exclusion. A commenter recommended that CMS allow for prospective alignment for all types of ACOs regardless of the risk sharing arrangement with CMS. The commenter disagreed with our statement that ACOs that didn't share downside risk might be less able to manage risk and expressed the view that EPMs had an even lower risk threshold. Extending the option for prospective alignment to all ACOs with downside risk, they noted, could incentivize ACOs to assume more financial risk. Another suggested excluding beneficiaries based on preliminary prospective assignment with retrospective reconciliation if the EPM participant is not a member of the ACO or does not have a collaboration agreement with the ACO. Other commenters suggested that ACO participant hospitals be totally excluded from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the range of perspectives expressed by commenters and appreciate the many specific suggestions for handling these overlaps. We also acknowledge the operational challenge both ACOs and EPMs face and the financial impacts on both when there are overlaps. We believe the level and range of responses reflect the challenge in balancing multiple perspectives as was reflected in the discussion in the proposed rule. The predominance of commenters supported our proposal to exclude from EPMs those beneficiaries assigned to Next Generation ACOs and the downside risk track of Comprehensive ESRD Care models, and a significant number of commenters also supported extending this exclusion to Shared Savings Program Track 3 ACOs which also have beneficiaries prospectively assigned and share downside risk. We believe it is appropriate to test the impact of granting full-risk ACO models the opportunity to "hold the risk" associated with the care throughout the performance year, rather than defaulting to the EPM participant; ACOs have stated that they are the appropriate accountable entity for beneficiaries for whom they remain financially responsible, even in the event an assigned beneficiary experiences an episode at an EPM hospital. CMS believes there is significant value in testing an alternative approach which would also not significantly deplete the total number of EPMS. We are less convinced that all beneficiaries assigned to ACOs, regardless of model or track, should be excluded from EPMs and, among other issues, believe that would significantly deplete the volume of EPM episodes. We also remain concerned that excluding all ACO beneficiaries could ultimately exclude patients from EPMs that end up not being assigned to any model. We recognize the broader, more comprehensive perspective of ACOs and encourage the development of collaborative partnership agreements with EPMs. We do not, however, believe it is appropriate for CMS to mandate such agreements or the detailed terms of such agreements, or believe it is practical to tie exclusions to the presence of hospital and ACO specific agreements that may be in place for specific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 we are convinced that there is merit in extending our proposed beneficiary exclusion from EPMs to include those beneficiaries assigned to Shared Savings Program Track 3 ACOs. We also note that CMS has recently announced that it will re-open applications for new participants in the Next Generation Accountable Care Organization (ACO) model for the 2018 performance year. Therefore we are finalizing our proposal with one modification: The exclusion of ACO beneficiaries assigned to Shared Savings Program Track 3 ACOs from the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stated that, while bundled payments may provide savings to Medicare in the short term, the EPMs do not sufficiently address volume or total cost of care. Commenters suggested that because ACOs focus on total cost of care and population health, while episode and bundled payments focus on specific disease states, issues such as the utilization or volume of services and selection or type of services such as preventative services could be better managed by ACOs. These commenters believed that the EPMs actually threaten the long term success of ACOs and that further, the EPMs could potentially increase overall Medicare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these commenters' concerns. The goals of the EPMs are to test methods to improve the quality of care furnished to beneficiaries and reduce spending during episodes in specific geographic areas. While we understand that overlaps between ACOs and EPMs exist, we believe the policies for handling overlap, which we are finalizing with slight modification in this final rule (that is Shared Savings Program Track 3 ACOs will be excluded from the EPMs), adequately and appropriately address and account for overlap with other Innovation Center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commenters' assertions that ACOs can better manage patient care and/or lower costs of health care, we believe we must also continue to assess the extent to which ACOs contribute to lowering costs and improving care, as research around this </w:t>
      </w:r>
      <w:r>
        <w:rPr>
          <w:rFonts w:ascii="arial" w:eastAsia="arial" w:hAnsi="arial" w:cs="arial"/>
          <w:b/>
          <w:i w:val="0"/>
          <w:strike w:val="0"/>
          <w:noProof w:val="0"/>
          <w:color w:val="000000"/>
          <w:position w:val="0"/>
          <w:sz w:val="20"/>
          <w:u w:val="none"/>
          <w:vertAlign w:val="baseline"/>
        </w:rPr>
        <w:t> [*337] </w:t>
      </w:r>
      <w:r>
        <w:rPr>
          <w:rFonts w:ascii="arial" w:eastAsia="arial" w:hAnsi="arial" w:cs="arial"/>
          <w:b w:val="0"/>
          <w:i w:val="0"/>
          <w:strike w:val="0"/>
          <w:noProof w:val="0"/>
          <w:color w:val="000000"/>
          <w:position w:val="0"/>
          <w:sz w:val="20"/>
          <w:u w:val="none"/>
          <w:vertAlign w:val="baseline"/>
        </w:rPr>
        <w:t xml:space="preserve"> issue continues to evolve. n88 n89 We will continue rigorous, independent evaluations that examine each particular payment model and how overlapping models affect Medicare beneficiaries so as to determine the need to require participation in these episode models to enhance learning around the best approaches to improving quality while containing costs. We will also continue to monitor the impact of testing alternative payment approaches and consider volume effects as part of that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 Song Z., Fisher E.S. The ACO experiment in infancy--looking back and looking forward. JAMA. 2016;316(7):705-706.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n89 Schulman K.A., Richman B.D. Reassessing ACOs and health care reform. JAMA. 2016;316(7):707-708.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refer readers to section III.G. of this final rule for discussion of monitoring and beneficiary protections under this model which we believe will address the commenters' concerns about potential increases to overall Medicare spending. We also refer readers to section IV of this final rule where we discuss the evaluation of the EPMs, including consideration of the impact of the EPMs on the total number of episodes, total cost of care and potential beneficiary risk selection.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concern about the challenge of having accurate and timely information on patient attribution with multiple models. They believed it was unrealistic to expect hospital staff and others to be able to accurately identify patients in excluded ACO models and questioned how EPM participants and their partners would be able verify a patient's status. This was a particular concern with patients who may travel out of their home area to receive care, either to referral centers or due to living out of the area for part of the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operational challenges that EPM participants and their collaborating partners face in an environment where there are many, potentially overlapping, models in place. CMS is doing what we can to reduce operational barriers where we can practically and effectively do so. To this end we are in the process of developing a web portal where EPM participants can, at the point of care, look up and identify beneficiaries prospectively assigned to ACOs who will be excluded from EPMs. This system is currently in testing, and is expected to be operational when EPMs are implemented in July 2017. CMS will provide more specific information as it is rolled out.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stated that they are concerned with our inability to fully model the estimated impact of the EPMs on beneficiaries who are also aligned or attributed to a Medicare Shared Savings Program participant or an ACO model initiated by the CMS Innovation Center. The commenter stated that CMS should delay implementation of EPMs until this issue can be evaluated. Further, they believe CMS should release the data necessary to study this issue.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understand the commenter's desire to understand the full effect of EPMs in relation to other CMS initiatives. As discussed in the proposed rule </w:t>
      </w:r>
      <w:hyperlink r:id="rId9" w:history="1">
        <w:r>
          <w:rPr>
            <w:rFonts w:ascii="arial" w:eastAsia="arial" w:hAnsi="arial" w:cs="arial"/>
            <w:b w:val="0"/>
            <w:i/>
            <w:strike w:val="0"/>
            <w:noProof w:val="0"/>
            <w:color w:val="0077CC"/>
            <w:position w:val="0"/>
            <w:sz w:val="20"/>
            <w:u w:val="single"/>
            <w:vertAlign w:val="baseline"/>
          </w:rPr>
          <w:t>(81 FR 50989</w:t>
        </w:r>
      </w:hyperlink>
      <w:r>
        <w:rPr>
          <w:rFonts w:ascii="arial" w:eastAsia="arial" w:hAnsi="arial" w:cs="arial"/>
          <w:b w:val="0"/>
          <w:i w:val="0"/>
          <w:strike w:val="0"/>
          <w:noProof w:val="0"/>
          <w:color w:val="000000"/>
          <w:position w:val="0"/>
          <w:sz w:val="20"/>
          <w:u w:val="none"/>
          <w:vertAlign w:val="baseline"/>
        </w:rPr>
        <w:t xml:space="preserve"> through 51002), the high uncertainty associated with concurrent EPM and ACO and/or Shared Savings Program attribution is a limitation in our modeling of the impacts of the interaction between these models and programs. We do not believe that delaying EPMs would enable prospective modeling of the potential interaction. We refer readers to section III.D.6.c. of this final rule for a discussion of our approach to accounting for beneficiaries who are simultaneously receiving care under the EPMs and other alternative payment models such as BPCI or CJR. We refer readers to section III.G. for a discussion of the Monitoring and Beneficiary Protections which will be implemented in the EPMs. We will monitor the impact of the EPMs on other CMS initiatives such as ACOs to ensure quality of care in these programs is not being adversely impacted by the EPMs. As discussed in section III.G. of this final rule, we plan to publish data as part of the EPM evaluations to promote transparency and an understanding of the EPM effects, including impacts on other models and programs such as ACOs.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 modification, to exclude from eligibility for EPMs not only beneficiaries assigned to Next Generation ACOs and Comprehensive ESRD Care Initiative models but also beneficiaries prospectively assigned to Shared Savings Program Track 3 ACOs. However, for the reasons previously specified in this section, we do not believe it is appropriate to change the proposed policy, as implemented in the CJR model, for handling overlaps between EPMs and other ACOs (ACOs whose beneficiaries are not excluded from the EPMs) to attribute savings achieved during an EPM episode to the EPM participant, and to include EPM reconciliation payments for ACO-assigned beneficiaries as ACO expenditures. We also note that we will implement an on-line system for verification of attribution to support EPM participants in their ability to identify such exclusions.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Payment Reconciliation of Overlap With Non-ACO CMS Models and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Per-Beneficiary Per-Month (PBPM) payments are for new or enhanced provider or supplier services that share the goal of improving quality of care overall and reducing Medicare expenditures for services that could be avoided through improved care coordination. Some of these PBPM payments may be made for services furnished to a beneficiary that is in another Innovation Center model at the same time that the beneficiary is in an EPM, but the clinical relationship between the services paid for by the PBPM payments and the EPM will vary. For purposes of the proposed rule, we considered clinically related services paid for by PBPM payments that are for the purpose of care coordination and care management of any beneficiary diagnosis or hospital admission not excluded from an EPM's episode definition, as discussed in section III.C. of the proposed rule. As with CJR, we proposed to include PBPM payments for new and enhanced services in EPM reconciliation calculations if we determine, on a model by model basis, that the services paid for by the PBPM payments are (1) not excluded from an EPM model's episode definition; (2) rendered during the episode; and (3) paid for from the Medicare Part A or Part B Trust Funds. That is, we would include the clinically related services paid for by a PBPM payment if the services would not otherwise be excluded based on the principal diagnosis code on the claim, as discussed in section III.C. of the proposed rule. The PBPM payments for clinically related services would not be excluded from the EPMs' historical episodes used to calculate target prices when the PBPM payments are made from the Part A or Part B Trust Fund, and they would not be excluded from calculation of actual episode expenditures during an EPM's performance period. PBPM model payments that we determine are clinically unrelated would be excluded, regardless of the funding mechanism or diagnosis codes on claims for those payments. We note that in the case of PBPM model payments, principal diagnosis codes on a Part B claim (which are used to identify exclusions from EPMs, as discussed in section III.C. of the proposed rule) would not be the only mechanism for exclusion of a </w:t>
      </w:r>
      <w:r>
        <w:rPr>
          <w:rFonts w:ascii="arial" w:eastAsia="arial" w:hAnsi="arial" w:cs="arial"/>
          <w:b/>
          <w:i w:val="0"/>
          <w:strike w:val="0"/>
          <w:noProof w:val="0"/>
          <w:color w:val="000000"/>
          <w:position w:val="0"/>
          <w:sz w:val="20"/>
          <w:u w:val="none"/>
          <w:vertAlign w:val="baseline"/>
        </w:rPr>
        <w:t> [*338] </w:t>
      </w:r>
      <w:r>
        <w:rPr>
          <w:rFonts w:ascii="arial" w:eastAsia="arial" w:hAnsi="arial" w:cs="arial"/>
          <w:b w:val="0"/>
          <w:i w:val="0"/>
          <w:strike w:val="0"/>
          <w:noProof w:val="0"/>
          <w:color w:val="000000"/>
          <w:position w:val="0"/>
          <w:sz w:val="20"/>
          <w:u w:val="none"/>
          <w:vertAlign w:val="baseline"/>
        </w:rPr>
        <w:t xml:space="preserve"> service from an EPM. All such PBPM model payments that we determine are clinically unrelated would be excluded as discussed in the proposed rule. Finally, all services paid for by PBPM payments funded through the Innovation Center's appropriation under section 1115A of the Act would be excluded from the EPMs, without a specific determination of their clinical relationship to an EPM. We believe including such PBPM payments funded under the Innovation Center's appropriation and not included on claims would be operationally burdensome and could significantly delay any reconciliation payments and repayments for the EPMs. In addition, because these services are not paid for from the Medicare Parts A or B Trust Funds, we are not confident that they would be covered by Medicare under existing law. Therefore, we believe the services paid for by these PBPM payments are most appropriately excluded from the EPMs. Our proposal for the treatment of services paid for by PBPM payments in the EPMs would pertain to all existing models with PBPM payments, as well as future models and programs that incorporate PBPM payments. As we stated in the proposed rule, we believe that this is fully consistent with our goal of including all related Part A and Part B services in the EPMs, as discussed in section III.C. of the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with CJR, we propose to exclude the PBPM payments for the OCM and Medicare Care Choices Model (MCCM) from the AMI, CABG, and SHFFT episode definitions. These PBPM payments (listed on the CMS Web page at </w:t>
      </w:r>
      <w:hyperlink r:id="rId64" w:history="1">
        <w:r>
          <w:rPr>
            <w:rFonts w:ascii="arial" w:eastAsia="arial" w:hAnsi="arial" w:cs="arial"/>
            <w:b w:val="0"/>
            <w:i/>
            <w:strike w:val="0"/>
            <w:noProof w:val="0"/>
            <w:color w:val="0077CC"/>
            <w:position w:val="0"/>
            <w:sz w:val="20"/>
            <w:u w:val="single"/>
            <w:vertAlign w:val="baseline"/>
          </w:rPr>
          <w:t>https://innovation.cms.gov/Files/x/cjr-pbpmexclusions.xlsx</w:t>
        </w:r>
      </w:hyperlink>
      <w:r>
        <w:rPr>
          <w:rFonts w:ascii="arial" w:eastAsia="arial" w:hAnsi="arial" w:cs="arial"/>
          <w:b w:val="0"/>
          <w:i w:val="0"/>
          <w:strike w:val="0"/>
          <w:noProof w:val="0"/>
          <w:color w:val="000000"/>
          <w:position w:val="0"/>
          <w:sz w:val="20"/>
          <w:u w:val="none"/>
          <w:vertAlign w:val="baseline"/>
        </w:rPr>
        <w:t>) would be excluded from EPM reconciliation calculations. While the OCM will pay for new or enhanced services through PBPM payments funded by the Medicare Part B Trust Fund, we do not believe these services are clinically related to the EPMs. The OCM incorporates episode-based payment initiated by chemotherapy treatment, a service generally reported with ICD-9-CM and ICD-10-CM codes that will be excluded from the AMI, CABG, and SHFFT episode definition in section III.C. of the proposed rule. We believe the care coordination and management services paid for by OCM PBPM payments would be focused on chemotherapy services and their complications, so the services would be clinically unrelated to AMI, CABG and SHFFT model episodes. Therefore, we proposed that services paid for by PBPM payments under the OCM be excluded from the AMI, CABG, and SHFFT models. Similarly, we proposed to exclude services paid for by PBPM payments under the MCCM. The MCCM focuses on providing care coordination and palliative care services for beneficiaries with certain conditions certified as terminally ill with a life expectancy of 6 months or less that have not elected the Medicare hospice benefit. The MCCM seeks to test whether providing palliative care services, without beneficiaries having to forgo curative care, incentivizes beneficiaries to elect hospice sooner. This is aimed at addressing the large percentage of hospice beneficiaries who elect the hospice benefit too late to fully benefit from the range of services that hospice has to offer at end of life. Since the purpose of the MCCM is to test whether providing palliative care services to beneficiaries who are otherwise eligible to elect the Medicare hospice benefit without requiring the beneficiary to forgo curative care results in beneficiaries electing the hospice benefit sooner, we will not include such payments in the AMI, CABG and SHFFT models' episode spending calculations. In addition, unlike the regular hospice benefits, which are furnished to beneficiaries in lieu of curative care and which therefore can be coordinated during an AMI, CABG or SHFFT model episode, the services furnished under the MCCM will be in addition to curative services. We note that we are including such curative services in the EPM episode, as they are consistent with our episode definition described in III.C. of the proposed rule, but not the services represented by the PBPM payment, which are provided in addition to curative services. Beneficiaries electing the hospice benefit could have lower episode spending because they have forgone curative care. However beneficiaries included in the MCCM may have higher episode spending because they are receiving both curative care and the services represented by the PBPM. We do not want to create incentives that deter providers from enrolling beneficiaries in the MCCM.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there may be new models that could incorporate a PBPM payment for new or enhanced services. We plan to make our determination about whether services paid by a new model PBPM payment that is funded under the Medicare Trust Funds are clinically related to EPM episodes through the same sub regulatory approach that we have proposed to use to update the episode definitions (excluded MS-DRGs and ICD-CM diagnosis codes). We would assess each model's PBPM payment to determine if it would be primarily used for care coordination or care management services for excluded clinical conditions in the EPMs based on the standards we proposed to use to update EPM episode definitions that are discussed in section III.C.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determine that a PBPM payment would primarily be used to pay for services to manage an excluded clinical condition, we would exclude the PBPM payment from the EPM on the basis that it pays for unrelated services. If we determine that the PBPM payment could primarily be used for services to manage an included clinical condition, we would include the PBPM payment in the EPM if the diagnosis code on the claim for the PBPM payment was not excluded from the episode, following our usual process for determining excluded claims for Part B services in accordance with the EPM episode definitions discussed in section III.C. of the proposed rule. To allow for public input on our planned application of these standards, we will post our proposed determination about whether the PBPM payment will be included in the episode on the CMS Web site. After our consideration of any public input received, we will make a final determination on the inclusion of the PBPM payment and will then post the final updated overlap list, reflecting any changes made to PBPM payment inclusions, to the CMS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publication of this final rule, we are initiating the sub-regulatory update process described in the preceding paragraphs to review potential additions to the PBPM exclusion lists for the EPMs. We did not consider the 2017 PBPM changes in the EPM proposed rule, because we limited our PBPM proposals to those models that were active when the proposed rule was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August 2, 2016. Since the proposed rule was published, other PBPM models have become active, such as the Million Hearts(R) Cardiovascular Disease (CVD) Risk Reduction Model and the Comprehensive Primary Care Plus (CPC+) model. These would be examples of PBPMs we will review for calendar year 2017 under the sub-regulatory update process we are establishing in this final rule. The potential modifications to the PBPM exclusion list for each EPM are posted on the CMS Web site at </w:t>
      </w:r>
      <w:hyperlink r:id="rId36" w:history="1">
        <w:r>
          <w:rPr>
            <w:rFonts w:ascii="arial" w:eastAsia="arial" w:hAnsi="arial" w:cs="arial"/>
            <w:b w:val="0"/>
            <w:i/>
            <w:strike w:val="0"/>
            <w:noProof w:val="0"/>
            <w:color w:val="0077CC"/>
            <w:position w:val="0"/>
            <w:sz w:val="20"/>
            <w:u w:val="single"/>
            <w:vertAlign w:val="baseline"/>
          </w:rPr>
          <w:t>https://innovation.cms.gov/initiatives/epm</w:t>
        </w:r>
      </w:hyperlink>
      <w:r>
        <w:rPr>
          <w:rFonts w:ascii="arial" w:eastAsia="arial" w:hAnsi="arial" w:cs="arial"/>
          <w:b w:val="0"/>
          <w:i w:val="0"/>
          <w:strike w:val="0"/>
          <w:noProof w:val="0"/>
          <w:color w:val="000000"/>
          <w:position w:val="0"/>
          <w:sz w:val="20"/>
          <w:u w:val="none"/>
          <w:vertAlign w:val="baseline"/>
        </w:rPr>
        <w:t xml:space="preserve">. We request that public input on the potential modifications be sent to </w:t>
      </w:r>
      <w:hyperlink r:id="rId28" w:history="1">
        <w:r>
          <w:rPr>
            <w:rFonts w:ascii="arial" w:eastAsia="arial" w:hAnsi="arial" w:cs="arial"/>
            <w:b w:val="0"/>
            <w:i/>
            <w:strike w:val="0"/>
            <w:noProof w:val="0"/>
            <w:color w:val="0077CC"/>
            <w:position w:val="0"/>
            <w:sz w:val="20"/>
            <w:u w:val="single"/>
            <w:vertAlign w:val="baseline"/>
          </w:rPr>
          <w:t>epm@cms.hhs.gov</w:t>
        </w:r>
      </w:hyperlink>
      <w:r>
        <w:rPr>
          <w:rFonts w:ascii="arial" w:eastAsia="arial" w:hAnsi="arial" w:cs="arial"/>
          <w:b w:val="0"/>
          <w:i w:val="0"/>
          <w:strike w:val="0"/>
          <w:noProof w:val="0"/>
          <w:color w:val="000000"/>
          <w:position w:val="0"/>
          <w:sz w:val="20"/>
          <w:u w:val="none"/>
          <w:vertAlign w:val="baseline"/>
        </w:rPr>
        <w:t xml:space="preserve"> through 11:59 p.m. Eastern Standard Time on January 27, 2017. </w:t>
      </w:r>
      <w:r>
        <w:rPr>
          <w:rFonts w:ascii="arial" w:eastAsia="arial" w:hAnsi="arial" w:cs="arial"/>
          <w:b/>
          <w:i w:val="0"/>
          <w:strike w:val="0"/>
          <w:noProof w:val="0"/>
          <w:color w:val="000000"/>
          <w:position w:val="0"/>
          <w:sz w:val="20"/>
          <w:u w:val="none"/>
          <w:vertAlign w:val="baseline"/>
        </w:rPr>
        <w:t> [*339] </w:t>
      </w:r>
      <w:r>
        <w:rPr>
          <w:rFonts w:ascii="arial" w:eastAsia="arial" w:hAnsi="arial" w:cs="arial"/>
          <w:b w:val="0"/>
          <w:i w:val="0"/>
          <w:strike w:val="0"/>
          <w:noProof w:val="0"/>
          <w:color w:val="000000"/>
          <w:position w:val="0"/>
          <w:sz w:val="20"/>
          <w:u w:val="none"/>
          <w:vertAlign w:val="baseline"/>
        </w:rPr>
        <w:t xml:space="preserve"> After receiving and reviewing public input on potential revised exclusions, we will post the final revised PBPM exclusion lists by February 24, 2017, and will also specify via web post when the revisions will take effect and to which episodes they will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payment reconciliation process is described in section III.D.5. of the proposed rule. As with CJR, it is important that other models and programs in which providers are accountable for the total cost of care be able to account for the full Medicare payment, including EPM-related reconciliation payments and repayments as described in section III.D.5. of the proposed rule, for beneficiaries who are also in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established the proposal for accounting for non-ACO services and payments in the EPM reconciliation process at § 512.210. We sought comment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any specific comments relating to how we have proposed to handle PBPM payments from non-ACO models in the EPM reconciliation process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include PBPM payments for new and enhanced services in EPM reconciliation calculations if we determine, on a model by model basis, that the services paid for by the PBPM payments are (1) not excluded from an EPM model's episode definition; (2) rendered during the episode; and (3) paid for from the Medicare Part A or Part B Trust Funds. We will post our list of PBPM payments which we propose to exclude from EPM episode spending calculations on the CMS Web site at </w:t>
      </w:r>
      <w:hyperlink r:id="rId36" w:history="1">
        <w:r>
          <w:rPr>
            <w:rFonts w:ascii="arial" w:eastAsia="arial" w:hAnsi="arial" w:cs="arial"/>
            <w:b w:val="0"/>
            <w:i/>
            <w:strike w:val="0"/>
            <w:noProof w:val="0"/>
            <w:color w:val="0077CC"/>
            <w:position w:val="0"/>
            <w:sz w:val="20"/>
            <w:u w:val="single"/>
            <w:vertAlign w:val="baseline"/>
          </w:rPr>
          <w:t>https://innovation.cms.gov/initiatives/epm</w:t>
        </w:r>
      </w:hyperlink>
      <w:r>
        <w:rPr>
          <w:rFonts w:ascii="arial" w:eastAsia="arial" w:hAnsi="arial" w:cs="arial"/>
          <w:b w:val="0"/>
          <w:i w:val="0"/>
          <w:strike w:val="0"/>
          <w:noProof w:val="0"/>
          <w:color w:val="000000"/>
          <w:position w:val="0"/>
          <w:sz w:val="20"/>
          <w:u w:val="none"/>
          <w:vertAlign w:val="baseline"/>
        </w:rPr>
        <w:t xml:space="preserve"> model exclusion and request that public input on the potential PBPM exclusions be sent to </w:t>
      </w:r>
      <w:hyperlink r:id="rId28" w:history="1">
        <w:r>
          <w:rPr>
            <w:rFonts w:ascii="arial" w:eastAsia="arial" w:hAnsi="arial" w:cs="arial"/>
            <w:b w:val="0"/>
            <w:i/>
            <w:strike w:val="0"/>
            <w:noProof w:val="0"/>
            <w:color w:val="0077CC"/>
            <w:position w:val="0"/>
            <w:sz w:val="20"/>
            <w:u w:val="single"/>
            <w:vertAlign w:val="baseline"/>
          </w:rPr>
          <w:t>epm@cms.hhs.gov</w:t>
        </w:r>
      </w:hyperlink>
      <w:r>
        <w:rPr>
          <w:rFonts w:ascii="arial" w:eastAsia="arial" w:hAnsi="arial" w:cs="arial"/>
          <w:b w:val="0"/>
          <w:i w:val="0"/>
          <w:strike w:val="0"/>
          <w:noProof w:val="0"/>
          <w:color w:val="000000"/>
          <w:position w:val="0"/>
          <w:sz w:val="20"/>
          <w:u w:val="none"/>
          <w:vertAlign w:val="baseline"/>
        </w:rPr>
        <w:t xml:space="preserve"> through 11:59 p.m. Eastern Standard Time on January 27th, 2017. After receiving and reviewing public input on potential PBPM exclusions, we will post the final PBPM exclusions by February 24th, 2017 including providing information about when the PBPM exclusions will take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Limits or Adjustments to EPM Participants' Financial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recognized that hospitals that would be designated for participation in the proposed EPMs currently vary with respect to their readiness to function under an EPM with regard to their organizational and systems capacity and structure, as well as their beneficiary population served. That is, some EPM participants may be more quickly able to demonstrate high quality performance and savings than others, even though we proposed that the EPM-episode benchmark prices be based predominantly on the participant's own historical EPM-episode utilization in the early years of the EPMs. We also noted that providers may be incentivized to excessively reduce or shift utilization outside of an EPM's episode by the proposed payment policies of the EPMs. In order to mitigate any excessive repayment responsibility for EPM participants or reduction or shifting of care outside an EPM episode, especially beginning in performance year 2 of the EPMs when we proposed to begin to phase in responsibility for repaying Medicare for excess EPM-episode payments, we proposed several specific policies as follows </w:t>
      </w:r>
      <w:hyperlink r:id="rId9" w:history="1">
        <w:r>
          <w:rPr>
            <w:rFonts w:ascii="arial" w:eastAsia="arial" w:hAnsi="arial" w:cs="arial"/>
            <w:b w:val="0"/>
            <w:i/>
            <w:strike w:val="0"/>
            <w:noProof w:val="0"/>
            <w:color w:val="0077CC"/>
            <w:position w:val="0"/>
            <w:sz w:val="20"/>
            <w:u w:val="single"/>
            <w:vertAlign w:val="baseline"/>
          </w:rPr>
          <w:t>(81 FR 50872).</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Limit on Actual EPM-Episode Payment Contribution to Repayment Amounts and Reconciliation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Limit on Actual EPM-Episode Payment Contribution to Repayment Amounts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section III.D.3.d. of the proposed rule regarding our proposed pricing adjustment for high payment EPM episodes </w:t>
      </w:r>
      <w:hyperlink r:id="rId9" w:history="1">
        <w:r>
          <w:rPr>
            <w:rFonts w:ascii="arial" w:eastAsia="arial" w:hAnsi="arial" w:cs="arial"/>
            <w:b w:val="0"/>
            <w:i/>
            <w:strike w:val="0"/>
            <w:noProof w:val="0"/>
            <w:color w:val="0077CC"/>
            <w:position w:val="0"/>
            <w:sz w:val="20"/>
            <w:u w:val="single"/>
            <w:vertAlign w:val="baseline"/>
          </w:rPr>
          <w:t>(81 FR 50846),</w:t>
        </w:r>
      </w:hyperlink>
      <w:r>
        <w:rPr>
          <w:rFonts w:ascii="arial" w:eastAsia="arial" w:hAnsi="arial" w:cs="arial"/>
          <w:b w:val="0"/>
          <w:i w:val="0"/>
          <w:strike w:val="0"/>
          <w:noProof w:val="0"/>
          <w:color w:val="000000"/>
          <w:position w:val="0"/>
          <w:sz w:val="20"/>
          <w:u w:val="none"/>
          <w:vertAlign w:val="baseline"/>
        </w:rPr>
        <w:t xml:space="preserve"> EPM participants would not bear financial responsibility for actual EPM-episode payments greater than a ceiling set at 2 standard deviations above the mean regional EPM-episode payment. Nevertheless, EPM participants would begin to bear repayment responsibility beginning performance year 2 (DR) for those EPM episodes where actual EPM-episode payments are greater than the EPM quality-adjusted target prices up to the level of the regional EPM-episode ceiling. When aggregated across all EPM episodes in a model, the total money owed to Medicare by an EPM participant for actual EPM-episode payments above the applicable EPM quality-adjusted target price could be substantial if a participant's EPM episodes generally had high payments. As an extreme example, if a participants had all of its EPM episodes paid at 2 standard deviations above the mean regional EPM-episode payment, the EPM participant would need to repay Medicare a large amount of money, especially if the number of EPM episodes was large.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limit a participant's overall repayment responsibility for actual EPM-episode payments under the EPMs, (hereafter called a "stop-loss limit"), we proposed to establish the same stop-loss limits that were adopted for the CJR model </w:t>
      </w:r>
      <w:hyperlink r:id="rId21" w:history="1">
        <w:r>
          <w:rPr>
            <w:rFonts w:ascii="arial" w:eastAsia="arial" w:hAnsi="arial" w:cs="arial"/>
            <w:b w:val="0"/>
            <w:i/>
            <w:strike w:val="0"/>
            <w:noProof w:val="0"/>
            <w:color w:val="0077CC"/>
            <w:position w:val="0"/>
            <w:sz w:val="20"/>
            <w:u w:val="single"/>
            <w:vertAlign w:val="baseline"/>
          </w:rPr>
          <w:t>(80 FR 73401);</w:t>
        </w:r>
      </w:hyperlink>
      <w:r>
        <w:rPr>
          <w:rFonts w:ascii="arial" w:eastAsia="arial" w:hAnsi="arial" w:cs="arial"/>
          <w:b w:val="0"/>
          <w:i w:val="0"/>
          <w:strike w:val="0"/>
          <w:noProof w:val="0"/>
          <w:color w:val="000000"/>
          <w:position w:val="0"/>
          <w:sz w:val="20"/>
          <w:u w:val="none"/>
          <w:vertAlign w:val="baseline"/>
        </w:rPr>
        <w:t xml:space="preserve"> except, that they would apply beginning in the second rather than first quarter of performance year 2 </w:t>
      </w:r>
      <w:hyperlink r:id="rId9" w:history="1">
        <w:r>
          <w:rPr>
            <w:rFonts w:ascii="arial" w:eastAsia="arial" w:hAnsi="arial" w:cs="arial"/>
            <w:b w:val="0"/>
            <w:i/>
            <w:strike w:val="0"/>
            <w:noProof w:val="0"/>
            <w:color w:val="0077CC"/>
            <w:position w:val="0"/>
            <w:sz w:val="20"/>
            <w:u w:val="single"/>
            <w:vertAlign w:val="baseline"/>
          </w:rPr>
          <w:t>(81 FR 50872</w:t>
        </w:r>
      </w:hyperlink>
      <w:r>
        <w:rPr>
          <w:rFonts w:ascii="arial" w:eastAsia="arial" w:hAnsi="arial" w:cs="arial"/>
          <w:b w:val="0"/>
          <w:i w:val="0"/>
          <w:strike w:val="0"/>
          <w:noProof w:val="0"/>
          <w:color w:val="000000"/>
          <w:position w:val="0"/>
          <w:sz w:val="20"/>
          <w:u w:val="none"/>
          <w:vertAlign w:val="baseline"/>
        </w:rPr>
        <w:t xml:space="preserve"> through 50873). Specifically, we proposed a 5 percent stop-loss limit in performance year 2 (DR), a 10 percent stop-loss limit in performance year 3, and a 20 percent stop-loss limit for performance years 4 and 5 for each EPM. That is, beginning in the second quarter of performance year 2, the EPM participant would owe Medicare under each proposed EPM no more than 5 percent of the sum of the EPM quality-adjusted target prices for all of the EPM participant's EPM episodes during performance year 2 (DR). This responsibility would gradually phase up to 20 percent by performance year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performance year 2, the comparison against the stop loss limit would only apply for NPRA attributable to episodes ending in performance year 2 (DR). As described in section III.D.5. of the proposed rule, when calculating the NPRA for performance year 2, we would ensure the NPRA attributable to episodes ending during performance year 2 (NDR) was not less than zero and that NPRA attributable to episodes ending during performance year 2 (DR) did not exceed the stop-loss limit of 5 percent of the sum of quality-adjusted target prices for episodes that ended during performance year 2 (DR).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when conducting the subsequent reconciliation calculation to reassess actual EPM-episode payments for performance year 2 (which would occur concurrently with the reconciliation for performance year 3), we would combine the performance year 2 (NDR) NPRA and the result of the subsequent reconciliation calculation for performance year 2 (NDR) to ensure the result was not less than zero. Also, we would combine the performance year 2 (DR) NPRA and the result of the subsequent reconciliation calculation for performance year 2 (DR) to ensure the stop-loss limit was not exceeded.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performance years 3 through 5, it would not be necessary to split the performance years to ensure that the stop-loss limit was not exceeded as a single stop-loss limit would apply in each year. For example, as described in section III.D.5. of the proposed rule, when calculating the NPRA for performance year 3,, we would ensure the NPRA did not exceed the stop-loss limit of 10 percent of the sum of quality-adjusted target prices. Similarly when conducting the subsequent </w:t>
      </w:r>
      <w:r>
        <w:rPr>
          <w:rFonts w:ascii="arial" w:eastAsia="arial" w:hAnsi="arial" w:cs="arial"/>
          <w:b/>
          <w:i w:val="0"/>
          <w:strike w:val="0"/>
          <w:noProof w:val="0"/>
          <w:color w:val="000000"/>
          <w:position w:val="0"/>
          <w:sz w:val="20"/>
          <w:u w:val="none"/>
          <w:vertAlign w:val="baseline"/>
        </w:rPr>
        <w:t> [*340] </w:t>
      </w:r>
      <w:r>
        <w:rPr>
          <w:rFonts w:ascii="arial" w:eastAsia="arial" w:hAnsi="arial" w:cs="arial"/>
          <w:b w:val="0"/>
          <w:i w:val="0"/>
          <w:strike w:val="0"/>
          <w:noProof w:val="0"/>
          <w:color w:val="000000"/>
          <w:position w:val="0"/>
          <w:sz w:val="20"/>
          <w:u w:val="none"/>
          <w:vertAlign w:val="baseline"/>
        </w:rPr>
        <w:t xml:space="preserve"> reconciliation calculation to reassess actual EPM-episode payments for performance year 3 (which would occur concurrently with the reconciliation for performance year 4), we would combine the performance year 3 NPRA and the result of the subsequent reconciliation calculation for performance year 3 to ensure the stop-loss limit was not exceeded.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 that, as described in sections III.D.5.b. and III.D.6.b.(2) of the proposed rule </w:t>
      </w:r>
      <w:hyperlink r:id="rId9" w:history="1">
        <w:r>
          <w:rPr>
            <w:rFonts w:ascii="arial" w:eastAsia="arial" w:hAnsi="arial" w:cs="arial"/>
            <w:b w:val="0"/>
            <w:i/>
            <w:strike w:val="0"/>
            <w:noProof w:val="0"/>
            <w:color w:val="0077CC"/>
            <w:position w:val="0"/>
            <w:sz w:val="20"/>
            <w:u w:val="single"/>
            <w:vertAlign w:val="baseline"/>
          </w:rPr>
          <w:t>(81 FR 50865</w:t>
        </w:r>
      </w:hyperlink>
      <w:r>
        <w:rPr>
          <w:rFonts w:ascii="arial" w:eastAsia="arial" w:hAnsi="arial" w:cs="arial"/>
          <w:b w:val="0"/>
          <w:i w:val="0"/>
          <w:strike w:val="0"/>
          <w:noProof w:val="0"/>
          <w:color w:val="000000"/>
          <w:position w:val="0"/>
          <w:sz w:val="20"/>
          <w:u w:val="none"/>
          <w:vertAlign w:val="baseline"/>
        </w:rPr>
        <w:t xml:space="preserve"> through 50867 and 50869 through 50871), the result of the post-episode spending calculation and ACO overlap calculation that would occur concurrently with the subsequent reconciliation calculation for a given performance year would not be subject to the stop-loss limit. The result of these calculations would be added to the NPRA and subsequent reconciliation calculation to create the repayment amount or reconciliation payment. We believed that these limits would both offer EPM participants reasonable protections while maintaining incentives to improve care quality and efficiency. We noted that in addition to the CJR model, we apply a similar ultimate 20 percent stop-loss limit to payments under the BPCI initiative.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limit participants' overall payment responsibility under the models was included in § 512.305(c)(2)(iii)(A). We sought comment on our proposal to limit hospitals' overall payment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offered a variety of perspectives on the proposal to limit hospitals' payment responsibility under the models. A number of commenters requested that CMS include additional protection to participants by delaying the phase-in period under which the limits would increase, or reducing the limits across-the-board or for certain hospital types, for example, participants treating a large percentage of complex cases or vulnerable populations. One commenter recommended that the limits remain at a statistically equivalent level of case complexity provided that the participants are improving with respect to their performance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recommended that in lieu of a blanket stop loss protection, CMS should instead make outlier payments for high-cost cases as they believed it would provide a better safety net to the small percentage of extremely high-cost episodes. One commenter recommended that hospitals with fewer than 20 episodes not be required to participate and if they did, their stop-loss threshold should be increased. Another commenter suggested that CMS include additional stop-loss protections for participants that provide services to complex patients and patients with co-morbidities. The commenter also seemed to suggest that the additional stop-loss protections be offered where beneficiaries receive hospice services during an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we received either in support of our proposal or to modify the proposal. While we are not persuaded by comments to reduce the stop-loss limits or modify our proposed mechanism for offering participant hospitals protections against significant financial loss, we are delaying the phase-in period under which the stop-loss limits would increase to conform with our policy to delay when EPM participants would be required to accept downside risk under the EPMs as described in section III.D.2.c. of this final. Thus, under our final policy, except for those EPM participants with additional stop-loss protections as discussed in section III.D.7.c.(1) of this final rule, the limits on a EPM participant's repayment responsibility as displayed in Table 19 are--</w:t>
      </w:r>
    </w:p>
    <w:p>
      <w:pPr>
        <w:keepNext w:val="0"/>
        <w:numPr>
          <w:numId w:val="2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2, 5 percent for EPM participants that voluntarily elect downside risk for that year; and</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years 3, 4 and 5, 5 percent, 10 percent, and 20 percent respectively.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88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19--Proposed and Final Stop-Loss Limits by PY</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8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PY1</w:t>
            </w:r>
          </w:p>
        </w:tc>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PY2</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PY3</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PY4</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PY5</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Proposed Stop-Loss Limits</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 as no downside risk</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 during non-downside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PY1</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risk period and 5%</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downside risk</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period</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Final Stop-Loss Limits</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Downside Risk for All Participants- DR effective for episodes ending on or after 1/1/2019 (anchor discharges occurring</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on or after 10/4/2018)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57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n/a as no downside risk in PY1 and PY2 without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57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election of voluntary downside risk for PY2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Voluntary Downside Risk--DR effective for episodes ending on or after 1/1/2018 (anchor discharges occurring on or after</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10/4/2017)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 as no downside risk</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PY1</w:t>
            </w:r>
          </w:p>
        </w:tc>
        <w:tc>
          <w:tcPr>
            <w:tcW w:w="288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this policy in conjunction with our policies to delay when hospitals must assume downside risk and cap high cost payments as well as our plans to implement further risk adjustment measures offer sufficient protections to hospitals participating in the model while maintaining incentives that will encourage improvements in care quality and efficiency.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 modification, to establish limits on participants' overall payment responsibility. Our final policy on participants' overall payment responsibility is included in § 512.305(c)(2)(iii)(A).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Limitation on Reconciliation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limits on reconciliation payments made under the proposed EPMs would also be appropriate for several reasons. Under our proposal, in performance year 1, EPM participants would have no repayment responsibility for excess EPM episode spending above the EPM quality-adjusted target price, </w:t>
      </w:r>
      <w:r>
        <w:rPr>
          <w:rFonts w:ascii="arial" w:eastAsia="arial" w:hAnsi="arial" w:cs="arial"/>
          <w:b/>
          <w:i w:val="0"/>
          <w:strike w:val="0"/>
          <w:noProof w:val="0"/>
          <w:color w:val="000000"/>
          <w:position w:val="0"/>
          <w:sz w:val="20"/>
          <w:u w:val="none"/>
          <w:vertAlign w:val="baseline"/>
        </w:rPr>
        <w:t> [*341] </w:t>
      </w:r>
      <w:r>
        <w:rPr>
          <w:rFonts w:ascii="arial" w:eastAsia="arial" w:hAnsi="arial" w:cs="arial"/>
          <w:b w:val="0"/>
          <w:i w:val="0"/>
          <w:strike w:val="0"/>
          <w:noProof w:val="0"/>
          <w:color w:val="000000"/>
          <w:position w:val="0"/>
          <w:sz w:val="20"/>
          <w:u w:val="none"/>
          <w:vertAlign w:val="baseline"/>
        </w:rPr>
        <w:t xml:space="preserve"> and CMS would bear full financial responsibility for Medicare actual EPM-episode payments for an EPM episode that exceeds the EPM quality-adjusted target price; however, we believe our responsibility should have judicious limits. In addition, our proposed rule noted that beginning in performance year 1, EPM participants would be eligible for reconciliation payments due to the NPRA if actual EPM-episode payments are less than the quality-adjusted target prices. This proposal for reconciliation payments due to the NPRA was intended to provide a financial incentive to EPM participants from the beginning of the model to manage and coordinate care throughout the EPM episode with a focus on ensuring that EPM beneficiaries receive the lowest intensity, medically appropriate care throughout the EPM episode that results in high quality outcomes. However, for purposes of responsible stewardship of CMS resources and concerns about potentially excessive reductions in utilization under the proposed EPMs that could lead to beneficiary harm, we also believed it would be reasonable and hence proposed to cap an EPM participant's reconciliation payments resulting from actual EPM-episode payments for a given performance year as a percentage of EPM-episode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determining what would constitute an appropriate reconciliation payment limit due to actual episode spending (hereafter called a "stop-gain limit"), we believe it should provide significant opportunity for EPM participants to receive reconciliation payments for greater episode efficiency that includes achievement of quality care and actual EPM-episode payment reductions below the quality-adjusted target price, while avoiding the creation of significant incentives to sharply reduce utilization that could be harmful to EPM beneficiaries. We also believe that establishing parallel stop-gain and stop-loss limits is important to provide proportionately similar protections to CMS and EPM participants for their financial responsibilities under the EPMs as well as to protect the health of beneficiaries.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we proposed to establish symmetrical stop-gain limits </w:t>
      </w:r>
      <w:hyperlink r:id="rId9" w:history="1">
        <w:r>
          <w:rPr>
            <w:rFonts w:ascii="arial" w:eastAsia="arial" w:hAnsi="arial" w:cs="arial"/>
            <w:b w:val="0"/>
            <w:i/>
            <w:strike w:val="0"/>
            <w:noProof w:val="0"/>
            <w:color w:val="0077CC"/>
            <w:position w:val="0"/>
            <w:sz w:val="20"/>
            <w:u w:val="single"/>
            <w:vertAlign w:val="baseline"/>
          </w:rPr>
          <w:t>(81 FR 50873).</w:t>
        </w:r>
      </w:hyperlink>
      <w:r>
        <w:rPr>
          <w:rFonts w:ascii="arial" w:eastAsia="arial" w:hAnsi="arial" w:cs="arial"/>
          <w:b w:val="0"/>
          <w:i w:val="0"/>
          <w:strike w:val="0"/>
          <w:noProof w:val="0"/>
          <w:color w:val="000000"/>
          <w:position w:val="0"/>
          <w:sz w:val="20"/>
          <w:u w:val="none"/>
          <w:vertAlign w:val="baseline"/>
        </w:rPr>
        <w:t xml:space="preserve"> Specifically, we proposed a 5 percent stop-gain limit in performance years 1 and 2, a 10 percent stop-gain limit in performance year 3, and a 20 percent stop-gain limit for performance years 4 and 5 for each EPM. That is, in performance year 1 as we phased-in the stop-gain limits, the reconciliation payment that the EPM participant would be eligible to receive under each proposed EPM would be no more than 5 percent of the sum of the EPM quality-adjusted target prices for all of the EPM participant's EPM episodes during the performance year. This limit would gradually phase up to 20 percent by performance year 4. As was also indicated in the CJR Final Rule, we wanted to ensure that any savings achieved by EPM participants in the early years of the EPM were not due to random variation, and that changes undertaken to improve efficiency included achievement in care quality and not sharp decreases in utilization that could be harmful to beneficiaries </w:t>
      </w:r>
      <w:hyperlink r:id="rId21" w:history="1">
        <w:r>
          <w:rPr>
            <w:rFonts w:ascii="arial" w:eastAsia="arial" w:hAnsi="arial" w:cs="arial"/>
            <w:b w:val="0"/>
            <w:i/>
            <w:strike w:val="0"/>
            <w:noProof w:val="0"/>
            <w:color w:val="0077CC"/>
            <w:position w:val="0"/>
            <w:sz w:val="20"/>
            <w:u w:val="single"/>
            <w:vertAlign w:val="baseline"/>
          </w:rPr>
          <w:t>(80 FR 73402).</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clarified in our proposed rule that, as with the stop-loss limits, we proposed to determine whether an EPM participant had met the stop-gain limit by assessing the NPRA and subsequent reconciliation for a given performance year, if any. We noted that this approach aligned with our goal to place limits on the amount a participant may earn as a reconciliation payment due to reduced actual EPM-episode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noted that we planned to monitor beneficiary access and utilization of services and the potential contribution of the stop-gain limit to any inappropriate reduction in EPM- episode services. We refer to section III.G. of the proposed rule for our discussion on monitoring and addressing participants' performance under the proposed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establish a cap on an EPM participant's reconciliation payment due to actual EPM-episode payments for a given performance year as a percentage of EPM-episode payment was included in § 512.305(c)(2)(iii)(B). We sought comment on this proposed cap.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addressing how reconciliation payments would be capped either opposed the caps or recommended that CMS raise the dollar amount at which payments would be capped. These commenters stated that doing so would make additional resources needed for infrastructure development available or allow greater rewards for savings achieved.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we received on our proposal, but disagree with recommendations to eliminate or raise the dollar amount at which payments would be capped. While the proposed models intend to establish financial incentives to better manage and coordinate care throughout the EPM episode in a way that improves both health care quality and efficiency, we believe it is also necessary to establish limits to discourage the chances for excessive reductions in utilization under the proposed EPMs that could lead to beneficiary harm. We believe our proposed cap on reconciliation payments achieves an appropriate balance that both provides incentives for participants to improve care quality and efficiency without also encouraging excessive and inappropriate reductions in utilization.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as previously stated, we believe it is important that stop-gain and stop-loss limits under the models be established in a way that provides proportionately similar protections to CMS and EPM participants for their financial responsibilities under the EPMs as well as to protect the health of beneficiaries. As such, we proposed to establish stop-gain limits under the models that were symmetrical with our stop-loss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previously noted in section III.D.7.b.(1), in delaying when EPM participants would be required to accept downside risk under the EPMs as described in section III.D.2.c. of this final rule, our final policy includes conforming adjustments to the limits on EPM participants' overall payment responsibility. These conforming adjustments also necessitate adjustments to the stop-gains limits under the model for consistency with our policy for symmetrical stop-loss and stop-gain limits. Accordingly, the final stop-gain limits are 5 percent in performance years 1, 2, and 3; 10 percent in performance year 4; and 20 percent in performance year 5 for each EPM (see Table 20). </w:t>
      </w:r>
      <w:r>
        <w:rPr>
          <w:rFonts w:ascii="arial" w:eastAsia="arial" w:hAnsi="arial" w:cs="arial"/>
          <w:b/>
          <w:i w:val="0"/>
          <w:strike w:val="0"/>
          <w:noProof w:val="0"/>
          <w:color w:val="000000"/>
          <w:position w:val="0"/>
          <w:sz w:val="20"/>
          <w:u w:val="none"/>
          <w:vertAlign w:val="baseline"/>
        </w:rPr>
        <w:t> [*342]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88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20--Proposced and Final Stop-Gain Limits and Final Stop-Loss Limits by</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8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PY1</w:t>
            </w:r>
          </w:p>
        </w:tc>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PY2</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PY3</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PY4</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PY5</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Proposed Stop-Gain Limits</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Final Stop-Gain Limits</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Final Stop-Loss Limits: Downside Risk for All Participants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 as no downside risk</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 as no downside risk</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Final Stop-Loss Limits: Voluntary Downside Risk in PY2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 as no downside risk</w:t>
            </w:r>
          </w:p>
        </w:tc>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Limits apply to hospitals other than those eligible for the separate stop-loss limits discussed in section III.D.7.c.(1)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 modification, to establish a cap on an EPM participant's reconciliation payment due to actual EPM-episode payments for a given performance year as a percentage of EPM-episode payment. Our final policy on the proposed cap, which includes conforming adjustments so that the stop-loss and stop-gain limits are symmetrical, is included in § 512.305(c)(2)(iii)(B).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Additional Protections for Certain EPM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Policies for Certain EPM Participants to Further Limit Repayment Responsibility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aforementioned proposals generally provide additional safeguards to ensure that EPM participants would have limited repayment responsibility, we proposed additional protections for certain groups of EPM participants that may have a lower risk tolerance and less infrastructure and support to achieve efficiencies for high-payment EPM episodes </w:t>
      </w:r>
      <w:hyperlink r:id="rId9" w:history="1">
        <w:r>
          <w:rPr>
            <w:rFonts w:ascii="arial" w:eastAsia="arial" w:hAnsi="arial" w:cs="arial"/>
            <w:b w:val="0"/>
            <w:i/>
            <w:strike w:val="0"/>
            <w:noProof w:val="0"/>
            <w:color w:val="0077CC"/>
            <w:position w:val="0"/>
            <w:sz w:val="20"/>
            <w:u w:val="single"/>
            <w:vertAlign w:val="baseline"/>
          </w:rPr>
          <w:t>(81 FR 50873</w:t>
        </w:r>
      </w:hyperlink>
      <w:r>
        <w:rPr>
          <w:rFonts w:ascii="arial" w:eastAsia="arial" w:hAnsi="arial" w:cs="arial"/>
          <w:b w:val="0"/>
          <w:i w:val="0"/>
          <w:strike w:val="0"/>
          <w:noProof w:val="0"/>
          <w:color w:val="000000"/>
          <w:position w:val="0"/>
          <w:sz w:val="20"/>
          <w:u w:val="none"/>
          <w:vertAlign w:val="baseline"/>
        </w:rPr>
        <w:t xml:space="preserve"> through 50874). Specifically, we proposed additional protections for rural hospitals, SCHs, Medicare Dependent Hospitals, and Rural Referral Centers (RRCs). We note that these categories of hospitals often have special payment protections or additional payment benefits under Medicare because we recognize the importance of preserving Medicare beneficiaries' access to care from these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 of these models, we proposed to define a Rural Hospital as an IPPS hospital that is either located in a rural area in accordance with § 412.64(b) or in a rural census tract within an MSA defined at § 412.103(a)(1) or has reclassified to rural in accordance with § 412.103.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define a Sole Community Hospital as it is defined in § 412.92. That is, hospitals paid under the IPPS can qualify for SCH status if they meet one of the following criteria:</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Located at least 35 miles from other like hospitals.</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Located in a rural area, located between 25 and 35 miles from other like hospitals, and no more than 25 percent of residents or Medicare beneficiaries who become hospital inpatients in the hospital's service area are admitted to other like hospitals located within a 35-mile radius of the hospital or the hospital has fewer than 50 beds and would meet the 25 percent criterion if not for the fact that some beneficiaries or residents were forced to seek specialized care outside of the service area due to the unavailability of necessary specialty services at the hospital.</w:t>
      </w:r>
    </w:p>
    <w:p>
      <w:pPr>
        <w:keepNext w:val="0"/>
        <w:numPr>
          <w:numId w:val="2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is rural and located between 15 and 25 miles from other like hospitals but because of local topography or periods of prolonged severe weather conditions, the other like hospitals are inaccessible for at least 30 days in each of 2 out of 3 years.</w:t>
      </w:r>
    </w:p>
    <w:p>
      <w:pPr>
        <w:keepNext w:val="0"/>
        <w:numPr>
          <w:numId w:val="2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is rural and the travel time between the hospital and the nearest like hospital is at least 45 minutes.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define a Medicare Dependent Hospital (MDH) as it is defined in § 412.108. That is, an MDH is a hospital that meets the following criteria:</w:t>
      </w:r>
    </w:p>
    <w:p>
      <w:pPr>
        <w:keepNext w:val="0"/>
        <w:numPr>
          <w:numId w:val="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Located in a rural area.</w:t>
      </w:r>
    </w:p>
    <w:p>
      <w:pPr>
        <w:keepNext w:val="0"/>
        <w:numPr>
          <w:numId w:val="2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100 beds or less.</w:t>
      </w:r>
    </w:p>
    <w:p>
      <w:pPr>
        <w:keepNext w:val="0"/>
        <w:numPr>
          <w:numId w:val="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not a SCH.</w:t>
      </w:r>
    </w:p>
    <w:p>
      <w:pPr>
        <w:keepNext w:val="0"/>
        <w:numPr>
          <w:numId w:val="2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Sixty percent of the hospital's inpatient days or discharges were attributable to individuals entitled to Medicare Part A benefits during specified time periods as provided in § 412.108.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define a Rural Referral Center as it is defined in § 412.96. Specifically, RRCs are defined as IPPS hospitals with at least 275 beds that meet the following criteria:</w:t>
      </w:r>
    </w:p>
    <w:p>
      <w:pPr>
        <w:keepNext w:val="0"/>
        <w:numPr>
          <w:numId w:val="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Fifty percent of the hospital's Medicare patients are referred from other hospitals or from physicians who are not on the staff of the hospital.</w:t>
      </w:r>
    </w:p>
    <w:p>
      <w:pPr>
        <w:keepNext w:val="0"/>
        <w:numPr>
          <w:numId w:val="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least 60 percent of the hospital's Medicare patients live more than 25 miles from the hospital.</w:t>
      </w:r>
    </w:p>
    <w:p>
      <w:pPr>
        <w:keepNext w:val="0"/>
        <w:numPr>
          <w:numId w:val="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least 60 percent of all services the hospital furnishes to Medicare patients are furnished to patients who live more than 25 miles from the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hospital does not meet these criteria, a hospital can also qualify for RRC status if a hospital meets the following criteria:</w:t>
      </w:r>
    </w:p>
    <w:p>
      <w:pPr>
        <w:keepNext w:val="0"/>
        <w:numPr>
          <w:numId w:val="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specified period of time, the hospital has a case-mix that equals at least the lower of the median case mix index (CMI) value for all urban hospitals nationally; or the median CMI value for urban hospitals located in its region, excluding those hospitals receiving indirect medical education payments.</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number of discharges is at least--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++ 5,000 (or 3,000 for an osteopathic hospital);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median number of discharges for urban hospitals in the census region in which it is located, set by the CMS through IPPS rulemaking.</w:t>
      </w:r>
    </w:p>
    <w:p>
      <w:pPr>
        <w:keepNext w:val="0"/>
        <w:numPr>
          <w:numId w:val="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Additionally, a hospital must meet one of the following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More than 50 percent of its active medical staff are specialists who meet the conditions specified at § 412.96(c)(3).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least 60 percent of all discharges are for inpatients who reside more than 25 miles from the hospital. </w:t>
      </w:r>
      <w:r>
        <w:rPr>
          <w:rFonts w:ascii="arial" w:eastAsia="arial" w:hAnsi="arial" w:cs="arial"/>
          <w:b/>
          <w:i w:val="0"/>
          <w:strike w:val="0"/>
          <w:noProof w:val="0"/>
          <w:color w:val="000000"/>
          <w:position w:val="0"/>
          <w:sz w:val="20"/>
          <w:u w:val="none"/>
          <w:vertAlign w:val="baseline"/>
        </w:rPr>
        <w:t> [*343]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At least 40 percent of all inpatients treated are referred from other hospitals or from physicians who are not on the hospital's staff.</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information on these hospitals can be found in the CJR Final Rule at </w:t>
      </w:r>
      <w:hyperlink r:id="rId21" w:history="1">
        <w:r>
          <w:rPr>
            <w:rFonts w:ascii="arial" w:eastAsia="arial" w:hAnsi="arial" w:cs="arial"/>
            <w:b w:val="0"/>
            <w:i/>
            <w:strike w:val="0"/>
            <w:noProof w:val="0"/>
            <w:color w:val="0077CC"/>
            <w:position w:val="0"/>
            <w:sz w:val="20"/>
            <w:u w:val="single"/>
            <w:vertAlign w:val="baseline"/>
          </w:rPr>
          <w:t>80 FR 73403</w:t>
        </w:r>
      </w:hyperlink>
      <w:r>
        <w:rPr>
          <w:rFonts w:ascii="arial" w:eastAsia="arial" w:hAnsi="arial" w:cs="arial"/>
          <w:b w:val="0"/>
          <w:i w:val="0"/>
          <w:strike w:val="0"/>
          <w:noProof w:val="0"/>
          <w:color w:val="000000"/>
          <w:position w:val="0"/>
          <w:sz w:val="20"/>
          <w:u w:val="none"/>
          <w:vertAlign w:val="baseline"/>
        </w:rPr>
        <w:t xml:space="preserve"> through 73405.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CJR Final Rule, we established the same stop-gain limits for these hospitals as for hospitals in general (that is, 5 percent in performance years 1 and 2, 10 percent in performance year 3, and 20 percent in performance years 4 and 5); however, we limited losses for rural hospitals, SCHs, Medicare Dependent Hospitals and RRCs to 3 percent in performance year 2, and 5 percent in performance years 3 through 5 </w:t>
      </w:r>
      <w:hyperlink r:id="rId21" w:history="1">
        <w:r>
          <w:rPr>
            <w:rFonts w:ascii="arial" w:eastAsia="arial" w:hAnsi="arial" w:cs="arial"/>
            <w:b w:val="0"/>
            <w:i/>
            <w:strike w:val="0"/>
            <w:noProof w:val="0"/>
            <w:color w:val="0077CC"/>
            <w:position w:val="0"/>
            <w:sz w:val="20"/>
            <w:u w:val="single"/>
            <w:vertAlign w:val="baseline"/>
          </w:rPr>
          <w:t>(80 FR 73406).</w:t>
        </w:r>
      </w:hyperlink>
      <w:r>
        <w:rPr>
          <w:rFonts w:ascii="arial" w:eastAsia="arial" w:hAnsi="arial" w:cs="arial"/>
          <w:b w:val="0"/>
          <w:i w:val="0"/>
          <w:strike w:val="0"/>
          <w:noProof w:val="0"/>
          <w:color w:val="000000"/>
          <w:position w:val="0"/>
          <w:sz w:val="20"/>
          <w:u w:val="none"/>
          <w:vertAlign w:val="baseline"/>
        </w:rPr>
        <w:t xml:space="preserve"> In that Final Rule, we noted that these hospitals can face unique challenges that do not exist for most other hospitals. For example, these hospitals may be the only source of health care services for beneficiaries or certain beneficiaries living in rural areas, and may be in areas with fewer providers including fewer physicians and post-acute care facilities. Further, these hospitals may have more limited options in coordinating care and reducing spending while maintaining quality of care. We continue to believe that urban hospitals may not have similar concerns as they are often in areas with many other providers and have a greater opportunity to develop efficiencies under the EPMs. Given these circumstances, for the CJR model we determined that we should have a more protective stop-loss limit policy for these hospitals. Given the similarity between the CJR model and the proposed EPMs, we had similar concerns, which we believed should be addressed by establishing greater protections for these hospitals when they are EPM participants. Accordingly, we proposed the same stop-loss thresholds for these hospitals participating in the proposed EPMs as were adopted for the CJR model except that the thresholds would begin in performance year 2 (DR)--specifically, 3 percent in performance year 2 (DR), and 5 percent for performance years 3 through 5 for each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establish separate financial loss limits for certain hospitals that could be less able to tolerate risk was included in § 512.305(c)(2)(iii)(C). We sought comment on our proposed limit on financial loss for these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supported the proposal to establish separate financial loss limits for certain hospitals. One commenter recommended that CMS provide additional protection to these providers by waiving downside risk for them for the entire duration of the models as well as to retaining the proposed protections to MDHs in the event the MDH status expires during the period of the models. Some commenters requested that CMS extend to participants with a low volume of episodes or to hospitals that serve a large portion of vulnerable populations these same financial loss limits because they likely lacked the infrastructure and support to achieve greater efficiencies or served beneficiaries with more complex and diverse treatment needs. Some commenters provided data in support of their request suggesting that hospitals with fewer episodes had the widest range in gains and losses largest year-to-year variation in episode spending relative to target prices. One commenter suggested that CMS determine eligibility for these separate financial loss limits based on the same thresholds that would be applied for determining whether a participant's EPM-episode benchmark prices would be based only on regional historical EPM-episode payments.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and agree with the comments supporting our proposal to establish separate financial loss limits for certain hospitals. We do not agree with the suggestion that we instead waive downside risk entirely for these hospitals. Given their lower tolerance of risk, more limited infrastructure and support to achieve efficiencies, and special status under Medicare to preserve Medicare beneficiaries' access to care from these hospitals, we recognize that certain adjustments to the model are warranted for these hospitals. However, we believe our proposed financial loss limits offer sufficient protection to these hospitals while allowing us to maintain an appropriate balance of incentives to encourage care quality and efficiency improvements as would exist for the other hospitals that would be participating under the models.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current law, the MDH program will continue through September 30, 2017, but will expire absent additional legislative authority. As we stated in the CJR Final Rule </w:t>
      </w:r>
      <w:hyperlink r:id="rId21" w:history="1">
        <w:r>
          <w:rPr>
            <w:rFonts w:ascii="arial" w:eastAsia="arial" w:hAnsi="arial" w:cs="arial"/>
            <w:b w:val="0"/>
            <w:i/>
            <w:strike w:val="0"/>
            <w:noProof w:val="0"/>
            <w:color w:val="0077CC"/>
            <w:position w:val="0"/>
            <w:sz w:val="20"/>
            <w:u w:val="single"/>
            <w:vertAlign w:val="baseline"/>
          </w:rPr>
          <w:t>(80 FR 73406),</w:t>
        </w:r>
      </w:hyperlink>
      <w:r>
        <w:rPr>
          <w:rFonts w:ascii="arial" w:eastAsia="arial" w:hAnsi="arial" w:cs="arial"/>
          <w:b w:val="0"/>
          <w:i w:val="0"/>
          <w:strike w:val="0"/>
          <w:noProof w:val="0"/>
          <w:color w:val="000000"/>
          <w:position w:val="0"/>
          <w:sz w:val="20"/>
          <w:u w:val="none"/>
          <w:vertAlign w:val="baseline"/>
        </w:rPr>
        <w:t xml:space="preserve"> we understand the concern that with the expiration of MDH status, hospitals will lose their MDH designation and additional Medicare FFS payments provided under the MDH designation. Additionally, under the expiration of MDH status, hospitals would no longer qualify for the protective stop-loss limit tied to that status under the EPM models. We believe it would be inconsistent to apply the additional benefit of protective stop-loss limits to former MDHs when by law, those hospitals are not permitted to retain the other Medicare payment benefits provided to MDHs. We would note, however, that should a participant's MDH payment status expire, some MDHs may apply with their MACs to determine if they qualify as an RRC or SCH and would be able to maintain the protective stop-loss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requests commenters made to extend separate financial loss limits to hospitals with a low volume of episodes have persuaded us to extend these separate limits under the EPMs under certain specific circumstances. We conducted an analysis of cost variation for episodes under the EPMs and found greater variation in episode-level spending for episodes occurring among low-volume than high-volume hospitals. Under a range of low-volume thresholds, this analysis showed the standard deviation of historical AMI episode spending at low-volume hospitals in selected MSAs was 10 to 32 percent higher than high-volume hospitals in selected AMI model MSAs. Likewise, the standard deviation of historical SHFFT episode spending at low-volume hospitals was 14 to 18 percent above high-volume hospitals in selected AMI model MSAs, and the standard deviation of historical CABG episode spending was 6 to 19 percent higher above high volume hospitals in selected CABG model MSAs. n90 Based on the results of our analysis, we share commenters' concerns that when there is a low volume of episodes under a model, an EPM participant could potentially be held responsible for random variation in spending that occurs under that model. Thus, we have been persuaded to extend the separate financial loss limits that apply to rural hospitals, SCHs, MDHs, and RRCs to EPM participants determined to have a low volume of episodes under an EPM, which we will refer to as "EPM volume protection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n90 Episodes for AMI, SHFFT, and CABG beneficiaries initiated by all U.S. IPPS hospitals in MSAs selected for EPMs and constructed using standardized Medicare FFS Parts A and B claims, as proposed in this rule that began in CYs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to rural hospitals, SCHs, MDHs, and RRCs, however, we will apply the separate loss limits to EPM volume protection hospitals at the model level as we will apply loss limits to most other hospitals under the EPMs rather than at the hospital level as is the case for these specific types of hospitals eligible for separate loss limits. Accordingly, this means we could </w:t>
      </w:r>
      <w:r>
        <w:rPr>
          <w:rFonts w:ascii="arial" w:eastAsia="arial" w:hAnsi="arial" w:cs="arial"/>
          <w:b/>
          <w:i w:val="0"/>
          <w:strike w:val="0"/>
          <w:noProof w:val="0"/>
          <w:color w:val="000000"/>
          <w:position w:val="0"/>
          <w:sz w:val="20"/>
          <w:u w:val="none"/>
          <w:vertAlign w:val="baseline"/>
        </w:rPr>
        <w:t> [*344] </w:t>
      </w:r>
      <w:r>
        <w:rPr>
          <w:rFonts w:ascii="arial" w:eastAsia="arial" w:hAnsi="arial" w:cs="arial"/>
          <w:b w:val="0"/>
          <w:i w:val="0"/>
          <w:strike w:val="0"/>
          <w:noProof w:val="0"/>
          <w:color w:val="000000"/>
          <w:position w:val="0"/>
          <w:sz w:val="20"/>
          <w:u w:val="none"/>
          <w:vertAlign w:val="baseline"/>
        </w:rPr>
        <w:t xml:space="preserve"> extend the separate loss limits to an EPM volume protection hospital for one or more EPMs but not necessarily all of the EPMs, depending on whether their historical EPM episode volume exceeded the threshold number for the specific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EPM participant will qualify as an EPM volume protection hospital if their volume of historical EPM episodes that started in calendar years 2013 through 2015 is at or below the 10th percentile of the number of hospital-specific historical EPM episodes for hospitals located in the MSAs eligible for selection into that specific EPM. For purposes of determining the 10th percentile threshold, we will use historical episodes for the same historical periods used to determine an EPM participant's benchmark and quality-adjusted target prices for performance year 1 based on hospitals with one or more historical episodes under that model in the applicable MSAs. This would include hospitals such as rural hospitals, MDHs, SCHs, and RRCs. While we considered both higher and lower thresholds, we believe the 10th percentile achieves the most appropriate balance with respect to focusing our policy on those hospitals that would uniquely have a low volume of episodes under an EPM. Though our analysis of episode volume from 2012-2014, suggests that around 10 percent of hospitals with any episodes would be subject to these additional protections, we expect that only around 1 percent or less of episode volume would be subject to the additional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note that a participant could potentially be eligible for the separate loss limits based on their being either an EPM volume protection hospital or meeting the criteria for being one of the other eligible hospital types such as a rural hospital, MDH, SCH, or RRCs. We wish to clarify that in these cases we would extend the separate loss limits based on the criteria for the latter hospitals as their separate loss limits would apply at the hospital rather than the model level. Also, we would note that the stop-loss protections would not be additive whereby a participant benefitted from the stop-loss protections under both eligibility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each EPM, we will post the applicable historical EPM episode number threshold used to determine whether EPM participants are EPM volume protection hospitals and a list of the CCNs of EPM participants that are classified as EPM volume protection hospitals to the CMS Web site before the beginning of performance year 1. We will also indicate to each EPM participant whether it is classified as an EPM volume protection hospital at the same time that we prospectively communicate quality-adjusted target prices to EPM participants, as described in section III.D.4.a.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threshold for each EPM will be set for all five performance years so that EPM participants can know before the beginning of the first EPM performance year their hospital status for the five years of the EPM, we make technical revisions to the list of EPM volume protection hospitals to account for changes in business practices, like mergers, acquisitions, or the opening of new hospitals. For example if an EPM participant that was an EPM volume protection hospital merged with another EPM participant and the merged entity continued to use the CCN of the EPM volume protection hospital, we would consider the historical episode volume at both EPM participants to determine whether the merged entity would continue to be an EPM volume protection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not adopting the suggestion to determine an EPM participant's eligibility for the separate protections using the same thresholds that are applied for determining whether their EPM-episode benchmark prices would be based only on regional historical EPM-episode payments. While these thresholds are appropriate for purposes of ensuring reliable estimates when establishing prices under the models, the measure would not be an effective metric for distinguishing hospitals with a low volume of episodes from other hospitals. Rather, it would result in too high a share of hospitals qualifying for the separate protections and thus would be too crude a metric for distinguishing hospitals with a low volume of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appreciate the comment suggesting that we extend the separate stop-loss limits to hospitals treating a large portion of vulnerable patients, we are not adopting this suggestion at this time. As discussed in the following section of this final rule, however, we requested comments on issues specific to hospitals serving a high percentage of potentially vulnerable populations and their opportunities to advance the goals of the EPMs. As we discuss in that section, while we will not be incorporating the suggestions we received in this rule, we will share the comments and suggestions we received with the Assistant Secretary for Planning and Evaluation for their consideration as well as consider their potential applicability, where appropriate, in future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 modification, to establish separate financial loss protections for certain hospitals. Once again, we would note that in delaying when EPM participants would be required to accept downside risk under the EPMs as is described in section III.D.2.c. of this final rule, our final policy includes conforming adjustments to the separate financial loss limits on participants' overall payment responsibility. We will extend the separate financial loss protections to EPM participants determined to have a low volume of episodes within a model. Thus, under our final policy, the separate financial loss limits for rural hospitals, SCHs, MDHs, RRCs, and EPM volume protection hospitals as displayed in Table 21 are--</w:t>
      </w:r>
    </w:p>
    <w:p>
      <w:pPr>
        <w:keepNext w:val="0"/>
        <w:numPr>
          <w:numId w:val="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2, 3 percent for EPM participants that voluntarily elect downside risk for that year; and</w:t>
      </w:r>
    </w:p>
    <w:p>
      <w:pPr>
        <w:keepNext w:val="0"/>
        <w:numPr>
          <w:numId w:val="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years 3, 4 and 5, 3 percent, 5 percent, and 5 percent respectively.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88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21--Proposed and Final Separate Stop-Loss Limits by PY</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8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PY1</w:t>
            </w:r>
          </w:p>
        </w:tc>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PY2</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PY3</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PY4</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PY5</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Proposed Separate Stop-Loss Limits Rural Hospitals, SCHs, MDHs, and RRCs</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 as no downside risk</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 during non-downside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PY1</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risk period and 3%</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downside risk</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period</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Final Separate Stop-Loss Limits Rural Hospitals, SCHs, MDHs, RRCs, and EPM Volume Protection Hospitals</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Downside Risk for All Participants--DR effective for episodes ending on or after 1/1/2019 (anchor discharges occurring</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on or after 10/4/2018)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57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n/a as no downside risk in PY1 and PY2 without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57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election of voluntary downside risk for PY2</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Voluntary Downside Risk--DR effective for episodes ending on or after 1/1/2018 (anchor discharges occurring on or after</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10/4/2017)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 as no downside risk</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PY1</w:t>
            </w:r>
          </w:p>
        </w:tc>
        <w:tc>
          <w:tcPr>
            <w:tcW w:w="288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final policies for the separate financial loss protections in included in § 512.305(c)(2)(iii)(C) and § 512.305(c)(2)(iii)(D).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Considerations for Hospitals Serving a High Percentage of Potentially Vulnerable Populations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aforementioned hospitals, our proposed rule noted our recognition that other EPM participants, for which we did not propose additional protections, could also face factors affecting their ability to achieve savings under the proposed EPMs, and that these factors could be unrelated to their practice patterns but instead could reflect the EPM participants' responsibilities for a relatively high percentage of potentially vulnerable populations with higher than average historical spending and/or less opportunities for efficiencies. For example, this could include hospitals that serve a relatively high percentage of beneficiaries that are dually eligible for both Medicare and Medicaid or whose total Medicare payments include a relatively high proportion of disproportionate share hospital payments under 1886(d)(5)(F) of the Act. Some of these hospitals are located in rural areas and would thus likely be classified as a type of hospital for which we proposed additional protections. However, most hospitals that serve a relatively high percentage of beneficiaries that are dually eligible for both Medicare and Medicaid or whose total Medicare payments include a relatively high proportion of disproportionate share hospital payments are located in urban areas, and very few are classified as a rural hospital, RRC, MDH, or SCH that would be subject to the additional protections we proposed. For the first 2 performance years of the EPMs, where quality-adjusted target prices are set predominantly based on EPM-participant hospital-specific data, factors affecting these hospitals may be of less concern than in the final 3 performance years of the EPMs where pricing is either predominantly or totally based on regional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proposed rule also noted that the potential challenges posed by these kinds of factors is highlighted in Section 2(d) of the Improving Medicare Post-Acute Care Transformation "IMPACT" Act of 2014 (</w:t>
      </w:r>
      <w:r>
        <w:rPr>
          <w:rFonts w:ascii="arial" w:eastAsia="arial" w:hAnsi="arial" w:cs="arial"/>
          <w:b w:val="0"/>
          <w:i/>
          <w:strike w:val="0"/>
          <w:noProof w:val="0"/>
          <w:color w:val="000000"/>
          <w:position w:val="0"/>
          <w:sz w:val="20"/>
          <w:u w:val="none"/>
          <w:vertAlign w:val="baseline"/>
        </w:rPr>
        <w:t>Pub. L. 113-183</w:t>
      </w:r>
      <w:r>
        <w:rPr>
          <w:rFonts w:ascii="arial" w:eastAsia="arial" w:hAnsi="arial" w:cs="arial"/>
          <w:b w:val="0"/>
          <w:i w:val="0"/>
          <w:strike w:val="0"/>
          <w:noProof w:val="0"/>
          <w:color w:val="000000"/>
          <w:position w:val="0"/>
          <w:sz w:val="20"/>
          <w:u w:val="none"/>
          <w:vertAlign w:val="baseline"/>
        </w:rPr>
        <w:t>). Specifically, Section 2(d) requires the Secretary to conduct a study that examines the effect of individuals' socioeconomic status, including their Medicaid eligibility, on quality measures and resource use and other measures for individuals under the Medicare program, in recognition that less healthy individuals may require more intensive interventions. The Secretary is required to submit a report on the results of this study within 2 years of enactment of the IMPACT Act. The IMPACT Act also requires the Secretary to conduct a second study that examines the impact of various risk factors, as well as race, health literacy, limited English proficiency (LEP), and Medicare beneficiary activation, on quality measures and resource use and other measures under the Medicare program in order to recognize that less healthy individuals may require more intensive interventions. The Secretary must submit a report on the results of this study within 5 years of enactment of the IMPACT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these studies find a relationship between the factors examined in the studies and quality measures and resource use and other measures, then the Secretary shall provide recommendations for, among other things, how CMS should account for such factors in quality measures, resource use measures, and other measures under Medicare; and in determining payment adjustments based on such measures in other applicable provisions related to the program. Likewise, taking into account these studies and their recommendations as well as other relevant information, the Secretary is required to routinely, as determined appropriate and based on an individual's health status and other factors, assess appropriate adjustments to quality measures, resource use measures, and other measures under the Medicare program; and assess and implement appropriate adjustments to Medicare payments based on these measures. The Assistant Secretary for Planning and Evaluation is responsible for these studies and a report on the results of the first one is forthcoming. Our proposed rule noted that upon issuance of these studies' reports, we planned to consider their results as we implemented the proposed EPMs. We also planned to monitor the influence of beneficiary characteristics such as socioeconomic status on EPM participants' performance during our implementation and evaluation of the EPMs. Given that the performance of EPM participants would be compared largely against their own historical episode cost performance data for the first 2 years of the models, however, we did not anticipate that the aforementioned factors should materially affect participants' ability to achieve savings. However, as we increasingly began to rely more on regional cost performance data to determine episode benchmarks and quality-adjusted target prices in performance year 3, these factors could become more germane. Thus, in the event we identified the need for adjustments, we could consider proposing additional policies through subsequent rulemaking. Additionally, we planned to use information collected as part of our efforts to monitor beneficiary access to care and quality of care as discussed in sections III.G.4. and III.G.5. of the proposed rule </w:t>
      </w:r>
      <w:hyperlink r:id="rId9" w:history="1">
        <w:r>
          <w:rPr>
            <w:rFonts w:ascii="arial" w:eastAsia="arial" w:hAnsi="arial" w:cs="arial"/>
            <w:b w:val="0"/>
            <w:i/>
            <w:strike w:val="0"/>
            <w:noProof w:val="0"/>
            <w:color w:val="0077CC"/>
            <w:position w:val="0"/>
            <w:sz w:val="20"/>
            <w:u w:val="single"/>
            <w:vertAlign w:val="baseline"/>
          </w:rPr>
          <w:t>(81 FR 50914</w:t>
        </w:r>
      </w:hyperlink>
      <w:r>
        <w:rPr>
          <w:rFonts w:ascii="arial" w:eastAsia="arial" w:hAnsi="arial" w:cs="arial"/>
          <w:b w:val="0"/>
          <w:i w:val="0"/>
          <w:strike w:val="0"/>
          <w:noProof w:val="0"/>
          <w:color w:val="000000"/>
          <w:position w:val="0"/>
          <w:sz w:val="20"/>
          <w:u w:val="none"/>
          <w:vertAlign w:val="baseline"/>
        </w:rPr>
        <w:t xml:space="preserve"> through 50915) to inform if potential adjustments would be needed in future years of the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Protections for EPM participants were discussed in section III.D.7.b.(1) and III.D.7.c.(1) of the proposed rule </w:t>
      </w:r>
      <w:hyperlink r:id="rId9" w:history="1">
        <w:r>
          <w:rPr>
            <w:rFonts w:ascii="arial" w:eastAsia="arial" w:hAnsi="arial" w:cs="arial"/>
            <w:b w:val="0"/>
            <w:i/>
            <w:strike w:val="0"/>
            <w:noProof w:val="0"/>
            <w:color w:val="0077CC"/>
            <w:position w:val="0"/>
            <w:sz w:val="20"/>
            <w:u w:val="single"/>
            <w:vertAlign w:val="baseline"/>
          </w:rPr>
          <w:t>(81 FR 50872</w:t>
        </w:r>
      </w:hyperlink>
      <w:r>
        <w:rPr>
          <w:rFonts w:ascii="arial" w:eastAsia="arial" w:hAnsi="arial" w:cs="arial"/>
          <w:b w:val="0"/>
          <w:i w:val="0"/>
          <w:strike w:val="0"/>
          <w:noProof w:val="0"/>
          <w:color w:val="000000"/>
          <w:position w:val="0"/>
          <w:sz w:val="20"/>
          <w:u w:val="none"/>
          <w:vertAlign w:val="baseline"/>
        </w:rPr>
        <w:t xml:space="preserve"> through 50874). We sought comment about all issues specific to </w:t>
      </w:r>
      <w:r>
        <w:rPr>
          <w:rFonts w:ascii="arial" w:eastAsia="arial" w:hAnsi="arial" w:cs="arial"/>
          <w:b/>
          <w:i w:val="0"/>
          <w:strike w:val="0"/>
          <w:noProof w:val="0"/>
          <w:color w:val="000000"/>
          <w:position w:val="0"/>
          <w:sz w:val="20"/>
          <w:u w:val="none"/>
          <w:vertAlign w:val="baseline"/>
        </w:rPr>
        <w:t> [*346] </w:t>
      </w:r>
      <w:r>
        <w:rPr>
          <w:rFonts w:ascii="arial" w:eastAsia="arial" w:hAnsi="arial" w:cs="arial"/>
          <w:b w:val="0"/>
          <w:i w:val="0"/>
          <w:strike w:val="0"/>
          <w:noProof w:val="0"/>
          <w:color w:val="000000"/>
          <w:position w:val="0"/>
          <w:sz w:val="20"/>
          <w:u w:val="none"/>
          <w:vertAlign w:val="baseline"/>
        </w:rPr>
        <w:t xml:space="preserve"> hospitals serving a high percentage of potentially vulnerable populations and their opportunities to advance the goals of the EPMs </w:t>
      </w:r>
      <w:hyperlink r:id="rId9" w:history="1">
        <w:r>
          <w:rPr>
            <w:rFonts w:ascii="arial" w:eastAsia="arial" w:hAnsi="arial" w:cs="arial"/>
            <w:b w:val="0"/>
            <w:i/>
            <w:strike w:val="0"/>
            <w:noProof w:val="0"/>
            <w:color w:val="0077CC"/>
            <w:position w:val="0"/>
            <w:sz w:val="20"/>
            <w:u w:val="single"/>
            <w:vertAlign w:val="baseline"/>
          </w:rPr>
          <w:t>(81 FR 50875).</w:t>
        </w:r>
      </w:hyperlink>
      <w:r>
        <w:rPr>
          <w:rFonts w:ascii="arial" w:eastAsia="arial" w:hAnsi="arial" w:cs="arial"/>
          <w:b w:val="0"/>
          <w:i w:val="0"/>
          <w:strike w:val="0"/>
          <w:noProof w:val="0"/>
          <w:color w:val="000000"/>
          <w:position w:val="0"/>
          <w:sz w:val="20"/>
          <w:u w:val="none"/>
          <w:vertAlign w:val="baseline"/>
        </w:rPr>
        <w:t xml:space="preserve"> In particular, we sought comment, including data analysis, about approaches to identifying these hospitals; their opportunities to achieve high quality episode performance; specific considerations about their opportunities to achieve efficient care for the clinical conditions included in the AMI, CABG, and SHFFT models; potential approaches to risk adjustment; potential approaches to additional protections that could be considered for the future modeled after our proposals in section III.D.7.b.(1) of this final rule for certain other EPM participants or other alternatives; and evaluation methodologies to ensure that we include appropriate comparison groups and monitor and evaluate the most relevant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urged CMS to provide greater financial protections for providers serving a high portion of vulnerable populations, and recommended that CMS apply lower caps on such providers' losses. While these commenters suggested that further study was needed, they recommended that, at a minimum, CMS should extend the 5 percent cap to include all of performance year 3, and reduce the cap in PY4 and PY5 to 10 percent. These commenters also noted that CMS would establish a definition of vulnerable populations, which should account for Medicaid and uninsured populations, and should seek public comment on this definition. For example, one commenter suggested that CMS consider section 1900 of the Social Security Act to identify hospitals serving a high number of vulnerable patients. Another commenter expressed their appreciation for CMS' highlighting of this issue, recommended that adjustments for socio-demographic variables would be logical starting point, and providers that care for vulnerable patients and populations should be treated equally.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we received on these issues and agree that further study is needed. While we will not be incorporating suggestions we received in this rule, we will share the comments and suggestions we received with the Assistant Secretary for Planning and Evaluation for their consideration as well as consider their potential applicability, where appropriate, in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Application of Stop-Gain and Stop-Loss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participants could be participating in the proposed AMI, CABG, and SHFFT models concurrently with the CJR model, our proposed rule noted that an additional consideration concerns the level at which the stop-loss and stop-gain thresholds would be applied, for example, at the participant's level, as is currently the case for the CJR model, or at some other level, for example, at the model level. We indicated that our intention was to establish appropriate incentives and protections for participants under the proposed EPMs and the CJR model without creating unnecessary administrative complexity. Further, this issue would become especially relevant to the proposed EPMs and CJR model given that the CJR model and proposed EPMs would be operating at different points within their performance periods. That is, episodes under the proposed EPMs would always lag 1 performance year behind those in the CJR model. Thus, SHFFT model participants that would begin the first SHFFT model performance year in 2017 would already be participating in their second performance year under the CJR model. Consequently, in this example, a stop-loss limit could apply to the performance year 2 episodes under the CJR model but not to the performance year 1 SHFFT model episodes under the SHFFT model as SHFFT model participants would not have repayment responsibility in SHFFT model performance year 1 under our proposal. In contrast, for this example, the stop-gain limits would be the same for both the SHFFT and CJR model since the limit for both performance year 1 and 2 would be 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Continuing with this example for a later performance year (performance year 4 for the CJR model and performance year 3 for the SHFFT model), any stop-loss limits that applied would be different. That is, the stop-loss limits for the CJR model episodes in performance year 4 would be 20 percent in contrast to the 10 percent stop-loss limit that would apply to the SHFFT model episodes in performance year 3. The proposed stop-gain limits would likewise diverge in this example as they are proposed to be symmetrical with the stop-loss limits.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these differences, we considered two options for setting stop-gain and stop-loss limits for hospitals participating in more than one of the AMI, CABG, SHFFT, and CJR models </w:t>
      </w:r>
      <w:hyperlink r:id="rId9" w:history="1">
        <w:r>
          <w:rPr>
            <w:rFonts w:ascii="arial" w:eastAsia="arial" w:hAnsi="arial" w:cs="arial"/>
            <w:b w:val="0"/>
            <w:i/>
            <w:strike w:val="0"/>
            <w:noProof w:val="0"/>
            <w:color w:val="0077CC"/>
            <w:position w:val="0"/>
            <w:sz w:val="20"/>
            <w:u w:val="single"/>
            <w:vertAlign w:val="baseline"/>
          </w:rPr>
          <w:t>(81 FR 50875</w:t>
        </w:r>
      </w:hyperlink>
      <w:r>
        <w:rPr>
          <w:rFonts w:ascii="arial" w:eastAsia="arial" w:hAnsi="arial" w:cs="arial"/>
          <w:b w:val="0"/>
          <w:i w:val="0"/>
          <w:strike w:val="0"/>
          <w:noProof w:val="0"/>
          <w:color w:val="000000"/>
          <w:position w:val="0"/>
          <w:sz w:val="20"/>
          <w:u w:val="none"/>
          <w:vertAlign w:val="baseline"/>
        </w:rPr>
        <w:t xml:space="preserve"> through 50876). Under the first option, we would determine stop-loss and stop-gain limits, in total, at the participant level based on weighted thresholds. Specifically, CMS would calculate a single weighted stop-loss/gain threshold based on the total spending under each model. Thus, using the aforementioned example where CJR model episodes would be in performance year 4 of their model and SHFFT model episodes would be in performance year 3, assuming 50 percent of total spending under the CJR and SHFFT models is for CJR model episodes and the remaining 50 percent is for SHFFT model episodes, the weighted stop-loss limit for the two models at the participant level would be 15 percent: (0.50 x 0.20 for CJR model episodes) + (0.5 x 0.10 for SHFFT model episodes) = 0.15. Although this option would allow the application of a single stop-loss threshold to a participant's total repayment under the models, we are concerned that computing a single limit such as this could either dilute or magnify the intended protections of the stop-loss limit under each model. As such, a participant that would have been protected from repayment exceeding 10 percent of its SHFFT model quality-adjusted target prices multiplied by the number of SHFFT model episodes for performance year 3 would only be protected for costs above the higher 15 percent level. Conversely, a participant that would have been protected only for repayment above 20 percent of its CJR model quality-adjusted target prices multiple by the number of CJR model episodes for performance year 3 would be protected against repayment above the lower 15 percent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Alternatively, we considered establishing stop-loss and stop-gain thresholds at the model level; that is, separately for each of the AMI, CABG, and SHFFT models, in addition to the limits that already exist for the CJR model. Under this option, we would separately apply the CJR-applicable stop-loss and stop-gain limits to CJR model episodes, the AMI-applicable limits to AMI model episodes, and so forth. Thus, considering the aforementioned example, the stop-loss limit for CJR model episodes in performance year 4 would be 20 percent for the hospital's CJR model episodes, while the stop-loss limit for SHFFT model episodes for performance year 3 would be 10 percent. While we might choose to aggregate these amounts to conduct a single financial transaction with a hospital participating in more than one model, we believe this option that would apply stop-loss and stop-gain limits at the model level for </w:t>
      </w:r>
      <w:r>
        <w:rPr>
          <w:rFonts w:ascii="arial" w:eastAsia="arial" w:hAnsi="arial" w:cs="arial"/>
          <w:b/>
          <w:i w:val="0"/>
          <w:strike w:val="0"/>
          <w:noProof w:val="0"/>
          <w:color w:val="000000"/>
          <w:position w:val="0"/>
          <w:sz w:val="20"/>
          <w:u w:val="none"/>
          <w:vertAlign w:val="baseline"/>
        </w:rPr>
        <w:t> [*347] </w:t>
      </w:r>
      <w:r>
        <w:rPr>
          <w:rFonts w:ascii="arial" w:eastAsia="arial" w:hAnsi="arial" w:cs="arial"/>
          <w:b w:val="0"/>
          <w:i w:val="0"/>
          <w:strike w:val="0"/>
          <w:noProof w:val="0"/>
          <w:color w:val="000000"/>
          <w:position w:val="0"/>
          <w:sz w:val="20"/>
          <w:u w:val="none"/>
          <w:vertAlign w:val="baseline"/>
        </w:rPr>
        <w:t xml:space="preserve"> hospitals participating in more than one model is superior to first option in that it better maintains appropriate incentives and protections under each of the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establish stop-gain and stop-loss limits at the model level was included in § 512.305(c)(2)(iii)(D). We sought comment on our proposal to establish stop-gain and stop-loss limits at the model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concerns that a blanket stop-loss policy could offer insufficient protection to participants with a low volume of cases. Thus, one commenter recommended that the stop-loss provision be calculated on an episode-specific basis for each provider as the degree of outcome variability will differ significantly based on the provider's volume and starting price position relative to the region. Another commenter recommended that CMS apply stop-loss limits at the episode level separately for low, medium, and high volume providers rather than at the model or program level so that the level of protection would vary by the number of episodes. In their view, this approach would offer hospitals, particularly those with lower volume, greater protection against exceptionally high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 generally supporting our proposal as well as the suggestions to modify our proposal. As discussed elsewhere in this rule, in addition to protections we had proposed with respect to capping high-cost cases with respect to our financial calculations (see section III.D.3.d.), we are finalizing policies that would offer to hospitals with a low volume of episodes under a model the same stop-loss protections that would apply to certain other hospitals (see section III.D.7.c.) as well as further adjustments for risk that we anticipate making effective beginning in PY3 (see section III.D.4.a.2). We believe these protections are sufficient and are thus not adopting the recommended modifications to the application of stop-loss protections.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establish stop-gain and stop-loss limits at the model level. Our final policy for establishing these limits is included in § 512.305(c)(2)(iii)(E).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EPM Participant Responsibility for Increased Post-Episode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proposed rule noted that while episodes under the proposed EPMs would extend 90 days post-discharge from the anchor or chained anchor hospitalization, some EPM participants may have an incentive to withhold or delay medically-necessary care until after an EPM episode ends to reduce its actual EPM-episode payments. This inappropriate shifting could include both those services that are related to the episode (for which the hospital would bear financial responsibility as such services would be included in the actual EPM-episode payment calculation) and those that are unrelated (which would not be included in the actual EPM-episode payment calculation), because an EPM participant engaged in shifting of medically-necessary services outside the EPM episode for potential financial reward may be unlikely to clearly distinguish whether the services were related to the EPM episode or not in the hospital's decisions.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stated our belief that this inappropriate shifting would not be typical, especially given the relatively long EPM episode duration. However, in order to identify and address inappropriate shifting of care, we proposed to calculate for each EPM performance year the total Medicare Parts A and B expenditures in the 30-day period following completion of each EPM episode for all services covered under Medicare Parts A and B, regardless of whether the services are included in the proposed EPM episode definition (sections III.C.3. and III.C.4 of the proposed rule, </w:t>
      </w:r>
      <w:hyperlink r:id="rId9" w:history="1">
        <w:r>
          <w:rPr>
            <w:rFonts w:ascii="arial" w:eastAsia="arial" w:hAnsi="arial" w:cs="arial"/>
            <w:b w:val="0"/>
            <w:i/>
            <w:strike w:val="0"/>
            <w:noProof w:val="0"/>
            <w:color w:val="0077CC"/>
            <w:position w:val="0"/>
            <w:sz w:val="20"/>
            <w:u w:val="single"/>
            <w:vertAlign w:val="baseline"/>
          </w:rPr>
          <w:t>(81 FR 50829</w:t>
        </w:r>
      </w:hyperlink>
      <w:r>
        <w:rPr>
          <w:rFonts w:ascii="arial" w:eastAsia="arial" w:hAnsi="arial" w:cs="arial"/>
          <w:b w:val="0"/>
          <w:i w:val="0"/>
          <w:strike w:val="0"/>
          <w:noProof w:val="0"/>
          <w:color w:val="000000"/>
          <w:position w:val="0"/>
          <w:sz w:val="20"/>
          <w:u w:val="none"/>
          <w:vertAlign w:val="baseline"/>
        </w:rPr>
        <w:t xml:space="preserve"> through 50843). This proposal is consistent with our processes for BPCI Model 2 and the CJR model </w:t>
      </w:r>
      <w:hyperlink r:id="rId21" w:history="1">
        <w:r>
          <w:rPr>
            <w:rFonts w:ascii="arial" w:eastAsia="arial" w:hAnsi="arial" w:cs="arial"/>
            <w:b w:val="0"/>
            <w:i/>
            <w:strike w:val="0"/>
            <w:noProof w:val="0"/>
            <w:color w:val="0077CC"/>
            <w:position w:val="0"/>
            <w:sz w:val="20"/>
            <w:u w:val="single"/>
            <w:vertAlign w:val="baseline"/>
          </w:rPr>
          <w:t>(80 FR 73407</w:t>
        </w:r>
      </w:hyperlink>
      <w:r>
        <w:rPr>
          <w:rFonts w:ascii="arial" w:eastAsia="arial" w:hAnsi="arial" w:cs="arial"/>
          <w:b w:val="0"/>
          <w:i w:val="0"/>
          <w:strike w:val="0"/>
          <w:noProof w:val="0"/>
          <w:color w:val="000000"/>
          <w:position w:val="0"/>
          <w:sz w:val="20"/>
          <w:u w:val="none"/>
          <w:vertAlign w:val="baseline"/>
        </w:rPr>
        <w:t xml:space="preserve"> through 73408).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the post-episode spending calculation for a performance year would occur at the same time we performed the subsequent reconciliation calculation for that same year </w:t>
      </w:r>
      <w:hyperlink r:id="rId9" w:history="1">
        <w:r>
          <w:rPr>
            <w:rFonts w:ascii="arial" w:eastAsia="arial" w:hAnsi="arial" w:cs="arial"/>
            <w:b w:val="0"/>
            <w:i/>
            <w:strike w:val="0"/>
            <w:noProof w:val="0"/>
            <w:color w:val="0077CC"/>
            <w:position w:val="0"/>
            <w:sz w:val="20"/>
            <w:u w:val="single"/>
            <w:vertAlign w:val="baseline"/>
          </w:rPr>
          <w:t>(81 FR 50876</w:t>
        </w:r>
      </w:hyperlink>
      <w:r>
        <w:rPr>
          <w:rFonts w:ascii="arial" w:eastAsia="arial" w:hAnsi="arial" w:cs="arial"/>
          <w:b w:val="0"/>
          <w:i w:val="0"/>
          <w:strike w:val="0"/>
          <w:noProof w:val="0"/>
          <w:color w:val="000000"/>
          <w:position w:val="0"/>
          <w:sz w:val="20"/>
          <w:u w:val="none"/>
          <w:vertAlign w:val="baseline"/>
        </w:rPr>
        <w:t xml:space="preserve"> through 50877). We believe this timeframe would allow sufficient time for claims run out in order to set a reliable regional threshold for determining the post-episode spending. For example, we would conduct reconciliation for performance year 1 in the spring of 2018. The post-episode spending calculation for performance year 1 would occur during the next reconciliation process (spring 2019), when we conduct the subsequent reconciliation calculation for performance year 1 and account for overlap with other models and programs.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proposed calculation would include prorated payments for services that extend beyond the EPM episode as discussed in section III.D.3.c. of the proposed rule </w:t>
      </w:r>
      <w:hyperlink r:id="rId9" w:history="1">
        <w:r>
          <w:rPr>
            <w:rFonts w:ascii="arial" w:eastAsia="arial" w:hAnsi="arial" w:cs="arial"/>
            <w:b w:val="0"/>
            <w:i/>
            <w:strike w:val="0"/>
            <w:noProof w:val="0"/>
            <w:color w:val="0077CC"/>
            <w:position w:val="0"/>
            <w:sz w:val="20"/>
            <w:u w:val="single"/>
            <w:vertAlign w:val="baseline"/>
          </w:rPr>
          <w:t>(81 FR 50846).</w:t>
        </w:r>
      </w:hyperlink>
      <w:r>
        <w:rPr>
          <w:rFonts w:ascii="arial" w:eastAsia="arial" w:hAnsi="arial" w:cs="arial"/>
          <w:b w:val="0"/>
          <w:i w:val="0"/>
          <w:strike w:val="0"/>
          <w:noProof w:val="0"/>
          <w:color w:val="000000"/>
          <w:position w:val="0"/>
          <w:sz w:val="20"/>
          <w:u w:val="none"/>
          <w:vertAlign w:val="baseline"/>
        </w:rPr>
        <w:t xml:space="preserve"> Specifically, we would identify whether the average 30-day post-episode spending for an EPM participant in any given EPM performance year is greater than 3 standard deviations above the regional average 30-day post-episode spending, based on the 30-day post-episode spending for episodes attributed to all regional hospitals participating in the EPM in the same region as the EPM participant. We proposed that if the EPM participant's average post-episode spending exceeds this threshold, the EPM participant would repay Medicare for the amount that exceeds such threshold. We noted that, consistent with CJR, an EPM participant's responsibility for post-episode spending would not be subject to the stop-loss and stop-gain limits proposed in section III.D.7.b. and III.D.7.c.(1) of the proposed rule </w:t>
      </w:r>
      <w:hyperlink r:id="rId9" w:history="1">
        <w:r>
          <w:rPr>
            <w:rFonts w:ascii="arial" w:eastAsia="arial" w:hAnsi="arial" w:cs="arial"/>
            <w:b w:val="0"/>
            <w:i/>
            <w:strike w:val="0"/>
            <w:noProof w:val="0"/>
            <w:color w:val="0077CC"/>
            <w:position w:val="0"/>
            <w:sz w:val="20"/>
            <w:u w:val="single"/>
            <w:vertAlign w:val="baseline"/>
          </w:rPr>
          <w:t>(81 FR 50872</w:t>
        </w:r>
      </w:hyperlink>
      <w:r>
        <w:rPr>
          <w:rFonts w:ascii="arial" w:eastAsia="arial" w:hAnsi="arial" w:cs="arial"/>
          <w:b w:val="0"/>
          <w:i w:val="0"/>
          <w:strike w:val="0"/>
          <w:noProof w:val="0"/>
          <w:color w:val="000000"/>
          <w:position w:val="0"/>
          <w:sz w:val="20"/>
          <w:u w:val="none"/>
          <w:vertAlign w:val="baseline"/>
        </w:rPr>
        <w:t xml:space="preserve"> through 50875). Also, although we believed that cases in which an EPM participant would be responsible for repayment of post-episode spending that exceeds the threshold would be rare, our intention was to identify and hold EPM participants responsible for situations in which those participants have significantly increased spending on services in the 30 days following the end of an EPM episode in order to inappropriately shift services out of EPM episodes. This policy is consistent with our proposal for the CJR model in section V.D.1. of the proposed rule </w:t>
      </w:r>
      <w:hyperlink r:id="rId9" w:history="1">
        <w:r>
          <w:rPr>
            <w:rFonts w:ascii="arial" w:eastAsia="arial" w:hAnsi="arial" w:cs="arial"/>
            <w:b w:val="0"/>
            <w:i/>
            <w:strike w:val="0"/>
            <w:noProof w:val="0"/>
            <w:color w:val="0077CC"/>
            <w:position w:val="0"/>
            <w:sz w:val="20"/>
            <w:u w:val="single"/>
            <w:vertAlign w:val="baseline"/>
          </w:rPr>
          <w:t>(81 FR 50951</w:t>
        </w:r>
      </w:hyperlink>
      <w:r>
        <w:rPr>
          <w:rFonts w:ascii="arial" w:eastAsia="arial" w:hAnsi="arial" w:cs="arial"/>
          <w:b w:val="0"/>
          <w:i w:val="0"/>
          <w:strike w:val="0"/>
          <w:noProof w:val="0"/>
          <w:color w:val="000000"/>
          <w:position w:val="0"/>
          <w:sz w:val="20"/>
          <w:u w:val="none"/>
          <w:vertAlign w:val="baseline"/>
        </w:rPr>
        <w:t xml:space="preserve"> through 50952).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noted that based on our experience with BPCI, we have not found that this proposal, including our proposal to include all Medicare Parts A and B expenditures to measure 30-day post-episode spending, would inappropriately penalize EPM participants. To that end, however, we believed that our proposed threshold of 3 standard deviations above the regional average is a high threshold, and we only proposed that an EPM participant would repay Medicare for the amount that exceeds such threshold. We further noted that those EPM participants that are eligible for reconciliation payments in an EPM performance year and also have average 30-day post-episode spending that is higher than 3 standard deviations above the regional average 30-day post-episode spending would have their reconciliation payments reduced by the amount by which spending exceeds 3 standard deviations.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proposals to determine if a participant's post-episode spending 30 days after the end of an episode exceeds 3 standard deviations of average spending in their region for that period, and require those participants exceeding that threshold to repay Medicare for the </w:t>
      </w:r>
      <w:r>
        <w:rPr>
          <w:rFonts w:ascii="arial" w:eastAsia="arial" w:hAnsi="arial" w:cs="arial"/>
          <w:b/>
          <w:i w:val="0"/>
          <w:strike w:val="0"/>
          <w:noProof w:val="0"/>
          <w:color w:val="000000"/>
          <w:position w:val="0"/>
          <w:sz w:val="20"/>
          <w:u w:val="none"/>
          <w:vertAlign w:val="baseline"/>
        </w:rPr>
        <w:t> [*348] </w:t>
      </w:r>
      <w:r>
        <w:rPr>
          <w:rFonts w:ascii="arial" w:eastAsia="arial" w:hAnsi="arial" w:cs="arial"/>
          <w:b w:val="0"/>
          <w:i w:val="0"/>
          <w:strike w:val="0"/>
          <w:noProof w:val="0"/>
          <w:color w:val="000000"/>
          <w:position w:val="0"/>
          <w:sz w:val="20"/>
          <w:u w:val="none"/>
          <w:vertAlign w:val="baseline"/>
        </w:rPr>
        <w:t xml:space="preserve"> amounts in excess of 3 standard deviations were included in § 512.307(c). We sought comment on our proposals to determine if a participant exceeds this threshold and to repay amounts in excess of the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support for the proposal as it could help identify participants that withhold or delay medically necessary care until after an episode ends in order to reduce their actual episode spending. This commenter further suggested that CMS also implement a financial penalty for participants that are found to inappropriately delay beneficiaries'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in support of our proposal. As noted in section III.F.2. of this final rule, we have finalized various compliance tools for the EPMs that complement existing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prohibiting care stinting, provision of substandard care, or denial of medically necessary care. As discussed in section III.F.2., when an EPM participant or its related EPM collaborator, collaboration agent, or downstream collaboration agent engages in these noncompliant behaviors, CMS may take remedial action, including reducing or eliminating the EPM participant's reconciliation payment or reducing or eliminating the EPM participant's CR incentive payment amount. In addition, under circumstances where CMS has required a corrective action plan, the EPM participant owes a repayment amount to CMS, and the EPM participant fails to timely comply with the corrective action plan or is noncompliant with the EPM's requirements, CMS may add 25 percent to a repayment amount on an EPM participant's reconciliation report. We believe these tools and structure for the financial penalty is consistent with the request of the commenter.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viewed the proposal as unnecessary in light of other enforcement mechanisms to address hospitals that are willfully committing potential fraud and abuse or that the proposal effectively extends the episode duration from 90 to 120 days. One commenter stated that for cases where 30-day post-episode spending exceeded a certain threshold, these expenditures were likely necessary for treatment of a patient's clinical needs rather than representing an intentional delay in providing care to Medicare beneficiaries to game the system for greater financial rewards.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with the view that our proposal is unnecessary in light of other enforcement actions. We believe that our proposal in conjunction with our policies related to monitoring and enforcement actions is an appropriate means to discourage the occurrence of instances where access to high quality care might be impeded, and believe this deterrence is preferable to having to take enforcement actions subsequent to such an instance. We also do not agree with the comment that we are effectively extending episodes or that expenditures beyond our thresholds would typically be necessary for the care of a beneficiary. We also note that in the event that CMS identifies excessive post-episode spending at an EPM participant greater than 3 standard deviations above the regional average 30-day post-episode spending, the EPM participant will only be required to pay back the amount by which post-episode spending for episodes attributed to the EPM participant exceeds 3 standard deviations above the regional average 30-day post-episode spending. We note that this does not hold the EPM participant responsible for all post-episode spending as would be the case with 120 day episodes. Moreover, we believe that this threshold is sufficiently high to account for all clinically necessary care that would occur in the 30 days following an episode. As we noted in the CJR Final Rule </w:t>
      </w:r>
      <w:hyperlink r:id="rId21" w:history="1">
        <w:r>
          <w:rPr>
            <w:rFonts w:ascii="arial" w:eastAsia="arial" w:hAnsi="arial" w:cs="arial"/>
            <w:b w:val="0"/>
            <w:i/>
            <w:strike w:val="0"/>
            <w:noProof w:val="0"/>
            <w:color w:val="0077CC"/>
            <w:position w:val="0"/>
            <w:sz w:val="20"/>
            <w:u w:val="single"/>
            <w:vertAlign w:val="baseline"/>
          </w:rPr>
          <w:t>(80 FR 73407),</w:t>
        </w:r>
      </w:hyperlink>
      <w:r>
        <w:rPr>
          <w:rFonts w:ascii="arial" w:eastAsia="arial" w:hAnsi="arial" w:cs="arial"/>
          <w:b w:val="0"/>
          <w:i w:val="0"/>
          <w:strike w:val="0"/>
          <w:noProof w:val="0"/>
          <w:color w:val="000000"/>
          <w:position w:val="0"/>
          <w:sz w:val="20"/>
          <w:u w:val="none"/>
          <w:vertAlign w:val="baseline"/>
        </w:rPr>
        <w:t xml:space="preserve"> we believe that monitoring for 30 day post-episode spending is an appropriate tool to identify inappropriate shifts in car based on our experience with BPCI.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raised concerns that care or services that are excluded from or unrelated to an episode would be included in the calculation of post-episode spending and recommended that we exclude these services from post-episode payment calculations. One commenter requested that CMS identify care situations that are "unrelated" to the EPM episode diagnosis with regard to calculating post-episode spending costs.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we stated in the CJR Final Rule </w:t>
      </w:r>
      <w:hyperlink r:id="rId21" w:history="1">
        <w:r>
          <w:rPr>
            <w:rFonts w:ascii="arial" w:eastAsia="arial" w:hAnsi="arial" w:cs="arial"/>
            <w:b w:val="0"/>
            <w:i/>
            <w:strike w:val="0"/>
            <w:noProof w:val="0"/>
            <w:color w:val="0077CC"/>
            <w:position w:val="0"/>
            <w:sz w:val="20"/>
            <w:u w:val="single"/>
            <w:vertAlign w:val="baseline"/>
          </w:rPr>
          <w:t>(80 FR 73407),</w:t>
        </w:r>
      </w:hyperlink>
      <w:r>
        <w:rPr>
          <w:rFonts w:ascii="arial" w:eastAsia="arial" w:hAnsi="arial" w:cs="arial"/>
          <w:b w:val="0"/>
          <w:i w:val="0"/>
          <w:strike w:val="0"/>
          <w:noProof w:val="0"/>
          <w:color w:val="000000"/>
          <w:position w:val="0"/>
          <w:sz w:val="20"/>
          <w:u w:val="none"/>
          <w:vertAlign w:val="baseline"/>
        </w:rPr>
        <w:t xml:space="preserve"> we disagree that we should exclude the same set of services that are excluded from the episode definition in the 30 day post-episode spending calculations because of concerns that the models could lead to shifting of both related and unrelated (those not included in the episode definition) services due to some providers encouraging delays of services for beneficiaries that are not immediately necessary, without discriminating between those services that are in and out of the episode definition. Additionally, our experience with BPCI that similarly includes all costs when monitoring for 30 day post-episode spending has helped to inform our policy for the CJR and the proposed EPMs. Based on our experience with BPCI, we have not found that by including all costs to measure 30 day post-episode spending, that we are inappropriately penalizing hospitals. While we understand commenters' concerns that hospitals could be held responsible for high cost conditions that are not included in the episode definition, our policy aims to strike a balance to hold participating hospitals accountable for inappropriate shifts or delays in care and to provide hospitals with safeguards on financial risk for 30-day post-episode spending. Thus, we have set a high threshold where only hospitals that have a 30-day post-episode spending average that is 3 standard deviations above the regional average would be subject to repay that difference to Medicare, and in the case where the hospital's average 30-day post-episode spending exceeds regional average 30-day post-episode spending, the participant would repay Medicare for the amount that exceeds such threshold.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opposed the proposal to exclude post-episode spending from the stop-loss for the proposed EPM models in part because they viewed the provision overall as unnecessary and because of potential harm to those hospitals that might result.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established the stop-loss policy to account for clinical variation or other high expenditures that are not accounted for by the target price methodology, which is not directly comparable to excessive spending that occurs during the 30 days after an episode. We believe that the post-episode spending policy sets a sufficiently high threshold to identify situations with clear increases in post-episode spending due to shifting of services to maximize financial gain under the EPMs, and thus that the stop-loss policy should not apply to any potential amount that an EPM participant owes CMS under the post-episode spending policy.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determine if a participant's post-episode spending 30 days after the end of an episode exceeds 3 standard deviations of average spending in their region for that period, and require those participants exceeding that threshold to repay Medicare for the amounts in excess of 3 standard </w:t>
      </w:r>
      <w:r>
        <w:rPr>
          <w:rFonts w:ascii="arial" w:eastAsia="arial" w:hAnsi="arial" w:cs="arial"/>
          <w:b/>
          <w:i w:val="0"/>
          <w:strike w:val="0"/>
          <w:noProof w:val="0"/>
          <w:color w:val="000000"/>
          <w:position w:val="0"/>
          <w:sz w:val="20"/>
          <w:u w:val="none"/>
          <w:vertAlign w:val="baseline"/>
        </w:rPr>
        <w:t> [*349] </w:t>
      </w:r>
      <w:r>
        <w:rPr>
          <w:rFonts w:ascii="arial" w:eastAsia="arial" w:hAnsi="arial" w:cs="arial"/>
          <w:b w:val="0"/>
          <w:i w:val="0"/>
          <w:strike w:val="0"/>
          <w:noProof w:val="0"/>
          <w:color w:val="000000"/>
          <w:position w:val="0"/>
          <w:sz w:val="20"/>
          <w:u w:val="none"/>
          <w:vertAlign w:val="baseline"/>
        </w:rPr>
        <w:t xml:space="preserve"> deviations. Our final policy for this is included at VII.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Collection of Information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Appeals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BPCI initiative and CJR model, we proposed to institute appeals processes for the EPMs that would allow EPM participants to appeal matters related to payment, such as CR incentive payments, reconciliation amounts, repayment amounts, determinations associated with quality measures affecting payment (the use of quality measure results in determining the composite quality score, or the application of the composite quality score during reconciliation) as well as non-payment related issues, such as enforcement matters. These matters are discussed respectively throughout section III.D. and III.F.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the proposal to institute appeals processes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requested clarification on how CMS will handle an EPM participant's appeal of a potential calculation error when the beneficiary has substance abuse and/or behavioral health claims which cannot be shared with the EPM participant. The commenter expressed concern regarding the balance between privacy restrictions around substance abuse and behavioral health claims and information that is provided to EPM participants in order to verify the calculations. The commenter stated that EPM participants will have to assume CMS has performed all calculations correctly, and as this is not a desirable situation, according to the commenter, the commenter recommended CMS exclude these claims from the episode calculation or provide the information to the EPM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appreciate the commenters' position, we believe that the inclusion of these substance use disorder claims in the episode target and actual price calculations is necessary for accurately pricing the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 to exclude this information from the claims shared with model participants is consistent with our usual treatment of these data with other similar CMS programs and models where providers must take on risk in managing the care of their beneficiaries, such as the Shared Savings Program, BPCI and the CJR model. We would note that, based on our experience to date, we are unaware of this policy being a significant impediment to the operations of these efforts. We do understand that by not receiving this data, EPM participants are unable to fully verify the accuracy of CMS' calculations. However, as these claims typically represent less than 0.1 percent of episode spending (based on an analysis of 2015/2016 claims data used in current BPCI episodes) we do not believe their exclusion from the data that we provide to participants will produce material differences in the replication of target/actual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Section 1115A of the Act does not authorize the waiver of the requirements under 42 CFR part 2 which govern the release of substance use disorder claims. We note, though, that we may be able to share these claims with participants in the near future based on proposals outlined in the Confidentiality of Substance Use Disorder Patient Records proposed rule published to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by SAMHSA on February 9, 2016 </w:t>
      </w:r>
      <w:hyperlink r:id="rId65" w:history="1">
        <w:r>
          <w:rPr>
            <w:rFonts w:ascii="arial" w:eastAsia="arial" w:hAnsi="arial" w:cs="arial"/>
            <w:b w:val="0"/>
            <w:i/>
            <w:strike w:val="0"/>
            <w:noProof w:val="0"/>
            <w:color w:val="0077CC"/>
            <w:position w:val="0"/>
            <w:sz w:val="20"/>
            <w:u w:val="single"/>
            <w:vertAlign w:val="baseline"/>
          </w:rPr>
          <w:t>(81 FR 6987),</w:t>
        </w:r>
      </w:hyperlink>
      <w:r>
        <w:rPr>
          <w:rFonts w:ascii="arial" w:eastAsia="arial" w:hAnsi="arial" w:cs="arial"/>
          <w:b w:val="0"/>
          <w:i w:val="0"/>
          <w:strike w:val="0"/>
          <w:noProof w:val="0"/>
          <w:color w:val="000000"/>
          <w:position w:val="0"/>
          <w:sz w:val="20"/>
          <w:u w:val="none"/>
          <w:vertAlign w:val="baseline"/>
        </w:rPr>
        <w:t xml:space="preserve"> which updates the 42 CFR part 2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(referred to hereafter as the Part 2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 the confidentiality of substance use disorder records. Significant changes have occurred within the U.S. health care system that were not envisioned by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new models of integrated care that are built on a foundation of information sharing to support coordination of patient care, the development of an electronic infrastructure for managing and exchanging patient information, and a new focus on performance measurement within the health care system. In the proposed rule, SAMHSA states that it strives to facilitate information exchange within new health care models while addressing the legitimate privacy concerns of patients seeking treatment for a substance use disorder.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2.53 of the proposed rule, SAMHSA also proposes to permit the disclosure of Part 2 data necessary to a regulated ACO or similar CMS-regulated organization (including a CMS-regulated Qualified Entity (QE)) for a Medicare, Medicaid, Children's Health Insurance Program (CHIP), or related audit or evaluation, under certain conditions. As such, should this SAMHSA proposal become final, EPM participants would be considered CMS-regulated Qualified Entities and would be able to receive this data pursuant to this audit and evaluation exception.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will continue to consider the feasibility of making de-identified aggregate substance use disorder data available in a way that is both meaningful to EPM participants and in compliance with the Part 2 Rule. This issue is discussed in further detail in the data sharing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expressed concern regarding the data files and reconciliation reports received from the contractors administering our programs based on their experiences thus far with BPCI and CJR. Commenters stated the monthly data feeds from CMS regularly omit data elements that are used by the contractor to identify and reconcile episodes to target prices. Specifically, commenters stated that the master beneficiary files contained errors in the DOD and MSCD 1-12 fields. These fields either contained inaccurate or missing information. Commenters stated without these data elements, it is impossible to replicate the reconciliation results calculated by CMS. Participants are left to assume the contractor's calculations are accurate. Commenters stated that the ability to replicate the reconciliation results helps maintain a transparent and open relationship among the EPM participants, CMS, and CMS' contractor. Commenters also recommended CMS provide a mechanism for EPM participants to challenge and correct payment results that are not accurate. Commenters request the ability to provide evidence contradicting errors. Commenters stated currently there is no process or data system in place for this function. Commenters stated that the lack of a feedback loop will be an increasingly critical barrier to participation as the current system has been known to make errors.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We understand commenters' concern regarding missing data elements but we note that some of these elements are deliberately excluded in compliance with the constraints of 42 CFR part 2 and we are currently unable to provide such data. However, the comment response discussed previously outlines the potential changes that may be forthcoming regarding the data sharing constraints in 42 CFR part 2. Regarding the master beneficiary files that contained errors in the DOD and MSCD 1-12 fields, CMS will work with their contractors to insure that the data provided is accurate. We appreciate the feedback regarding these operational concerns and we will work with the EPM payment contractor to establish a tracking and feedback process for participants to ask questions of CMS regarding payment calculations and potential incorrect amounts and be provided more detailed information regarding their reconciliation report and calculation error reports for the EPM models. </w:t>
      </w:r>
      <w:r>
        <w:rPr>
          <w:rFonts w:ascii="arial" w:eastAsia="arial" w:hAnsi="arial" w:cs="arial"/>
          <w:b/>
          <w:i w:val="0"/>
          <w:strike w:val="0"/>
          <w:noProof w:val="0"/>
          <w:color w:val="000000"/>
          <w:position w:val="0"/>
          <w:sz w:val="20"/>
          <w:u w:val="none"/>
          <w:vertAlign w:val="baseline"/>
        </w:rPr>
        <w:t> [*350]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recommended that CMS change the time period to recoup monies owed to CMS from EPM participants from 30 days to 60 days from the issuance of the Reconciliation Report.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the comment. However, because the operational processes used in payment/recoupment actions are part of a standard system that operates across multiple models, including BPCI and CJR, as well as standard FFS operational timelines, we are unable to accommodate a system change and the recoupment time frame will be finalized at 30 days.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Notice of Calculation Error (First Level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following calculation error process for EPM participants to contest matters related to payment or reconciliation, of which the following is a non-exhaustive list: The calculation of the EPM participant's reconciliation amount or repayment amount as reflected in the reconciliation report; the calculation of the EPM participant's CR incentive payment as reflected in the CR incentive payment report; the calculation of NPRA; the use of quality measure results in determining the composite quality score, or the application of the composite quality score during reconciliation; and the successful reporting of the voluntary PRO THA/TKA data. EPM participants would review their reconciliation report and CR incentive payment report and be required to provide written notice of any error, in a calculation error form that must be submitted in a form and manner specified by CMS. Unless the EPM participant provides such notice, the reconciliation report and CR incentive report would be deemed final within 45 calendar days after it is issued, and CMS would proceed with payment or repayment. If CMS receives a timely notice of an error in the calculation, CMS would respond in writing within 30 calendar days to either confirm or refute the calculation error, although CMS would reserve the right to an extension upon written notice to the participant. We proposed that if an EPM participant does not submit timely notice of a calculation error, that is notice within 45 calendar days of the issuance of the reconciliation report and CR incentive payment report, the EPM participant would be precluded from later contesting any of the following matters contained in the reconciliation report or CR incentive payment report for that performance year; any matter involving the calculation of the EPM participant's reconciliation amount or repayment amount as reflected in the reconciliation report; any matter involving the calculation of the EPM participant's CR incentive payment as reflected in the CR incentive payment report; any matter involving the calculation of NPRA; the use of quality measure results in determining the composite quality score, or the application of the composite quality score during reconciliation; and the successful reporting of the voluntary PRO THA/TKA data. Given that EPM participants bear the financial risk in the EPM model, we proposed that only EPM participants might use the dispute resolution process described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proposed the following requirements in § 512.310 (a) for notice of calculation error:</w:t>
      </w:r>
    </w:p>
    <w:p>
      <w:pPr>
        <w:keepNext w:val="0"/>
        <w:numPr>
          <w:numId w:val="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the limitations on review in subpart D of this part, if an EPM participant wishes to dispute the calculation that involves a matter related to payment, a CR incentive payment, reconciliation amounts, repayment amounts, or determinations associated with quality measures affecting payment, the EPM participant is required to provide timely written notice of the calculation error, in a form and manner specified by CMS.</w:t>
      </w:r>
    </w:p>
    <w:p>
      <w:pPr>
        <w:keepNext w:val="0"/>
        <w:numPr>
          <w:numId w:val="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the EPM participant provides such notice, CMS deems final the reconciliation report and CR incentive payment report 45 calendar days after the reconciliation report or CR incentive payment report is issued and proceeds with the payment or repayment processes as applicable.</w:t>
      </w:r>
    </w:p>
    <w:p>
      <w:pPr>
        <w:keepNext w:val="0"/>
        <w:numPr>
          <w:numId w:val="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receives a notice of a calculation error within 45 calendar days of the issuance of the reconciliation report or CR incentive payment report, CMS responds in writing within 30 calendar days to either confirm that there was an error in the calculation or verify that the calculation is correct, although CMS reserves the right to an extension upon written notice to the EPM participant.</w:t>
      </w:r>
    </w:p>
    <w:p>
      <w:pPr>
        <w:keepNext w:val="0"/>
        <w:numPr>
          <w:numId w:val="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Only EPM participants may use the notice of calculation error process described in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the proposed notice of calculation error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recommended development of a fair and transparent process for providers to appeal reconciliation report information. Commenters stated EPM participants must be given adequate notice that their reconciliation reports are available, and must be provided with sufficient time to review their data. Commenters stated that, in many cases, the reconciliation reports may need to be reviewed by multiple providers at multiple locations, including both EPM participants and post-acute care providers. Commenters recommended that in order for EPM participants to access, review, and contest data in 45 days, they would be required to ignore the demands of patient care and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priorities providers face on a daily basis. Commenters recommended extending the appeals process to no less than 90 days. A commenter suggested the appeal process be extended to 90 days for at least the first 2 performance years. Another commenter recommend that the 45 days for hospitals to provide written notice of error should not begin until it is mutually agreed upon by the contractor and stated hospital that a complete report, which includes all data elements used by the contractor to identify and reconcile episodes to target prices, has been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disagreed that a reconciliation would be considered final if a notice is not provided in the time window. Commenters stated that they understood that there must be a timeframe to finalize these payments and that a disputed amount cannot be brought forth for an indefinite amount of time. However, commenters also stated that it is important for EPM participants to have an opportunity to submit a notice for substantial errors over a longer period of time. Commenters suggested that for submitted participant-caused errors that are greater than 20 percent of the payment amount, a 180-day window should be allowed. Due to the size of the potential error, commenters stated that EPM participants may require additional time to gather the necessary information and conduct the appropriate analysis to provide to CMS stating the rationale for their request. Commenters stated that many EPM participants will be new to the EPMs and this recommendation is an important safeguard for potential "large ticket" errors. Commenters concurred with CMS' proposal to provide a response within 30 days of receiving a request, including CMS reserving the right to an extension of that 30 days if CMS provides this notice to participants in writing.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these comments and are sympathetic to the requests from commenters for more time to submit a notice of calculation error. </w:t>
      </w:r>
      <w:r>
        <w:rPr>
          <w:rFonts w:ascii="arial" w:eastAsia="arial" w:hAnsi="arial" w:cs="arial"/>
          <w:b/>
          <w:i w:val="0"/>
          <w:strike w:val="0"/>
          <w:noProof w:val="0"/>
          <w:color w:val="000000"/>
          <w:position w:val="0"/>
          <w:sz w:val="20"/>
          <w:u w:val="none"/>
          <w:vertAlign w:val="baseline"/>
        </w:rPr>
        <w:t> [*351] </w:t>
      </w:r>
      <w:r>
        <w:rPr>
          <w:rFonts w:ascii="arial" w:eastAsia="arial" w:hAnsi="arial" w:cs="arial"/>
          <w:b w:val="0"/>
          <w:i w:val="0"/>
          <w:strike w:val="0"/>
          <w:noProof w:val="0"/>
          <w:color w:val="000000"/>
          <w:position w:val="0"/>
          <w:sz w:val="20"/>
          <w:u w:val="none"/>
          <w:vertAlign w:val="baseline"/>
        </w:rPr>
        <w:t xml:space="preserve"> However, we are also conscious of the need to distribute funds to providers with positive NPRAs in a timely fashion and the payment/reconciliation disbursement/recoupment system is designed such that no funds can be released until notices of calculation errors are received by CMS. In balancing these needs, consistent with our rationale in the CJR model, we believe that 45 days is sufficient time for EPM participants to review reconciliation reports, and if they choose, to submit notices of calculation error. We believe that 45 days is the appropriate timeframe to allow for this process, as it allows for a reasonable time to review reconciliation reports and does not seriously delay payment of reconciliation payments. Specifically, CMS currently uses the following established operational procedures for appeals in both BPCI and CJR that we are finalizing in section III.D.8.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procedures for processing and issuing reconciliation payments and repayments require that we submit the payment files for EPM participants to the payment systems in batches. CMS uses this batch processing method for several reasons. It is administratively more efficient to continue to use MACs to issue payments to all providers and suppliers that furnish services to beneficiaries during an EPM, so as not to disrupt the timing of FFS payments that providers and suppliers normally receive. For reconciliation payments and repayments, CMS has developed and implemented a process for handling these payments, which is already in use for other CMS models. This current process is the result of a substantial number of infrastructure changes to payment and recoupment procedures that were made over a period of several years. As a result, we believe it is appropriate to utilize those processes for the EPMs, given that the challenges associated with establishing these processes, as well as the fact that they were created for other CMS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 of these processes is that the batches are sent at specified intervals. The first batch is sent after the calculation error timeframe closes. The second batch is sent after CMS has responded to the notices of calculation error of EPM participants and those EPM participants choose to not proceed with the dispute resolution process detailed in section III.D.8.c. of this final rule. The final batch is sent after CMS has adjudicated all of the reconsideration reviews for those participants that selected to utilize the dispute resolution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these established operating processes, any extension in the timeframe allowed for submission of notices of calculation error delays payment not only to EPM participants that choose to utilize the calculation error and dispute resolution processes, but also those EPM participants that choose not to engage in these processes. Historically, 90 percent of BPCI awardees do not file a notice of calculation error form. As such, we believe the need for extending the deadline for submission of notices of calculation error should be balanced with CMS' goal to issue reconciliation payments and repayments promptly, as an extension for these submissions would delay the processing of reconciliation payments for all participants for a significant period of time. EPM participants have stated these monies will be used for implementing both IT and care redesign. We believe that an extension beyond the 45 days proposed would cause undue burden on non-appealing EPM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considered the commenters' requests to extend the time frame for notice of participant-caused errors that are greater than 20 percent of the payment amount to 90 or 180 days, but we rejected these recommendations because we note that the calculation error form represents the first step in a two-step appeals process. Where an EPM participant submits a calculation form and is dissatisfied with CMS' response, the dispute resolution option is available to the EPM participant via a reconsideration review request. Upon receipt of a reconsideration review request, the date of such a review would be scheduled by CMS approximately 115 days from the issue date of the reconciliation report. Thus, we believe that the option for reconsideration review, at a much later date, provides EPM participants with adequate additional time to analyze the data on reconciliation reports, that a 90 or 180 day submission deadline for the calculation error form is unnecessary. Finally, we believe the 45 days appropriately balances the goal of CMS to process reconciliation payments on a timely basis with the needs of EPM participants to have adequate time to review their reconciliation reports and submit notices of calculation error.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to allow 45 days for participants to advise CMS of errors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Dispute Resolution Process (Second Level of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following dispute resolution process. First, we proposed that only an EPM participant may utilize the dispute resolution process. Second, in order to access the dispute resolution process a participant must have timely submitted a calculation error form, as previously discussed, for any matters related to payment. We proposed these matters would include any amount or calculation indicated on a reconciliation report or CR incentive payment report, including calculations not specifically reflected on a reconciliation report or CR incentive payment report but which generated figures or amounts reflected on a reconciliation report or a CR incentive payment report. The following is a non-exhaustive list of the matters that we proposed would need to be first adjudicated by the calculation error process as previously detailed: Calculations of reconciliation or repayment amounts; calculation of CR incentive payment amounts; calculations of NPRA; and any calculations or percentile distribution involving quality measures that we proposed that could affect reconciliation or repayment amounts. If an EPM participant wants to engage in the dispute resolution process with regard to one of these matters, we proposed it would first need to submit a calculation error form. Where the EPM participant does not timely submit a calculation error form, we proposed the dispute resolution process would not be available to the EPM participant with regard to those matters for the reconciliation report or CR incentive payment report for that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EPM participant did timely submit a calculation error form and the EPM participant is dissatisfied with CMS' response to the EPM participant's notice of calculation error, the EPM participant would be permitted to request reconsideration review by a CMS reconsideration official. The reconsideration review request would be submitted in a form and manner and to an individual or office specified by CMS. The reconsideration review request would provide a detailed explanation of the basis for the dispute and include supporting documentation for the EPM participant's assertion that CMS or its representatives did not accurately calculate the NPRA, the CR incentive payment, or post-episode spending amount in accordance with EPM rules. The following is a non- </w:t>
      </w:r>
      <w:r>
        <w:rPr>
          <w:rFonts w:ascii="arial" w:eastAsia="arial" w:hAnsi="arial" w:cs="arial"/>
          <w:b/>
          <w:i w:val="0"/>
          <w:strike w:val="0"/>
          <w:noProof w:val="0"/>
          <w:color w:val="000000"/>
          <w:position w:val="0"/>
          <w:sz w:val="20"/>
          <w:u w:val="none"/>
          <w:vertAlign w:val="baseline"/>
        </w:rPr>
        <w:t> [*352] </w:t>
      </w:r>
      <w:r>
        <w:rPr>
          <w:rFonts w:ascii="arial" w:eastAsia="arial" w:hAnsi="arial" w:cs="arial"/>
          <w:b w:val="0"/>
          <w:i w:val="0"/>
          <w:strike w:val="0"/>
          <w:noProof w:val="0"/>
          <w:color w:val="000000"/>
          <w:position w:val="0"/>
          <w:sz w:val="20"/>
          <w:u w:val="none"/>
          <w:vertAlign w:val="baseline"/>
        </w:rPr>
        <w:t xml:space="preserve"> exhaustive list of representative payment matters:</w:t>
      </w: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Calculations of NPRA, calculations of the CR incentive payment, post-episode spending amount, target prices or any items listed on a reconciliation report or CR incentive payment report.</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use of quality measure results in determining the composite quality score, the application of the composite quality score during reconciliation, or the successful reporting of the voluntary PRO THA/TKA data.</w:t>
      </w:r>
    </w:p>
    <w:p>
      <w:pPr>
        <w:keepNext w:val="0"/>
        <w:numPr>
          <w:numId w:val="3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contestation based on the grounds that CMS or its representative made an error in calculating or recording such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matter is unrelated to payment, such as termination from the model, we proposed that the EPM participant need not submit a calculation error form. We proposed to require the EPM participant to timely submit a request for reconsideration review, in a form and manner to be determined by CMS. Where such a request is timely received, we proposed CMS would process the request as discussed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reconsideration review would be an on-the-record review (a review of briefs and evidence only). The CMS reconsideration official would make reasonable efforts to notify the EPM participant in writing within 15 calendar days of receiving the EPM participant's reconsideration review request of the date and time of the review, the issues in dispute, the review procedures, and the procedures (including format and deadlines) for submission of evidence (the "Scheduling Notice"). The CMS reconsideration official would make reasonable efforts to schedule the review to occur no later than 30 days after the date of the Scheduling Notice. The provisions at § 425.804(b), (c), and (e) (as in effect on the publication date of this final rule) would apply to reviews conducted pursuant to the reconsideration review process for EPM. The CMS reconsideration official would make reasonable efforts to issue a written determination within 30 days of the review. The determination would be final and binding.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solicited comment on our proposals related to appeals rights under this model. The two-step appeal process for payment matters--(1) calculation error form, and (2) reconsideration review--is used broadly in other CMS models. We sought comment on whether we should develop an alternative appeal process. We are also interested in whether there should be appeal rights for reductions or eliminations of NPRA as a result of enforcement actions, as discussed in section III.F. of the proposed rule, and if so, whether the process for such appeals should differ from the processes proposed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proposed the following requirements in § 512.310(b) for the reconsideration process:</w:t>
      </w:r>
    </w:p>
    <w:p>
      <w:pPr>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EPM participant is dissatisfied with CMS' response to the notice of a calculation error, the EPM participant may request a reconsideration review in a form and manner as specified by CMS.</w:t>
      </w:r>
    </w:p>
    <w:p>
      <w:pPr>
        <w:keepNext w:val="0"/>
        <w:numPr>
          <w:numId w:val="3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reconsideration request must provide a detailed explanation of the basis for the dispute and include supporting documentation for the EPM participant's assertion that CMS or its representatives did not accurately calculate the NPRA, the reconciliation payment, the CR incentive payment or the repayment amount in accordance with subpart D of this part.</w:t>
      </w:r>
    </w:p>
    <w:p>
      <w:pPr>
        <w:keepNext w:val="0"/>
        <w:numPr>
          <w:numId w:val="3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does not receive a request for reconsideration from the EPM participant within 10 calendar days of the issue date of CMS' response to the EPM participant's notice of calculation error, then CMS' response to the calculation error is deemed final and CMS proceeds with reconciliation payment or repayment processes, as applicable, as described in § 512.305.</w:t>
      </w:r>
    </w:p>
    <w:p>
      <w:pPr>
        <w:keepNext w:val="0"/>
        <w:numPr>
          <w:numId w:val="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CMS reconsideration official notifies the EPM participant in writing within 15 calendar days of receiving the EPM participant's review request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date, time, and location of the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issues in dispute.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review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procedures (including format and deadlines) for submission of evidence.</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CMS reconsideration official takes all reasonable efforts to schedule the review to occur no later than 30 days after the date of receipt of notification.</w:t>
      </w:r>
    </w:p>
    <w:p>
      <w:pPr>
        <w:keepNext w:val="0"/>
        <w:numPr>
          <w:numId w:val="3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provisions at § 425.804(b), (c), and (e) of this chapter are applicable to reviews conducted in accordance with the reconsideration review process for the EPM.</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CMS reconsideration official issues a written determination within 30 days of the review. The determination is final and binding.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EPM participants may utilize the dispute resolution process described in this subpart. We sought comment on the proposed reconsideration process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were concerned with the timing proposed in the second level appeal to submit a reconsideration request, arguing 10 calendar days is insufficient. Commenters stated that 10 calendar days is grossly inadequate for providers to analyze and seek any necessary clarification from CMS on the response, to conduct any further necessary analysis and to submit the reconsideration request. Commenters stated that the timeframe should be no less than 60 calendar days. Commenters believed this should provide sufficient time for providers to gather the necessary information and make the request. Commenters also stated that this extension accounts for other timing issues, such as holidays, that do not make 10 calendar days reasonable. Commenters also criticized the proposal regarding timeframes required for CMS responses, arguing these are not firm timeframes and that they are contradictory to those timeframes that CMS is proposing to implement for EPM participants. Commenters stated that while CMS states they will make every reasonable effort to meet these timeframes, there are no proposed consequences to CMS should they not meet them.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these comments and are sympathetic to the requests from commenters for more time to resubmit a reconsideration request. However, we believe that a longer timeframe for submission of the reconsideration request is not appropriate for the EPMs. We note the EPM participant must make the request within this timeframe and provide an explanation of the basis of the dispute. CMS will make all reasonable efforts to schedule the review to occur no later than 30 days after the date of receipt of the notification. This rule does not prevent an EPM participant from supplying supplemental documentation after they submit the request to support their basis. As such we believe that 10 days to make the request is sufficient since this deadline requires only that the EPM participant submit the request and an explanation of the basis for the dispute. Upon submitting the request for dispute resolution, the rule allows the EPM participant to submit additional supporting documentation in the interim period prior to the final review by the CMS reconsideration official.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Exception to the Notice of Calculation Error Process and Notice of Termination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CJR model and BPCI initiative, if the EPM participant </w:t>
      </w:r>
      <w:r>
        <w:rPr>
          <w:rFonts w:ascii="arial" w:eastAsia="arial" w:hAnsi="arial" w:cs="arial"/>
          <w:b/>
          <w:i w:val="0"/>
          <w:strike w:val="0"/>
          <w:noProof w:val="0"/>
          <w:color w:val="000000"/>
          <w:position w:val="0"/>
          <w:sz w:val="20"/>
          <w:u w:val="none"/>
          <w:vertAlign w:val="baseline"/>
        </w:rPr>
        <w:t> [*353] </w:t>
      </w:r>
      <w:r>
        <w:rPr>
          <w:rFonts w:ascii="arial" w:eastAsia="arial" w:hAnsi="arial" w:cs="arial"/>
          <w:b w:val="0"/>
          <w:i w:val="0"/>
          <w:strike w:val="0"/>
          <w:noProof w:val="0"/>
          <w:color w:val="000000"/>
          <w:position w:val="0"/>
          <w:sz w:val="20"/>
          <w:u w:val="none"/>
          <w:vertAlign w:val="baseline"/>
        </w:rPr>
        <w:t xml:space="preserve"> contests a matter that does not involve an issue contained in, or a calculation which contributes to, an EPM reconciliation report or a CR incentive report, a notice of calculation error is not required. Consistent with III.D.8(c) in the proposed rule </w:t>
      </w:r>
      <w:hyperlink r:id="rId9" w:history="1">
        <w:r>
          <w:rPr>
            <w:rFonts w:ascii="arial" w:eastAsia="arial" w:hAnsi="arial" w:cs="arial"/>
            <w:b w:val="0"/>
            <w:i/>
            <w:strike w:val="0"/>
            <w:noProof w:val="0"/>
            <w:color w:val="0077CC"/>
            <w:position w:val="0"/>
            <w:sz w:val="20"/>
            <w:u w:val="single"/>
            <w:vertAlign w:val="baseline"/>
          </w:rPr>
          <w:t>(81 FR 50878),</w:t>
        </w:r>
      </w:hyperlink>
      <w:r>
        <w:rPr>
          <w:rFonts w:ascii="arial" w:eastAsia="arial" w:hAnsi="arial" w:cs="arial"/>
          <w:b w:val="0"/>
          <w:i w:val="0"/>
          <w:strike w:val="0"/>
          <w:noProof w:val="0"/>
          <w:color w:val="000000"/>
          <w:position w:val="0"/>
          <w:sz w:val="20"/>
          <w:u w:val="none"/>
          <w:vertAlign w:val="baseline"/>
        </w:rPr>
        <w:t xml:space="preserve"> in instances where a notice of calculation error is not required, for example an EPM participant's termination from the EPM, we proposed the EPM participant provide a written notice to CMS requesting review within 10 calendar days of the notice. CMS has 30 days to respond to the EPM participant's request for review. If the EPM participant fails to notify CMS, the decision is deemed final.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proposed the following requirements in § 512.310(c) for an exception to the notice of calculation error process:</w:t>
      </w:r>
    </w:p>
    <w:p>
      <w:pPr>
        <w:keepNext w:val="0"/>
        <w:numPr>
          <w:numId w:val="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EPM participant contests a matter that does not involve an issue contained in, or a calculation which contributes to a reconciliation report or CR incentive payment report, a notice of calculation error is not required. In these instances, if CMS does not receive a request for reconsideration from the EPM participant within 10 calendar days of the notice of the initial determination, the initial determination is deemed final and CMS proceeds with the action indicated in the initial determination. This does not apply to the limitations on review in sub-paragraph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proposed the following requirements in § 512.310(d) for notice of termination:</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EPM participant receives notification that it has been terminated from the EPM and wishes to appeal such termination, it must provide a written notice to CMS requesting review of the termination within 10 calendar days of the notice. CMS has 30 days to respond to the EPM participant's request for review. If the participant fails to notify CMS, the termination is deemed final.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the proposed exception to the notice of calculation error process and notice of 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CMS did not receive any comments regarding this section. Therefore, we are finalizing the proposal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Limitations on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proposed the following requirements in § 512.310 (e) for limitations on review:</w:t>
      </w:r>
    </w:p>
    <w:p>
      <w:pPr>
        <w:keepNext w:val="0"/>
        <w:numPr>
          <w:numId w:val="3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section 1115A(d)(2) of the Act, there is no administrative or judicial review under sections 1869 or 1878 of the Act or otherwise for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selection of models for testing or expansion under section 1115A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selection of organizations, sites, or participants to test those models selected.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elements, parameters, scope, and duration of such models for testing or dissemination.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Determinations regarding budget neutrality under section 1115A(b)(3)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termination or modification of the design and implementation of a model under section 1115A(b)(3)(B) of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Decisions to expand the duration and scope of a model under section 1115A(c) of the Act, including the determination that a model is not expected to meet criteria described in paragraph (e)(1) or (2)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the proposed limitations on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CMS did not receive any comments on this section. Therefore, we are finalizing the proposal without modification.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EPM Quality Measures, Public Display, and Use of Quality Measures in the EPM Payment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CJR model final rule, Medicare payment policy has moved away from FFS payments unlinked to quality and towards payments that are linked to quality of care </w:t>
      </w:r>
      <w:hyperlink r:id="rId21" w:history="1">
        <w:r>
          <w:rPr>
            <w:rFonts w:ascii="arial" w:eastAsia="arial" w:hAnsi="arial" w:cs="arial"/>
            <w:b w:val="0"/>
            <w:i/>
            <w:strike w:val="0"/>
            <w:noProof w:val="0"/>
            <w:color w:val="0077CC"/>
            <w:position w:val="0"/>
            <w:sz w:val="20"/>
            <w:u w:val="single"/>
            <w:vertAlign w:val="baseline"/>
          </w:rPr>
          <w:t>(80 FR 73358).</w:t>
        </w:r>
      </w:hyperlink>
      <w:r>
        <w:rPr>
          <w:rFonts w:ascii="arial" w:eastAsia="arial" w:hAnsi="arial" w:cs="arial"/>
          <w:b w:val="0"/>
          <w:i w:val="0"/>
          <w:strike w:val="0"/>
          <w:noProof w:val="0"/>
          <w:color w:val="000000"/>
          <w:position w:val="0"/>
          <w:sz w:val="20"/>
          <w:u w:val="none"/>
          <w:vertAlign w:val="baseline"/>
        </w:rPr>
        <w:t xml:space="preserve"> Through the Medicare Modernization Act and the Affordable Care Act, we have implemented specific IPPS programs like the HIQR Program (section 1886(b)(3)(B) of the Act), the HVBP Program (subsection (o) of section 1886), the Hospital Acquired Condition Reduction Program (HACRP) (subsection (q) of section 1886), and the Hospital Readmissions Reduction Program (HRRP) (subsection (p) of section 1886), where quality of care is linked to payment. We have also implemented the Shared Savings Program, an ACO program that links shared savings payment to quality performance. The CJR model similarly incorporates pay-for-performance through the potential for financial reward to participants based on the hospital's level of quality performance, while also including an incentive for quality improvement if the hospital's current level of quality is relatively low </w:t>
      </w:r>
      <w:hyperlink r:id="rId21" w:history="1">
        <w:r>
          <w:rPr>
            <w:rFonts w:ascii="arial" w:eastAsia="arial" w:hAnsi="arial" w:cs="arial"/>
            <w:b w:val="0"/>
            <w:i/>
            <w:strike w:val="0"/>
            <w:noProof w:val="0"/>
            <w:color w:val="0077CC"/>
            <w:position w:val="0"/>
            <w:sz w:val="20"/>
            <w:u w:val="single"/>
            <w:vertAlign w:val="baseline"/>
          </w:rPr>
          <w:t>(80 FR 73374).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pay-for-performance methodologies similar to the CJR model for the proposed EPMs. Specifically, we proposed to financially reward higher quality in an EPM episode by reducing the effective discount factor used to calculate EPM quality-adjusted target prices at reconciliation. We would establish the effective discount factor based on the EPM participant's overall quality performance and improvement on the EPM's quality measures as reflected in the EPM participant's EPM composite quality score. We would calculate the EPM participant's composite quality score for each EPM performance year at the time of reconciliation. The EPM composite quality score would also determine whether an EPM participant is eligible for a reconciliation payment if savings are achieved beyond the EPM quality-adjusted target price by setting a minimum EPM composite quality score for reconciliation payment eligibility.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we continue to believe that EPMs should include pay-for-performance methodologies that incentivize improvements in patient outcomes while simultaneously lowering health care spending </w:t>
      </w:r>
      <w:hyperlink r:id="rId21" w:history="1">
        <w:r>
          <w:rPr>
            <w:rFonts w:ascii="arial" w:eastAsia="arial" w:hAnsi="arial" w:cs="arial"/>
            <w:b w:val="0"/>
            <w:i/>
            <w:strike w:val="0"/>
            <w:noProof w:val="0"/>
            <w:color w:val="0077CC"/>
            <w:position w:val="0"/>
            <w:sz w:val="20"/>
            <w:u w:val="single"/>
            <w:vertAlign w:val="baseline"/>
          </w:rPr>
          <w:t>(80 FR 73465).</w:t>
        </w:r>
      </w:hyperlink>
      <w:r>
        <w:rPr>
          <w:rFonts w:ascii="arial" w:eastAsia="arial" w:hAnsi="arial" w:cs="arial"/>
          <w:b w:val="0"/>
          <w:i w:val="0"/>
          <w:strike w:val="0"/>
          <w:noProof w:val="0"/>
          <w:color w:val="000000"/>
          <w:position w:val="0"/>
          <w:sz w:val="20"/>
          <w:u w:val="none"/>
          <w:vertAlign w:val="baseline"/>
        </w:rPr>
        <w:t xml:space="preserve"> We believe that improved quality of care, specifically achieved through coordination and communication among providers in conjunction with patients and their caregivers, can favorably influence performance on patient outcomes. Like the CJR model, we also believe that the proposed three new EPMs would provide the opportunity for EPM participants to improve the quality of care based on timely reported patient experience, including communications with doctors and nurses, and responsiveness of hospital staff </w:t>
      </w:r>
      <w:hyperlink r:id="rId66" w:history="1">
        <w:r>
          <w:rPr>
            <w:rFonts w:ascii="arial" w:eastAsia="arial" w:hAnsi="arial" w:cs="arial"/>
            <w:b w:val="0"/>
            <w:i/>
            <w:strike w:val="0"/>
            <w:noProof w:val="0"/>
            <w:color w:val="0077CC"/>
            <w:position w:val="0"/>
            <w:sz w:val="20"/>
            <w:u w:val="single"/>
            <w:vertAlign w:val="baseline"/>
          </w:rPr>
          <w:t>(80 FR 7065).</w:t>
        </w:r>
      </w:hyperlink>
      <w:r>
        <w:rPr>
          <w:rFonts w:ascii="arial" w:eastAsia="arial" w:hAnsi="arial" w:cs="arial"/>
          <w:b w:val="0"/>
          <w:i w:val="0"/>
          <w:strike w:val="0"/>
          <w:noProof w:val="0"/>
          <w:color w:val="000000"/>
          <w:position w:val="0"/>
          <w:sz w:val="20"/>
          <w:u w:val="none"/>
          <w:vertAlign w:val="baseline"/>
        </w:rPr>
        <w:t xml:space="preserve"> Finally, we strive to align as many measures as possible in CMS's proposed new EPMs with those in ongoing models and programs. Our goal is to focus provider improvement efforts and minimize burden on EPM participants in needing to become familiar with and report new measures, while still allowing us to appropriately capture meaningful quality data and use it in the EPMs' pay-for-performance methodologies.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specifically, similar to our final decision for the CJR model, we did not propose to use any readmissions measures that could apply to clinical conditions in these EPMs but that are already in place or have been finalized for the HRRP, specifically the Hospital 30-day all-cause risk-standardized readmission rate (RSRR) following AMI hospitalization (NQF #0505) and the Hospital 30-day all-cause, unplanned, </w:t>
      </w:r>
      <w:r>
        <w:rPr>
          <w:rFonts w:ascii="arial" w:eastAsia="arial" w:hAnsi="arial" w:cs="arial"/>
          <w:b/>
          <w:i w:val="0"/>
          <w:strike w:val="0"/>
          <w:noProof w:val="0"/>
          <w:color w:val="000000"/>
          <w:position w:val="0"/>
          <w:sz w:val="20"/>
          <w:u w:val="none"/>
          <w:vertAlign w:val="baseline"/>
        </w:rPr>
        <w:t> [*354] </w:t>
      </w:r>
      <w:r>
        <w:rPr>
          <w:rFonts w:ascii="arial" w:eastAsia="arial" w:hAnsi="arial" w:cs="arial"/>
          <w:b w:val="0"/>
          <w:i w:val="0"/>
          <w:strike w:val="0"/>
          <w:noProof w:val="0"/>
          <w:color w:val="000000"/>
          <w:position w:val="0"/>
          <w:sz w:val="20"/>
          <w:u w:val="none"/>
          <w:vertAlign w:val="baseline"/>
        </w:rPr>
        <w:t xml:space="preserve"> RSRR following CABG surgery (NQF #2515), due to the incentives, already in place by the HRRP, for hospitals to lower excess readmission rates </w:t>
      </w:r>
      <w:hyperlink r:id="rId21" w:history="1">
        <w:r>
          <w:rPr>
            <w:rFonts w:ascii="arial" w:eastAsia="arial" w:hAnsi="arial" w:cs="arial"/>
            <w:b w:val="0"/>
            <w:i/>
            <w:strike w:val="0"/>
            <w:noProof w:val="0"/>
            <w:color w:val="0077CC"/>
            <w:position w:val="0"/>
            <w:sz w:val="20"/>
            <w:u w:val="single"/>
            <w:vertAlign w:val="baseline"/>
          </w:rPr>
          <w:t>(80 FR 73479).</w:t>
        </w:r>
      </w:hyperlink>
      <w:r>
        <w:rPr>
          <w:rFonts w:ascii="arial" w:eastAsia="arial" w:hAnsi="arial" w:cs="arial"/>
          <w:b w:val="0"/>
          <w:i w:val="0"/>
          <w:strike w:val="0"/>
          <w:noProof w:val="0"/>
          <w:color w:val="000000"/>
          <w:position w:val="0"/>
          <w:sz w:val="20"/>
          <w:u w:val="none"/>
          <w:vertAlign w:val="baseline"/>
        </w:rPr>
        <w:t xml:space="preserve"> While we consider these readmissions measure rates to be important metrics for providing information about AMI and CABG hospital performance in the HRRP and HIQR Program for payment and public reporting, respectively, other proposed measures for the AMI and CABG models support the intent of these models to reduce actual payments in an EPM episode while ensuring that quality of care for AMI and CABG model beneficiaries is improved.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while we recognize the lack of complete alignment between EPM beneficiaries and the proposed cohorts for the EPM quality measures, we believe the proposed measures provide meaningful information about EPM participant quality performance and improvement that are relevant to EPM beneficiaries. For the AMI and CABG models in particular, beneficiaries included in the proposed episode-specific measures would significantly overlap with beneficiaries in AMI and CABG model episodes. We note that for purposes of the EPMs where we need to identify episodes that are included in the EPMs, we proposed to use the term anchor to identify hospitalizations that initiate EPM episodes for beneficiaries whose care is included in the EPMs. In describing the quality measures in detail in section III.E.4. of this final rule, we use the term index hospitalization to identify hospitalizations of beneficiaries whose outcomes are included in the measures. Thus, anchor hospitalizations and index hospitalizations would have varying degrees of overlap depending on the specific quality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we note that hospitals are the unit of analysis for the EPMs and that the proposed measures are hospital-centric measures, both because these are currently available measures that are aligned with those in other CMS programs and because one of the major goals of the EPMs is to encourage collaboration among different types of providers in order to achieve better care and reduced expenditures, while holding acute care hospitals financially responsible. For further discussion of our proposal that hospitals be accountable for EPM episodes, we refer to section III.B.3.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recognized that there are also some gaps in the current proposed measures relative to other settings in which patients receive care post-hospital discharge during EPM episodes, as well as around important complications of care for clinical conditions included in the three models. However, we believe that these hospital-level measures reasonably assess how well EPM participants provide care for EPM beneficiaries since the measures, depending on the EPM, assess--(1) important patient outcomes, including mortality as well as complications and days of acute care following discharge from the index hospitalization which can be costly; and (2) patients' perspectives on their hospital experience, which include patient feedback on communication with doctors, communication with nurses, responsiveness of hospital staff, communication about medicines, discharge information, cleanliness of the hospital environment, quietness of the hospital environment, and transition to post-hospital care. As we gain more experience with the EPMs, as well as the CJR model currently in testing, and future EPMs, we plan to work to create a more robust set of episode quality measures for these and future models. As we stated in the proposed rule, we will continue to assess the evolving inventory of measures and will continue to refine quality measures for potential future rulemaking based on public comments, changes to the EPMs' payment methodologies, recommendations from EPM participants and their collaborators, and new CMS episode measure development activities as we learn more about the impact of EPMs on quality improvement and episode efficiency. We refer to section III.E.4.e. of this final rule for a discussion of potential future EPM episode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Selection of Quality Measures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 of Quality Measure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outcome and patient experience measures proposed for the EPMs were selected in order to: (1) Promote alignment with the financial and quality goals of the EPMs; (2) leverage hospitals' familiarity with the measures due to their use in other CMS hospital quality programs, including programs that tie payment to performance such as the HVBP Program; (3) streamline EPM measures for EPM participants testing more than one EPM; and (4) ensure consistency with CMS's priorities to reduce AMI and CABG mortality and complications while improving patient experience, as well as with CMS's priorities to reduce major LEJR surgery complications while improving the patient experience for SHFFT model beneficiaries, like those in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AMI Model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encourage care collaboration among multiple providers of AMI model beneficiaries, we proposed three required measures and one measure that relies on voluntary data submission, in order to determine AMI model participant episode quality performance and improvement that would be linked to the AMI model payment methodology as discussed in section III.E.3.f.(2) of this final rule. We proposed the following measures for the AMI model:</w:t>
      </w:r>
    </w:p>
    <w:p>
      <w:pPr>
        <w:keepNext w:val="0"/>
        <w:numPr>
          <w:numId w:val="3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30-Day, All-Cause, Risk-Standardized Mortality Rate (RSMR) Following Acute Myocardial Infarction (NQF #0230) (MORT-30-AMI).</w:t>
      </w:r>
    </w:p>
    <w:p>
      <w:pPr>
        <w:keepNext w:val="0"/>
        <w:numPr>
          <w:numId w:val="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Excess Days in Acute Care after Hospitalization for AMI (AMI Excess Days).</w:t>
      </w:r>
    </w:p>
    <w:p>
      <w:pPr>
        <w:keepNext w:val="0"/>
        <w:numPr>
          <w:numId w:val="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HCAHPS Survey (NQF #0166).</w:t>
      </w:r>
    </w:p>
    <w:p>
      <w:pPr>
        <w:keepNext w:val="0"/>
        <w:numPr>
          <w:numId w:val="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Voluntary Hybrid Hospital 30-Day, All-Cause, Risk-Standardized Mortality Rate Following Acute Myocardial Infarction (AMI) Hospitalization (NQF #2473) (Hybrid AMI Mortality) data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We refer to sections III.E.4.a. and d. of this final rule for a detailed discussion of our proposals regarding these measures for the AMI model, including their importance as measures of the quality-of-care for beneficiaries treated for AMI. The proposals for the AMI model measures are included in § 512.411, and the proposals for reporting the measures are included in § 512.400. We sought comment on our proposals for AMI model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supported the selection of these measures as good indicators of quality for AMI patients under the model. Commenters expressed an appreciation for the small size of the proposed measure set, compared to the larger more burdensome set of measures that have been proposed in previous demonstrations and CMS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expressed for the small, yet comprehensive, set of measures selected for this model. Our goal is to focus provider improvement efforts and minimize burden on EPM participants in needing to become familiar with and report new measures, while still allowing us to appropriately capture meaningful quality data and use it in the EPMs' pay for performance methodologies and we believe the small </w:t>
      </w:r>
      <w:r>
        <w:rPr>
          <w:rFonts w:ascii="arial" w:eastAsia="arial" w:hAnsi="arial" w:cs="arial"/>
          <w:b/>
          <w:i w:val="0"/>
          <w:strike w:val="0"/>
          <w:noProof w:val="0"/>
          <w:color w:val="000000"/>
          <w:position w:val="0"/>
          <w:sz w:val="20"/>
          <w:u w:val="none"/>
          <w:vertAlign w:val="baseline"/>
        </w:rPr>
        <w:t> [*355] </w:t>
      </w:r>
      <w:r>
        <w:rPr>
          <w:rFonts w:ascii="arial" w:eastAsia="arial" w:hAnsi="arial" w:cs="arial"/>
          <w:b w:val="0"/>
          <w:i w:val="0"/>
          <w:strike w:val="0"/>
          <w:noProof w:val="0"/>
          <w:color w:val="000000"/>
          <w:position w:val="0"/>
          <w:sz w:val="20"/>
          <w:u w:val="none"/>
          <w:vertAlign w:val="baseline"/>
        </w:rPr>
        <w:t xml:space="preserve"> set of measures we proposed will enable us to achieve this goal.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 that the 30-Day All cause Risk Standardized Mortality Rate (RSMR) following Acute Myocardial Infarction is not a good indicator of quality for the EPM episode 90 day episode of care. They stated that the quality metrics proposed for AMI are too hospital centric and will not assess quality across the full continuum of care. In contrast, a few other commenters recommended that CMS narrow the window for the AMI episode from 90 days to 30 days, stating that it is known from large randomized trials of therapies for AMI patients that the overwhelming majority of disease related complications and poor outcomes occur within the first 30 days. Additionally, some commenters expressed concern that reporting quality data could discourage the treatment of the most vulnerable and frail AMI patients. Other commentators stated that patients with AMI and serious disability, frailty and concurrent illnesses would not benefit from the model quality measures as these patients may have much higher mortality rates. Commenters also expressed concern that the proposed quality metrics do not offer useful ways to risk adjust for local patterns of care regarding end of life care in hospitals for these frail, high-risk patients. Several commenters expressed concern that the measures that were proposed are misaligned with the cohort for this model. Additionally, commenters were concerned that the quality metrics as proposed may not provide a meaningful measure of the quality of care for those targeted under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comments regarding the use of this measure in the model, and the duration of the episodes. While previous studies indicate that most complications occur during the 30-Day post discharge period, under this model we are evaluating the impact of a bundled payment on quality of care for a 90 day episode. For consistency sake across the model, we intend to evaluate the impact of such payment across a full 90 day period to ensure we capture longer term outcomes for patients. The models we proposed define hospitals as the episode initiators and financially accountable entities and while we acknowledge that the measures we proposed are hospital-centric, we believe they are appropriate for these hospital initiated models. We are appreciative of the concern regarding the quality of care for the beneficiaries including the frail, severely ill beneficiaries that may be included in the population on which this model is focused and that is why we proposed a comprehensive set of measures that rely on quality metrics that are readily available for use under the model. While we recognize the lack of complete alignment between EPM beneficiaries and the proposed cohorts for the EPM quality measures, we believe the proposed measures provide meaningful information about EPM participant quality performance and improvement that are relevant to EPM beneficiaries. We acknowledge that longer measures are needed and will begin investigating the development of measures to assess the quality of care across the full 90 day episode and if feasible, will incorporate such measures into model if deemed appropriate.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a mix of comments for and against the proposed EDAC measure for the AMI model. A few commenters urged CMS to remove the EDAC measures from the AMI model measure set, noting that the proposed EDAC measure was adopted for the FY 2018 hospital IQR program, and is intended to capture "all-cause acute care utilization" in the 30 days after discharge for patients with a discharge diagnosis of AMI. Commenters further stated that in contrast to the existing AMI hospital readmission measure in IQR, the AMI EDAC measure includes both emergency department (ED) visits and observation stays, in addition to hospital readmissions. Commenters stated the purpose of the bundled payment is to create a financial incentive that aligns with the care goal of improving the patients' health to the point where a return to the hospital is unnecessary. Measuring EDAC may be important when the financial incentives push toward greater numbers of hospital encounters, as they do in the fee for service system. However, in a bundled payment model, the commenters stated that this measure may not be as meaningful. Commenters urged CMS to alter how we think about what to measure in the bundle, stating that excess days in hospital care should not be the focus. Additionally, commenters were concerned that this measure inappropriately overlaps with the HRRP, thereby creating inconsistent incentives to reduce readmissions. Some stakeholders believe the use of this measure may lead to mixed performance signals between the existing HRRP and EPM model, potentially leading to hospitals doing well in one program and poorly in another. Some of these commenters expressed concern that the EDAC measure lacks NQF endorsement and has not yet been publicly reported on Hospital Compare. Commenters stated the hospital field has limited insight on whether the measure is accurate and reliable and also noted the lack of socio-demographic adjustment in the EDAC measure as a potential problem.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Alternatively, commenters in support of patients' rights endorsed the EDAC measure stating that it will capture all hospital contact including emergency room and observation stays. These commenters supported EDAC as it measures the full experience of a patient's stay which should be a meaningful measure of hospital care quality. Another commenter offering support for the EDAC from a patients' rights point of view stated that mortality and excess days in acute care are undoubtedly outcomes that matter to beneficiaries and their families and should absolutely be measured.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stakeholder concerns regarding inclusion of the EDAC measure in the model. Although we received fewer comments supporting the inclusion of this measure in the model, we believe the points made in favor of patients' rights and the need to measure the full hospital experience from the patient point of view are valid and relevant to this model that is designed to improve quality of care for the beneficiaries. We also note that the AMI EDAC measure has been recommended for endorsement without risk adjustment for sociodemographic status (SDS) and it will be publicly reported starting July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concerns for measure overlap with HRRP, we conducted additional comparison analysis to determine the degree to which the EDAC and readmission measures provide distinct information about hospitals' performance. In our analysis we compared hospitals' outlier status using results from both sets of measures. The findings demonstrate that more hospitals are characterized as outliers by the EDAC measures compared with the readmission measures. Therefore, the two sets of measures provide different and directionally consistent information about hospitals performance. Very few hospitals are characterized in opposing directions by the two sets of measures, meaning that those few hospitals with poorer performance on the readmission measures tend to also perform poorly on the EDAC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conclude that, with the inclusion of this measure in the AMI EPM, nearly all hospitals that are currently penalized in the HRRP will also be poor performers on the EDAC measure. However, most poor performers on the </w:t>
      </w:r>
      <w:r>
        <w:rPr>
          <w:rFonts w:ascii="arial" w:eastAsia="arial" w:hAnsi="arial" w:cs="arial"/>
          <w:b/>
          <w:i w:val="0"/>
          <w:strike w:val="0"/>
          <w:noProof w:val="0"/>
          <w:color w:val="000000"/>
          <w:position w:val="0"/>
          <w:sz w:val="20"/>
          <w:u w:val="none"/>
          <w:vertAlign w:val="baseline"/>
        </w:rPr>
        <w:t> [*356] </w:t>
      </w:r>
      <w:r>
        <w:rPr>
          <w:rFonts w:ascii="arial" w:eastAsia="arial" w:hAnsi="arial" w:cs="arial"/>
          <w:b w:val="0"/>
          <w:i w:val="0"/>
          <w:strike w:val="0"/>
          <w:noProof w:val="0"/>
          <w:color w:val="000000"/>
          <w:position w:val="0"/>
          <w:sz w:val="20"/>
          <w:u w:val="none"/>
          <w:vertAlign w:val="baseline"/>
        </w:rPr>
        <w:t xml:space="preserve"> AMI EDAC measure will not be identified as poor performers on the AMI readmissions measure. The total overlap is minimal although there is a risk that some hospitals will be penalized in both the HRRP and AMI EPM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some commenters suggest that measuring EDAC may only be important when the financial incentives push toward greater numbers of hospital encounters, as they do in the FFS system, we believe tracking return visits to the hospital is a good indicator of the overall quality of care in an episode payment model as well.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modifications, to the AMI measure set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CABG Model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encourage care collaboration among multiple providers of CABG model beneficiaries, we proposed two required measures, in order to determine CABG model participant episode quality performance and improvement that would be linked to the CABG model payment methodology as discussed in section III.E.3.f.(3) of this final rule. We proposed the following measures for the CABG model:</w:t>
      </w:r>
    </w:p>
    <w:p>
      <w:pPr>
        <w:keepNext w:val="0"/>
        <w:numPr>
          <w:numId w:val="3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30-Day, All-Cause, Risk-Standardized Mortality Rate (RSMR) Following Coronary Artery Bypass Graft (CABG) Surgery (NQF# 2558) (MORT-30-CABG).</w:t>
      </w:r>
    </w:p>
    <w:p>
      <w:pPr>
        <w:keepNext w:val="0"/>
        <w:numPr>
          <w:numId w:val="3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HCAHPS Survey (NQF #0166).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refer to sections III.E.4.b. and d. of this final rule for a detailed discussion of our proposals regarding these measures for the CABG model, including their importance as measures of the quality-of-care for beneficiaries treated with CABG.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proposals for the CABG model measures are included in § 512.412., and the proposals for reporting the measures are included in § 512.400. We sought comment on our proposals for CABG model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support our proposed CABG measures stating that the measures represent a brief, focused and relevant set of quality metrics. They expressed support for the use of the Thirty (30) day mortality measure, stating that this measure appropriately focuses on the key quality metrics that matter in the domain of cardiac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for the model and quality metrics proposed and we also believe that these measures reflect key quality metrics that matter for cardiac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suggested that CMS should also consider including a quality measure to evaluate blood transfusion rates during and after CABG procedures, stating that unnecessary blood transfusions during and after CABG procedures are costly to patients and to hospitals. Perioperative red blood cell transfusion is the single factor most reliably associated with increased perioperative morbidity events after CABG, such as serious infections, prolonged ventilation support and renal failure.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their suggestion. CMS believes the 30 Day All Cause Risk Standardized Mortality rate will capture complications that lead to death related to the CABG procedures performed under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group of commenters recommended that the Society of Thoracic Surgeons (STS) consensus based outcomes be included for the CABG measure set. The STS has a robust, risk adjusted National Adult Cardiac Database that tracks measures for CABG Commenters stated that the vast majority of cardiothoracic programs and provides already report to and participate in the Database.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commenters that the STS measure set is a comprehensive NQF-endorsed composite measure with strong potential to meaningfully improve quality. Although the STS measures were not proposed as a measure initially we intend to amend the measure set for CABG to include a voluntary data submission for various measures (there are 11 distinct measures) within the STS composite measure. Reporting of this measure data will be voluntary and will only help model participants. This measure will count for 10 percent of the score which will be worth 2 points. We have re-weighted the CABG and HCAHPS scores out of a total point basis of 18. We will rank the overall scores out of 18 to set the performance ranges and then we offer 2 points on top of that if participants voluntarily submit data for this measure. The revised scoring and weighting methodology for the CABG model is discussed in detail in the linking quality payment section III E.4.f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 modification, to incorporate the STS composite measure data submission as a voluntary option (would only help participants) weighted at 10 percent of the composite quality score as discussed in detail in section III E.4.f of this final rule. CMS does not anticipate significant operational difficulties as we plan to work collaboratively with the STS Registry to receive the data files following each data collection period as prescribed by the STS Registry. EPM participants who are not members of the STS Proprietary Registry, but are a HQR participating facility would have access to Secure File Transfer (SFT). Data files can be securely sent via SFT in a transitional submission format available to systems using a spreadsheet-based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SHFFT Model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encourage care collaboration among multiple providers of SHFFT model beneficiaries, we proposed two required measures and one measure that relies on voluntary data submission, in order to determine SHFFT model participant episode quality performance and improvement that would be linked to the SHFFT model payment methodology as discussed in section III.E.3.f.(4) of this final rule. While we recognize that none of the proposed measures specifically target the care of SHFFT model beneficiaries, these measures are the same as those used for the CJR model because SHFFT model episodes will be tested along with the LEJR episodes in the CJR model </w:t>
      </w:r>
      <w:hyperlink r:id="rId21" w:history="1">
        <w:r>
          <w:rPr>
            <w:rFonts w:ascii="arial" w:eastAsia="arial" w:hAnsi="arial" w:cs="arial"/>
            <w:b w:val="0"/>
            <w:i/>
            <w:strike w:val="0"/>
            <w:noProof w:val="0"/>
            <w:color w:val="0077CC"/>
            <w:position w:val="0"/>
            <w:sz w:val="20"/>
            <w:u w:val="single"/>
            <w:vertAlign w:val="baseline"/>
          </w:rPr>
          <w:t>(80 FR 73501 and 73507)</w:t>
        </w:r>
      </w:hyperlink>
      <w:r>
        <w:rPr>
          <w:rFonts w:ascii="arial" w:eastAsia="arial" w:hAnsi="arial" w:cs="arial"/>
          <w:b w:val="0"/>
          <w:i w:val="0"/>
          <w:strike w:val="0"/>
          <w:noProof w:val="0"/>
          <w:color w:val="000000"/>
          <w:position w:val="0"/>
          <w:sz w:val="20"/>
          <w:u w:val="none"/>
          <w:vertAlign w:val="baseline"/>
        </w:rPr>
        <w:t xml:space="preserve"> at mostly the same hospitals. In addition, as discussed further in section III.E.3.e.(3) of this final rule, we propose to calculate a hospital-level composite quality score that would apply to episode payment for both the CJR and SHFFT models, consistent with our proposal of the same measures for the two models. We believe that due to the inclusion of beneficiaries with hip fracture in both the CJR and SHFFT models and our desire to streamline EPM participant measure reporting, as well as the focus of both models on major lower extremity orthopedic surgery, the same set of quality measures can be used for both models to incentivize quality improvement in lower extremity orthopedic surgery care and episode efficiency. We are also considering future measure development focused specifically on hip and femur fracture patients. We expect that many of the physicians and other providers collaborating with participant hospitals in the SHFFT and CJR models will be the same, such that certain care pathways and episode efficiencies may be coordinated for SHFFT and CJR model beneficiaries regardless of the model, potentially resulting in quality improvement for beneficiaries in both </w:t>
      </w:r>
      <w:r>
        <w:rPr>
          <w:rFonts w:ascii="arial" w:eastAsia="arial" w:hAnsi="arial" w:cs="arial"/>
          <w:b/>
          <w:i w:val="0"/>
          <w:strike w:val="0"/>
          <w:noProof w:val="0"/>
          <w:color w:val="000000"/>
          <w:position w:val="0"/>
          <w:sz w:val="20"/>
          <w:u w:val="none"/>
          <w:vertAlign w:val="baseline"/>
        </w:rPr>
        <w:t> [*357] </w:t>
      </w:r>
      <w:r>
        <w:rPr>
          <w:rFonts w:ascii="arial" w:eastAsia="arial" w:hAnsi="arial" w:cs="arial"/>
          <w:b w:val="0"/>
          <w:i w:val="0"/>
          <w:strike w:val="0"/>
          <w:noProof w:val="0"/>
          <w:color w:val="000000"/>
          <w:position w:val="0"/>
          <w:sz w:val="20"/>
          <w:u w:val="none"/>
          <w:vertAlign w:val="baseline"/>
        </w:rPr>
        <w:t xml:space="preserve"> models. We proposed the following measures for the SHFFT model:</w:t>
      </w:r>
    </w:p>
    <w:p>
      <w:pPr>
        <w:keepNext w:val="0"/>
        <w:numPr>
          <w:numId w:val="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Hospital-level RSCR following elective primary THA and/or TKA (NQF #1550) (Hip/Knee Complications).</w:t>
      </w:r>
    </w:p>
    <w:p>
      <w:pPr>
        <w:keepNext w:val="0"/>
        <w:numPr>
          <w:numId w:val="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HCAHPS Survey (NQF #0166).</w:t>
      </w:r>
    </w:p>
    <w:p>
      <w:pPr>
        <w:keepNext w:val="0"/>
        <w:numPr>
          <w:numId w:val="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Hip Arthroplasty (THA)/Total Knee Arthroplasty (TKA) voluntary patient-reported outcome (PRO) and limited risk variable data submission (Patient-reported outcomes and limited risk variable data following elective primary THA/TKA).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considered an alternative approach to the required quality measures for the SHFFT model given that the proposed measures do not specifically target the SHFFT model beneficiaries. This alternative approach would not account for any hip-specific measures (such as, Hospital-level RSCR following elective primary THA and/or TKA (NQF #1550) (Hip/Knee Complications)) and would instead only measure patient experience through the HCAHPS Survey (NQF #0166). Although there may be some rationale for excluding measures that do not specifically target SHFFT model beneficiaries, we did not propose this approach to SHFFT model quality measures because we believe that it is critical to include a measure of both clinical and patient experience outcomes in the setting of lower extremity orthopedic surgery episodes. Additionally, we believe that using quality measures for SHFFT model episodes that do not align with those in the CJR model could generate confusion at CJR model participant hospitals where we proposed that the SHFFT model be tested as discussed in section III.B.4.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refer to sections III.E.4.c. and d. of this final rule for a detailed discussion of our proposals regarding these measures for the SHFFT model, including their importance as measures of the quality-of-care for beneficiaries undergoing major lower extremity joint replacement surgery.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SHFFT model measures are included in § 512.413, and the proposals for reporting the measures are included in § 512.400. We sought comment on our proposals for SHFFT model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 that using the Hospital-level Risk Standardized Complication Rate (RSCR) measure of elective THA and/or TKA outcomes as an elective measure is an inappropriate proxy of SHFFT quality, as improving quality for the emergency procedures covered under SHFFT has no impact on RSCR. These commenters stated that the program effectively incentivizes only cutting costs without any beneficiary protection related to the quality of care. There is concern that use of this measure may distort incentives toward improving measures unrelated to care with no regard for the actual quality of an emergency SHFFT episode of care.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agree that the measure only incentivizes cost cutting. While we recognize that none of the proposed measures specifically target the care of SHFFT model beneficiaries, these measures are the same as those used for the CJR model because SHFFT model episodes will be tested along with the LEJR episodes in the CJR model </w:t>
      </w:r>
      <w:hyperlink r:id="rId21" w:history="1">
        <w:r>
          <w:rPr>
            <w:rFonts w:ascii="arial" w:eastAsia="arial" w:hAnsi="arial" w:cs="arial"/>
            <w:b w:val="0"/>
            <w:i/>
            <w:strike w:val="0"/>
            <w:noProof w:val="0"/>
            <w:color w:val="0077CC"/>
            <w:position w:val="0"/>
            <w:sz w:val="20"/>
            <w:u w:val="single"/>
            <w:vertAlign w:val="baseline"/>
          </w:rPr>
          <w:t>(80 FR 73501 and 73507)</w:t>
        </w:r>
      </w:hyperlink>
      <w:r>
        <w:rPr>
          <w:rFonts w:ascii="arial" w:eastAsia="arial" w:hAnsi="arial" w:cs="arial"/>
          <w:b w:val="0"/>
          <w:i w:val="0"/>
          <w:strike w:val="0"/>
          <w:noProof w:val="0"/>
          <w:color w:val="000000"/>
          <w:position w:val="0"/>
          <w:sz w:val="20"/>
          <w:u w:val="none"/>
          <w:vertAlign w:val="baseline"/>
        </w:rPr>
        <w:t xml:space="preserve"> at mostly the same hospitals. In addition, as discussed further in section III.E.3.e.(3) of this final rule, we proposed to calculate a hospital-level composite quality score that would apply to episode payment for both the CJR and SHFFT models, consistent with our proposal of the same measures for the two models. We continue to believe that due to the inclusion of beneficiaries with hip fracture in both the CJR and SHFFT models and our desire to streamline EPM participant measure reporting, as well as the focus of both models on major lower extremity orthopedic surgery, the same set of quality measures can be used for both models to incentivize quality improvement in lower extremity orthopedic surgery care and episode efficiency. We recognize that more robust measures better targeted to the SHFFT population are desirable and will considering future measure development focused specifically on hip and femur fracture patients.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support for the use of Patient Reported Outcome Measures (PROM) in SHFFT, and were supportive of plans to incentivize model participants who report PROMs.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for collection of PRO data in this model and believe that patient outcome data which will help develop quality PROMs can be helpful in measuring the quality of care rendered under this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expressed concern that the model doesn't include functional outcome measures and quality of life measures to assess the quality of life for the patient population. Commenters recommend that we consider performance-measures of function for the population such as the Six-Minute Walk Test. Including functional performance measures will give CMS better data on the functional outcome of this patient population. Commenters expressed concern that while the measures proposed for use in this model mirror those in the CJR model, and considering the SHFFT model will be operating alongside the CJR episodes the SHFFT model composition of mostly non-elective cases precludes that the population between the two models have stark differences. Therefore, simply transferring the data from one EPM to another is not appropriate. Commenters urged CMS to develop measures that more accurately reflect the populations included in the model specifically.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 thoughts regarding utilizing quality metrics to accurately measure and account for the patient population served under the SHFFT model specifically, in contrast to those in the concurrent CJR model. We believe that we have proposed a measure set of readily available measures to assess the quality of care across the SHFFT episodes. We will continue to investigate utilizing measures to more accurately reflect the patient population in this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the quality measures proposed in the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Use of Quality Measures in the EPM Payment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 of EPM Composite Quality Score Methodology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the proposed EPMs provide another mechanism for hospitals to improve quality of care, while also achieving cost efficiency. Incentivizing high-value care through episode payments for AMI, CABG, and hip fracture care is a primary objective of these proposed EPMs. Therefore, incorporating quality performance into the episode payment structure is an essential component of the proposed EPMs, just as it is for the CJR model </w:t>
      </w:r>
      <w:hyperlink r:id="rId21" w:history="1">
        <w:r>
          <w:rPr>
            <w:rFonts w:ascii="arial" w:eastAsia="arial" w:hAnsi="arial" w:cs="arial"/>
            <w:b w:val="0"/>
            <w:i/>
            <w:strike w:val="0"/>
            <w:noProof w:val="0"/>
            <w:color w:val="0077CC"/>
            <w:position w:val="0"/>
            <w:sz w:val="20"/>
            <w:u w:val="single"/>
            <w:vertAlign w:val="baseline"/>
          </w:rPr>
          <w:t>(80 FR 73370).</w:t>
        </w:r>
      </w:hyperlink>
      <w:r>
        <w:rPr>
          <w:rFonts w:ascii="arial" w:eastAsia="arial" w:hAnsi="arial" w:cs="arial"/>
          <w:b w:val="0"/>
          <w:i w:val="0"/>
          <w:strike w:val="0"/>
          <w:noProof w:val="0"/>
          <w:color w:val="000000"/>
          <w:position w:val="0"/>
          <w:sz w:val="20"/>
          <w:u w:val="none"/>
          <w:vertAlign w:val="baseline"/>
        </w:rPr>
        <w:t xml:space="preserve"> For the reasons stated previously, we believe it is important for the AMI, CABG, and SHFFT models to link the financial reward opportunity with performance and improvement in the quality of care for Medicare beneficiaries treated for AMI, CABG, and hip fracture.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section III.D.4.a.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which outlines the pricing methodologies for EPM episodes, for each EPM participant we proposed to set an EPM-episode benchmark price for each EPM episode. We would apply the EPM participant's effective discount factor based on the </w:t>
      </w:r>
      <w:r>
        <w:rPr>
          <w:rFonts w:ascii="arial" w:eastAsia="arial" w:hAnsi="arial" w:cs="arial"/>
          <w:b/>
          <w:i w:val="0"/>
          <w:strike w:val="0"/>
          <w:noProof w:val="0"/>
          <w:color w:val="000000"/>
          <w:position w:val="0"/>
          <w:sz w:val="20"/>
          <w:u w:val="none"/>
          <w:vertAlign w:val="baseline"/>
        </w:rPr>
        <w:t> [*358] </w:t>
      </w:r>
      <w:r>
        <w:rPr>
          <w:rFonts w:ascii="arial" w:eastAsia="arial" w:hAnsi="arial" w:cs="arial"/>
          <w:b w:val="0"/>
          <w:i w:val="0"/>
          <w:strike w:val="0"/>
          <w:noProof w:val="0"/>
          <w:color w:val="000000"/>
          <w:position w:val="0"/>
          <w:sz w:val="20"/>
          <w:u w:val="none"/>
          <w:vertAlign w:val="baseline"/>
        </w:rPr>
        <w:t xml:space="preserve"> participant's quality performance and improvement for the EPM performance year to the EPM-episode benchmark episode price to calculate the quality-adjusted target price for each EPM episode. We refer to section III.E.3.f. of this final rule for further discussion of the relationship between an EPM participant's quality performance and improvement and the effective discount factor. As discussed in section III.C.4.a.(5) of this final rule, we are not finalizing our proposed AMI model inpatient-to-inpatient transfer episode initiation and attribution policy so we will not use the terms chained anchor hospitalization and price MS-DRG in the final AMI episode definition and quality discussion. Each EPM episode includes an anchor hospitalization for either AMI (AMI MS-DRG or PCI MS-DRG with AMI ICD-10-CM diagnosis code in the principal or secondary diagnosis code position), CABG (CABG MS-DRG), or SHFFT (SHFFT MS-DRG) and a 90-day period after discharge from the anchor hospitalization. An EPM quality-adjusted target price would represent expected spending on all related Part A and Part B items and services furnished during EPM episodes based on historical EPM episodes, and would incorporate the EPM participant's effective discount factor for the EPM performance year. Participants that achieve actual EPM-episode payments below the quality-adjusted target price for a given performance year may be eligible for a reconciliation payment from CMS, subject to the proposed stop-gain limit policy as discussed in section III.D.7.b.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Participants that achieve actual EPM-episode payments that exceed the quality-adjusted target price for a given performance year may be required to repay Medicare a portion or all of the excess EPM-episode spending.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an EPM composite quality score methodology for linking quality and payment in the EPMs that is similar to that methodology finalized for the CJR model </w:t>
      </w:r>
      <w:hyperlink r:id="rId21" w:history="1">
        <w:r>
          <w:rPr>
            <w:rFonts w:ascii="arial" w:eastAsia="arial" w:hAnsi="arial" w:cs="arial"/>
            <w:b w:val="0"/>
            <w:i/>
            <w:strike w:val="0"/>
            <w:noProof w:val="0"/>
            <w:color w:val="0077CC"/>
            <w:position w:val="0"/>
            <w:sz w:val="20"/>
            <w:u w:val="single"/>
            <w:vertAlign w:val="baseline"/>
          </w:rPr>
          <w:t>(80 FR 73363</w:t>
        </w:r>
      </w:hyperlink>
      <w:r>
        <w:rPr>
          <w:rFonts w:ascii="arial" w:eastAsia="arial" w:hAnsi="arial" w:cs="arial"/>
          <w:b w:val="0"/>
          <w:i w:val="0"/>
          <w:strike w:val="0"/>
          <w:noProof w:val="0"/>
          <w:color w:val="000000"/>
          <w:position w:val="0"/>
          <w:sz w:val="20"/>
          <w:u w:val="none"/>
          <w:vertAlign w:val="baseline"/>
        </w:rPr>
        <w:t xml:space="preserve"> to 73381). Similar to the CJR model, the EPM-specific composite quality score methodology would allow both performance and improvement on each EPM's required quality measure to be meaningfully valued in the EPMs' pay-for-performance methodology, incentivizing and rewarding cost savings in relation to the quality of episode care provided by the EPM participant </w:t>
      </w:r>
      <w:hyperlink r:id="rId21" w:history="1">
        <w:r>
          <w:rPr>
            <w:rFonts w:ascii="arial" w:eastAsia="arial" w:hAnsi="arial" w:cs="arial"/>
            <w:b w:val="0"/>
            <w:i/>
            <w:strike w:val="0"/>
            <w:noProof w:val="0"/>
            <w:color w:val="0077CC"/>
            <w:position w:val="0"/>
            <w:sz w:val="20"/>
            <w:u w:val="single"/>
            <w:vertAlign w:val="baseline"/>
          </w:rPr>
          <w:t>(80 FR 73374 and 73370).</w:t>
        </w:r>
      </w:hyperlink>
      <w:r>
        <w:rPr>
          <w:rFonts w:ascii="arial" w:eastAsia="arial" w:hAnsi="arial" w:cs="arial"/>
          <w:b w:val="0"/>
          <w:i w:val="0"/>
          <w:strike w:val="0"/>
          <w:noProof w:val="0"/>
          <w:color w:val="000000"/>
          <w:position w:val="0"/>
          <w:sz w:val="20"/>
          <w:u w:val="none"/>
          <w:vertAlign w:val="baseline"/>
        </w:rPr>
        <w:t xml:space="preserve"> Specifically, the EPM composite quality score is made up of the composite performance score (which includes both patient experience and outcome measures, including points for voluntarily reported measures) and an improvement score.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the actual level of quality performance achieved should be most highly valued in the EPM composite quality score to reward those EPM participants furnishing high quality care to EPM beneficiaries, with a smaller contribution to the EPM composite quality score made by improvement points if measure result improvement is achieved. We acknowledge that substantial improvement on a quality measure result is not the sole indicator that an EPM episode-of-care is high quality; yet, the improvement spurred by the hospital's participation in the EPM deserves to be valued as the EPM participant's performance is moving in a direction that is good for the health of beneficiaries. Like the CJR model, the EPMs involve a wide range of participants that must participate if they are located in the selected MSAs, and the participants would be starting from many different current levels of quality performance. We note that the Shared Savings Program utilizes a similar scoring and weighting methodology, which is described in detail in the CY 2011 Shared Savings Program Final Rule (see § 425.502). The HVBP Program and the HACRP also utilize a similar scoring methodology, which applies weights to various measures and assigns an overall score to a hospital </w:t>
      </w:r>
      <w:hyperlink r:id="rId67" w:history="1">
        <w:r>
          <w:rPr>
            <w:rFonts w:ascii="arial" w:eastAsia="arial" w:hAnsi="arial" w:cs="arial"/>
            <w:b w:val="0"/>
            <w:i/>
            <w:strike w:val="0"/>
            <w:noProof w:val="0"/>
            <w:color w:val="0077CC"/>
            <w:position w:val="0"/>
            <w:sz w:val="20"/>
            <w:u w:val="single"/>
            <w:vertAlign w:val="baseline"/>
          </w:rPr>
          <w:t>(79 FR 50049 and 50102).</w:t>
        </w:r>
      </w:hyperlink>
      <w:r>
        <w:rPr>
          <w:rFonts w:ascii="arial" w:eastAsia="arial" w:hAnsi="arial" w:cs="arial"/>
          <w:b w:val="0"/>
          <w:i w:val="0"/>
          <w:strike w:val="0"/>
          <w:noProof w:val="0"/>
          <w:color w:val="000000"/>
          <w:position w:val="0"/>
          <w:sz w:val="20"/>
          <w:u w:val="none"/>
          <w:vertAlign w:val="baseline"/>
        </w:rPr>
        <w:t xml:space="preserve"> Despite the small number of quality measures proposed for the EPMs, the measures represent both clinical outcomes and patient experience, and each carries substantial value in the EPM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performance and improvement on each measure would be valued in the EPM composite quality score methodology, it is the EPM participant's overall quality performance under the EPM that would be considered in the pay-for-performance approach, rather than performance on each quality measure individually determining the financial opportunity under the EPM. The EPM composite score methodology also provides a framework for incorporating additional measures of meaningful outcomes for EPM episodes in the future. Finally, while we believe that high performance on all of the quality measures represents goals of clinical care that should be achievable by all EPM participants that heighten their focus on these measures, we appreciate that many participants have room for significant improvement in their current measure performance. The EPM composite score methodology would provide the potential for financial reward for more EPM participants that reach overall acceptable or better quality performance, thus incentivizing their continued efforts to improve the quality and efficiency of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proposal to use an EPM-specific composite quality score in the pay-for-performance methodologies of the AMI, CABG, and SHFFT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No comments were received on the EPM-specific composite quality score in the pay-for-performance methodologies of the AMI, CABG, and SHFFT models. Therefore, we are finalizing the proposal,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Determining Quality Measure Performance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our reasoning in the CJR model, we believe that relative measure performance for the EPM measures would be the most appropriate way to incorporate quality performance into the EPMs because we do not have sufficient information about participant performance to set and use an absolute performance result on each measure </w:t>
      </w:r>
      <w:hyperlink r:id="rId21" w:history="1">
        <w:r>
          <w:rPr>
            <w:rFonts w:ascii="arial" w:eastAsia="arial" w:hAnsi="arial" w:cs="arial"/>
            <w:b w:val="0"/>
            <w:i/>
            <w:strike w:val="0"/>
            <w:noProof w:val="0"/>
            <w:color w:val="0077CC"/>
            <w:position w:val="0"/>
            <w:sz w:val="20"/>
            <w:u w:val="single"/>
            <w:vertAlign w:val="baseline"/>
          </w:rPr>
          <w:t>(80 FR 73371).</w:t>
        </w:r>
      </w:hyperlink>
      <w:r>
        <w:rPr>
          <w:rFonts w:ascii="arial" w:eastAsia="arial" w:hAnsi="arial" w:cs="arial"/>
          <w:b w:val="0"/>
          <w:i w:val="0"/>
          <w:strike w:val="0"/>
          <w:noProof w:val="0"/>
          <w:color w:val="000000"/>
          <w:position w:val="0"/>
          <w:sz w:val="20"/>
          <w:u w:val="none"/>
          <w:vertAlign w:val="baseline"/>
        </w:rPr>
        <w:t xml:space="preserve"> Moreover, we believe that participants nationally are currently working to improve their performance on the quality measures proposed for the EPMs on an ongoing basis as these are included in other CMS programs such as the HIQR and HVBP Programs. Therefore, while we expect that EPM participants would have a heightened focus on performance on these measures as a result of the financial incentives resulting from the EPM payment methodology, we are not yet certain what performance outcomes can be achieved under best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at the time of reconciliation for an EPM performance year, we proposed to assign each EPM participant's measure point estimate from the most recent year as discussed in section III.E.5. of this final rule to a performance percentile based on the national distribution of measure results for subsection (d) hospitals that are eligible for payment under the IPPS reporting the measure that meet the minimum patient case or survey count. This proposal applies to the MORT-30-AMI (NQF #0230) and AMI Excess Days measure results for the AMI model; the MORT-30-CABG (NQF #2558) measure result for the CABG model; the Hip/Knee Complications (NQF #1550) measure result for the SHFFT model; and the HCAHPS Survey (NQF #0166) measure result for all of the EPMs. </w:t>
      </w:r>
      <w:r>
        <w:rPr>
          <w:rFonts w:ascii="arial" w:eastAsia="arial" w:hAnsi="arial" w:cs="arial"/>
          <w:b/>
          <w:i w:val="0"/>
          <w:strike w:val="0"/>
          <w:noProof w:val="0"/>
          <w:color w:val="000000"/>
          <w:position w:val="0"/>
          <w:sz w:val="20"/>
          <w:u w:val="none"/>
          <w:vertAlign w:val="baseline"/>
        </w:rPr>
        <w:t> [*359]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measure-specific parameters that would apply to developing the national distributions are displayed in Table 22.</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22--Requirements for Use of Subsection (d) Hospitals That Are Eligible</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Payment Under the IPPS Measure Results in Developing National</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Distribution of Required Measures for EPMS</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Requirements for use in national</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distribution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MORT-30-AMI (NQF #0230)</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least 25 patient cases in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3-year measure performance period.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AMI Excess Days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least 25 patient cases in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3-year measure performance period.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MORT-30-CABG (NQF #2558)</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least 25 patient cases in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3-year measure performance period.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Hip/Knee Complications (NQF #1550)</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least 25 patient cases in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3-year measure performance period.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HCAHPS Survey (#0166)</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least 100 completed surveys in the</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4-quarter reporting period.</w:t>
            </w:r>
          </w:p>
        </w:tc>
      </w:tr>
    </w:tbl>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would assign any low volume EPM participant without a reportable value for the measure, new hospitals that are identified as EPM participants, or EPM participants where We have suppressed the measure value due to an error in the data used to calculate the measure to the 50th performance percentile of the measure result, so as not to disadvantage an EPM participant based on its low volume or lack of applicable cases because that participant may in actuality provide high quality care. We believe that relative measures of quality performance are most appropriate for the EPMs as participants continue to make progress nationally on improving patient outcomes and experience. Proposed measure-specific assignment of points in the EPMs' composite quality scores based on relative quality measure performance are discussed in sections III.E.3.e.(1), (2), and (3)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proposed overall approach to determining quality measure performance based on assigning the EPM participant's measure point estimate to a measure performance percentile based on the national distribution of measure results from subsection (d) hospitals eligible for payment under the IPPS.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comments were received on this proposal so we are finalizing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Determining Quality Measure Improvement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our reasoning for the CJR model, we believe it would be important in the EPMs to directly reward EPM participants for quality improvement, similar to the pay-for-performance policies under other programs such as the HVBP Program and the Shared Savings Program, in order to provide a significant incentive for quality improvement for EPM participants at all current levels of quality performance </w:t>
      </w:r>
      <w:r>
        <w:rPr>
          <w:rFonts w:ascii="arial" w:eastAsia="arial" w:hAnsi="arial" w:cs="arial"/>
          <w:b w:val="0"/>
          <w:i/>
          <w:strike w:val="0"/>
          <w:noProof w:val="0"/>
          <w:color w:val="000000"/>
          <w:position w:val="0"/>
          <w:sz w:val="20"/>
          <w:u w:val="none"/>
          <w:vertAlign w:val="baseline"/>
        </w:rPr>
        <w:t>(70 FR 73379).</w:t>
      </w:r>
      <w:r>
        <w:rPr>
          <w:rFonts w:ascii="arial" w:eastAsia="arial" w:hAnsi="arial" w:cs="arial"/>
          <w:b w:val="0"/>
          <w:i w:val="0"/>
          <w:strike w:val="0"/>
          <w:noProof w:val="0"/>
          <w:color w:val="000000"/>
          <w:position w:val="0"/>
          <w:sz w:val="20"/>
          <w:u w:val="none"/>
          <w:vertAlign w:val="baseline"/>
        </w:rPr>
        <w:t xml:space="preserve"> For the CJR model, we adopted a refinement to the composite quality score methodology that would supplement the composite quality score's valuing of quality performance in the pay-for-performance methodology of the CJR model </w:t>
      </w:r>
      <w:hyperlink r:id="rId21" w:history="1">
        <w:r>
          <w:rPr>
            <w:rFonts w:ascii="arial" w:eastAsia="arial" w:hAnsi="arial" w:cs="arial"/>
            <w:b w:val="0"/>
            <w:i/>
            <w:strike w:val="0"/>
            <w:noProof w:val="0"/>
            <w:color w:val="0077CC"/>
            <w:position w:val="0"/>
            <w:sz w:val="20"/>
            <w:u w:val="single"/>
            <w:vertAlign w:val="baseline"/>
          </w:rPr>
          <w:t>(80 FR 73379).</w:t>
        </w:r>
      </w:hyperlink>
      <w:r>
        <w:rPr>
          <w:rFonts w:ascii="arial" w:eastAsia="arial" w:hAnsi="arial" w:cs="arial"/>
          <w:b w:val="0"/>
          <w:i w:val="0"/>
          <w:strike w:val="0"/>
          <w:noProof w:val="0"/>
          <w:color w:val="000000"/>
          <w:position w:val="0"/>
          <w:sz w:val="20"/>
          <w:u w:val="none"/>
          <w:vertAlign w:val="baseline"/>
        </w:rPr>
        <w:t xml:space="preserve"> As in the CJR model, we believe the heightened focus on EPM episode cost and quality performance by participants in the EPMs may lead to substantial year-over-year quality measure improvement over the EPM performance years. Nevertheless, we believe that the actual level of quality performance achieved in the EPMs should be most highly valued in the EPM composite quality score to reward those participants furnishing high-quality care to EPM beneficiaries, with a small contribution to the composite quality score made by improvement points if measure result improvement is achieved. Thus, we proposed adding into the EPM-specific composite quality score up to 10 percent of the maximum value for each EPM quality measure to which improvement could apply (excluding the voluntary data submission measures) for those EPM participants that demonstrate substantial improvement from the prior year's measure performance on that measure </w:t>
      </w:r>
      <w:hyperlink r:id="rId21" w:history="1">
        <w:r>
          <w:rPr>
            <w:rFonts w:ascii="arial" w:eastAsia="arial" w:hAnsi="arial" w:cs="arial"/>
            <w:b w:val="0"/>
            <w:i/>
            <w:strike w:val="0"/>
            <w:noProof w:val="0"/>
            <w:color w:val="0077CC"/>
            <w:position w:val="0"/>
            <w:sz w:val="20"/>
            <w:u w:val="single"/>
            <w:vertAlign w:val="baseline"/>
          </w:rPr>
          <w:t>(80 FR 73379</w:t>
        </w:r>
      </w:hyperlink>
      <w:r>
        <w:rPr>
          <w:rFonts w:ascii="arial" w:eastAsia="arial" w:hAnsi="arial" w:cs="arial"/>
          <w:b w:val="0"/>
          <w:i w:val="0"/>
          <w:strike w:val="0"/>
          <w:noProof w:val="0"/>
          <w:color w:val="000000"/>
          <w:position w:val="0"/>
          <w:sz w:val="20"/>
          <w:u w:val="none"/>
          <w:vertAlign w:val="baseline"/>
        </w:rPr>
        <w:t xml:space="preserve"> through 73380). The maximum EPM composite quality score would be capped at 20 points under this proposal. Proposed measure-specific assignment of points for improvement in the EPMs' composite quality scores are discussed in sections III.E.3.e.(1), (2), and (3).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AMI and CABG models, we proposed to define measure improvement differently than in the CJR model, using an approach that is more similar to the methodologies of other CMS programs such as the HVBP Program. The CJR model defined measure improvement for model participants relative to a national performance distribution </w:t>
      </w:r>
      <w:hyperlink r:id="rId21" w:history="1">
        <w:r>
          <w:rPr>
            <w:rFonts w:ascii="arial" w:eastAsia="arial" w:hAnsi="arial" w:cs="arial"/>
            <w:b w:val="0"/>
            <w:i/>
            <w:strike w:val="0"/>
            <w:noProof w:val="0"/>
            <w:color w:val="0077CC"/>
            <w:position w:val="0"/>
            <w:sz w:val="20"/>
            <w:u w:val="single"/>
            <w:vertAlign w:val="baseline"/>
          </w:rPr>
          <w:t>(80 FR 73380).</w:t>
        </w:r>
      </w:hyperlink>
      <w:r>
        <w:rPr>
          <w:rFonts w:ascii="arial" w:eastAsia="arial" w:hAnsi="arial" w:cs="arial"/>
          <w:b w:val="0"/>
          <w:i w:val="0"/>
          <w:strike w:val="0"/>
          <w:noProof w:val="0"/>
          <w:color w:val="000000"/>
          <w:position w:val="0"/>
          <w:sz w:val="20"/>
          <w:u w:val="none"/>
          <w:vertAlign w:val="baseline"/>
        </w:rPr>
        <w:t xml:space="preserve"> In contrast, we proposed to define measure improvement as any improvement in an AMI or CABG model participant's own measure point estimate from the previous year, regardless of the participant's measure point estimate starting and ending values, if the AMI or CABG model participant falls into the top 10 percent of participants based on the national distribution of measure improvement over the 2 years for subsection (d) hospitals that are eligible for payment under the IPPS reporting the measure that meet the minimum patient case or survey count. We proposed this approach because it represents the greatest confidence that we are capturing meaningful improvement on a measure by an AMI or CABG model participant in comparison with performance changes of other hospitals yet, unlike the CJR and proposed SHFFT model methodologies, is founded on an AMI or CABG model participant's own measure performance change from year-to-year. We believe that moving toward incorporating a model participant's own measure performance improvement in the pay-for-performance methodologies for EPMs strengthens the incentives in the models for quality improvement, especially for EPM participants at the lower end of current measure performance.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SHFFT model, we proposed to modify the definition of improvement used in the CJR model in two ways </w:t>
      </w:r>
      <w:hyperlink r:id="rId21" w:history="1">
        <w:r>
          <w:rPr>
            <w:rFonts w:ascii="arial" w:eastAsia="arial" w:hAnsi="arial" w:cs="arial"/>
            <w:b w:val="0"/>
            <w:i/>
            <w:strike w:val="0"/>
            <w:noProof w:val="0"/>
            <w:color w:val="0077CC"/>
            <w:position w:val="0"/>
            <w:sz w:val="20"/>
            <w:u w:val="single"/>
            <w:vertAlign w:val="baseline"/>
          </w:rPr>
          <w:t>(80 FR 73379</w:t>
        </w:r>
      </w:hyperlink>
      <w:r>
        <w:rPr>
          <w:rFonts w:ascii="arial" w:eastAsia="arial" w:hAnsi="arial" w:cs="arial"/>
          <w:b w:val="0"/>
          <w:i w:val="0"/>
          <w:strike w:val="0"/>
          <w:noProof w:val="0"/>
          <w:color w:val="000000"/>
          <w:position w:val="0"/>
          <w:sz w:val="20"/>
          <w:u w:val="none"/>
          <w:vertAlign w:val="baseline"/>
        </w:rPr>
        <w:t xml:space="preserve"> through 73380). First, we proposed to define measure improvement as improving 2 deciles or more in comparison to the national distribution of measure results from the prior year, based on a comparison of relative quality measure performance over the most recent 2 years of available quality measure result data. This is the same methodology as finalized for the CJR model, except that it reduces the threshold for improvement from 3 deciles to 2 deciles in order to reward a broader range of improvement. Second, we proposed to award up to 10 percent of the maximum measure performance score on the outcome and patient experience measures described in III.E.3.e.(3)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with a cap of the SHFFT model composite quality score at 20 points. This alters the CJR model methodology, which calculates the measure performance score, voluntary reporting points, and measure improvement score separately for a total potential maximum score of 22. Taken together, these two changes bring calculation of the SHFFT model composite quality score into greater alignment with existing CMS programs, such as the HVBP Program, by expanding the number of SHFFT model participants eligible for quality improvement points but reducing the number of participants who receive both the highest quality performance score on a measure and points for measure improvement simultaneously.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 V.E.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we proposed changes to the CJR model composite quality score calculation consistent with the SHFFT model methodology described here, allowing use of the same definition of quality improvement for the SHFFT and CJR models, because these models would be tested in mostly the same hospitals. We believe this approach would provide SHFFT model participants at all current levels of quality performance, including those historically lagging, with significant incentives to achieve improvement quality of care under the SHFFT model. Using a common approach to measuring quality improvement for the SHFFT and CJR models would provide a single participant-level composite quality score that can be applied at reconciliation for each model to determine the payment policies that would apply to the participant for the CJR and SHFFT model episodes, taking into consideration the different model performance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to determine quality measure improvement for the AMI, CABG, and SHFFT models are included in § 512.315(b)(3), (c)(3), and (d)(3), respectively. We sought comment on our proposals to determine quality measure improvement for the AMI, CABG, and SHFFT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expressed concern that the improvement thresholds are inappropriate, and are not feasible to allow a hospital to earn improvement points. Commenters suggested the CMS consider a scoring methodology similar to the Hospital Value Based Purchasing scoring methodology in this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concern regarding measuring improvement under the model. We did not propose to use the HBVP methodology that assigns either improvement or performance points to quality measures. We believe the actual level of quality performance achieved should be most highly valued in the EPM composite quality score to reward those EPM participants furnishing high quality care to EPM beneficiaries, with a smaller contribution to the EPM composite quality score made by improvement points if measure result improvement is achieved. We acknowledge that substantial improvement on a quality measure result is not the sole indicator that an EPM episode-of-care is high quality; yet, the improvement spurred by the hospital's participation in the EPM deserves to be valued as the EPM participant's performance is moving in a direction that is good for the health of beneficiaries. Thus, the EPM methodology, in comparison with HVBP, provides improvement points as a bonus on top of performance points. We believe improvement points should be awarded only when meaningful improvement is achieved and hospitals will be able to receive improvement points when they achieve meaningful improvement performance For example, if the AMI or CABG model participant falls into the top 10 percent of participants based on the national distribution of measure improvement over the 2 years for subsection (d) hospitals that are eligible for payment under the IPPS reporting the measure that meet the minimum patient case or survey count. We propose this approach because it represents the greatest confidence that we are capturing meaningful improvement on a measure by an AMI or CABG model participant in comparison with performance changes of other hospitals yet, unlike the CJR and proposed SHFFT model methodologies, is founded on an AMI or CABG model participant's own measure performance change from year-to-year.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methodology to determine quality measure improvement for AMI, CABG and SHFFT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Determining Successful Submission of Voluntary Data for AMI and SHFFT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Hybrid AMI Mortality (NQF #2473) Voluntary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CJR model, we proposed that AMI model participants that successfully submit the Hybrid AMI Mortality (NQF #2473) measure voluntary data would be eligible for points in the AMI model composite quality score </w:t>
      </w:r>
      <w:hyperlink r:id="rId21" w:history="1">
        <w:r>
          <w:rPr>
            <w:rFonts w:ascii="arial" w:eastAsia="arial" w:hAnsi="arial" w:cs="arial"/>
            <w:b w:val="0"/>
            <w:i/>
            <w:strike w:val="0"/>
            <w:noProof w:val="0"/>
            <w:color w:val="0077CC"/>
            <w:position w:val="0"/>
            <w:sz w:val="20"/>
            <w:u w:val="single"/>
            <w:vertAlign w:val="baseline"/>
          </w:rPr>
          <w:t>(80 FR 73375, 73381).</w:t>
        </w:r>
      </w:hyperlink>
      <w:r>
        <w:rPr>
          <w:rFonts w:ascii="arial" w:eastAsia="arial" w:hAnsi="arial" w:cs="arial"/>
          <w:b w:val="0"/>
          <w:i w:val="0"/>
          <w:strike w:val="0"/>
          <w:noProof w:val="0"/>
          <w:color w:val="000000"/>
          <w:position w:val="0"/>
          <w:sz w:val="20"/>
          <w:u w:val="none"/>
          <w:vertAlign w:val="baseline"/>
        </w:rPr>
        <w:t xml:space="preserve"> Encouraging collection and submission of the Hybrid AMI Mortality (NQF #2473) measure voluntary data through the AMI model would increase hospital familiarity with submitting hybrid quality measures based on claims data and data submitted from electronic health records; further develop an outcome measure that provides meaningful information on outcomes for AMI hospitalizations that are commonly experienced by Medicare beneficiaries; provide another quality measure that may be incorporated into the AMI model pay-for-performance methodology in future years, pending successful implementation testing of the measure; and inform the quality strategy of future payment models.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requirements for determining successful submission of Hybrid AMI Mortality (NQF #2473) measure voluntary data are included in § 512.411(b)(2) and discussed in detail in section III.E.4.a.(3)(vii)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We sought comment on our proposals for determining successful submission of voluntary data for each AMI model performance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No comments were received on this proposal. Therefore we are finalizing the proposal,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Patient-Reported Outcomes and Limited Risk Variable Voluntary Data Following Elective Primary THA/TKA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the CJR model, we proposed that SHFFT model participants that successfully submit Patient-reported outcomes and limited risk variable voluntary data following elective primary THA/TKA be eligible for points in the SHFFT model composite quality score </w:t>
      </w:r>
      <w:hyperlink r:id="rId21" w:history="1">
        <w:r>
          <w:rPr>
            <w:rFonts w:ascii="arial" w:eastAsia="arial" w:hAnsi="arial" w:cs="arial"/>
            <w:b w:val="0"/>
            <w:i/>
            <w:strike w:val="0"/>
            <w:noProof w:val="0"/>
            <w:color w:val="0077CC"/>
            <w:position w:val="0"/>
            <w:sz w:val="20"/>
            <w:u w:val="single"/>
            <w:vertAlign w:val="baseline"/>
          </w:rPr>
          <w:t>(80 FR 73375, 73381).</w:t>
        </w:r>
      </w:hyperlink>
      <w:r>
        <w:rPr>
          <w:rFonts w:ascii="arial" w:eastAsia="arial" w:hAnsi="arial" w:cs="arial"/>
          <w:b w:val="0"/>
          <w:i w:val="0"/>
          <w:strike w:val="0"/>
          <w:noProof w:val="0"/>
          <w:color w:val="000000"/>
          <w:position w:val="0"/>
          <w:sz w:val="20"/>
          <w:u w:val="none"/>
          <w:vertAlign w:val="baseline"/>
        </w:rPr>
        <w:t xml:space="preserve"> We note that SHFFT model participants that are also participating in the CJR model would not need to submit data twice to satisfy the successful submission requirements of both models. If those hospitals successfully submit voluntary data for the CJR model they would be credited with successful submission under the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requirements for determining successful submission of Patient-reported outcomes and limited risk variable voluntary data following elective primary THA/TKA are included in § 512.13(b)(2) and discussed in detail in section III.E.4.c.(2)(viii)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We sought comment on our proposals for determining successful submission of voluntary data for each SHFFT model performance year. </w:t>
      </w:r>
      <w:r>
        <w:rPr>
          <w:rFonts w:ascii="arial" w:eastAsia="arial" w:hAnsi="arial" w:cs="arial"/>
          <w:b/>
          <w:i w:val="0"/>
          <w:strike w:val="0"/>
          <w:noProof w:val="0"/>
          <w:color w:val="000000"/>
          <w:position w:val="0"/>
          <w:sz w:val="20"/>
          <w:u w:val="none"/>
          <w:vertAlign w:val="baseline"/>
        </w:rPr>
        <w:t> [*361]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No comments were received on this proposal. Therefore we are finalizing the proposal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Calculation of the EPM-Specific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AMI Model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assign each participant an AMI model composite quality score, calculated as the sum of the individual quality measure performance scores (including successful submission of Hybrid AMI Mortality (NQF #2473) measure voluntary data if applicable) and improvement scores. The quality measure performance scores would be set to reflect the intended weights for each of the quality measures and the successful submission of the Hybrid AMI Mortality (NQF #2473) voluntary data in the AMI model composite quality score. Each quality measure performance would be assigned a weight in the AMI model composite quality score, and possible scores for the measures would be set to reflect those weights. We would weight AMI model participant performance on each of the three required measures and successful submission of Hybrid AMI Mortality (NQF #2473) voluntary data according to the measure weights displayed in Table 23.</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12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23--Measures and Associated Performance Weights in AMI Model Composite</w:t>
            </w:r>
          </w:p>
        </w:tc>
      </w:tr>
      <w:tr>
        <w:tblPrEx>
          <w:tblW w:w="0" w:type="auto"/>
          <w:jc w:val="center"/>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P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measure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 in</w:t>
            </w:r>
          </w:p>
        </w:tc>
        <w:tc>
          <w:tcPr>
            <w:tcW w:w="32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domain/weight</w:t>
            </w: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w:t>
            </w: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w:t>
            </w: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3240" w:type="dxa"/>
          </w:tc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MORT-30-AMI (NQF #0230)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Outcome/80%.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AMI Excess Days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3240" w:type="dxa"/>
          </w:tc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Hybrid AMI Mortality (NQF #2473)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3240" w:type="dxa"/>
          </w:tc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Voluntary Data</w:t>
            </w:r>
          </w:p>
        </w:tc>
        <w:tc>
          <w:tcPr>
            <w:tcW w:w="1200" w:type="dxa"/>
            <w:tcBorders>
              <w:bottom w:val="nil"/>
              <w:right w:val="nil"/>
            </w:tcBorders>
          </w:tcPr>
          <w:p/>
        </w:tc>
        <w:tc>
          <w:tcPr>
            <w:tcW w:w="3240" w:type="dxa"/>
          </w:tcPr>
          <w:p/>
        </w:tc>
      </w:tr>
      <w:tr>
        <w:tblPrEx>
          <w:tblW w:w="0" w:type="auto"/>
          <w:jc w:val="center"/>
          <w:tblLayout w:type="fixed"/>
          <w:tblCellMar>
            <w:left w:w="108" w:type="dxa"/>
            <w:right w:w="108" w:type="dxa"/>
          </w:tblCellMar>
        </w:tblPrEx>
        <w:trPr>
          <w:jc w:val="center"/>
        </w:trPr>
        <w:tc>
          <w:tcPr>
            <w:tcW w:w="4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HCAHPS Survey (NQF #0166)</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32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Experience/20%.</w:t>
            </w:r>
          </w:p>
        </w:tc>
      </w:tr>
    </w:tbl>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would assign the lowest weight of 10 percent to the submission of Hybrid AMI Mortality (NQF #2473) measure voluntary data because these data represent an AMI model participant's meaningful participation in advancing the quality measurement of AMI outcomes in keeping with our goal to move toward the use of electronic health records (EHRs) for measures, and in response to stakeholder feedback to include clinical data in outcome measures. Given the importance of AMI mortality as an extremely serious AMI outcome, we proposed to assign the highest individual measure weight of 50 percent to the MORT-30-AMI (NQF #0230) measure. We proposed to assign another 20 percent of the weight to the AMI Excess Days measure that is also included in the outcome quality domain. The remaining 20 percent of the AMI model composite quality score weight would be assigned to the HCAHPS Survey (NQF #0166) measure because we believe that incorporating this quality measure, which reflects performance regarding patients' perspectives on care, including communication, care transitions, and discharge information, is a meaningful patient experience measure of AMI model episode quality. This proposal of weights for the outcome and patient experience quality domains for the AMI model composite quality score is similar to the proposal of weights for the CABG model composite quality score described later in this section. We would assign the highest overall weight to the outcome quality domain (consisting of two measures and voluntary data submission) because the measures in this quality domain are specific to meaningful outcomes for AMI model beneficiaries. We did not propose to assign the HCAHPS survey (NQF #0166) measure the highest weight of the quality and patient experience domains, as the measure is not specific to AMI model episodes, but rather to all clinical conditions treated by AMI model participants. Unlike the CJR model where the quality measure weights in the CJR model composite quality score relatively evenly balance the outcome and patient experience quality domains, we would assign the highest weight in the AMI model to the outcome quality domain (consisting of two measures and voluntary data submission) because the measures in this quality domain are specific to meaningful, serious outcomes for AMI model beneficiaries, especially mortality which is not an outcome measure used in the CJR model composite quality score </w:t>
      </w:r>
      <w:hyperlink r:id="rId21" w:history="1">
        <w:r>
          <w:rPr>
            <w:rFonts w:ascii="arial" w:eastAsia="arial" w:hAnsi="arial" w:cs="arial"/>
            <w:b w:val="0"/>
            <w:i/>
            <w:strike w:val="0"/>
            <w:noProof w:val="0"/>
            <w:color w:val="0077CC"/>
            <w:position w:val="0"/>
            <w:sz w:val="20"/>
            <w:u w:val="single"/>
            <w:vertAlign w:val="baseline"/>
          </w:rPr>
          <w:t>(80 FR 73375).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such an approach, we would first score individually each AMI model participant on the MORT-30-AMI (NQF #0230) measure; AMI Excess Days measure; and HCAHPS Survey (NQF #0166) measure based on the AMI model participant's performance percentile as compared to the national distribution of subsection (d) hospitals that are eligible for payment under the IPPS measure performance, assigning scores according to the point values displayed in Table 24. These individual measure scores have been set to reflect the measure weights included in Table 23 so they can ultimately be summed without adjustment in calculating the AMI model composite quality score.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24--Individual Measure Performance Scoring for Three Required AMI</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Measures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MORT-30-AMI</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AMI excess days</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HCAHPS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percentile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survey</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90th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80th and &lt;90th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70th and &lt;80th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60th and &lt;70th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50th and &lt;60th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40th and &lt;50th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30th and &lt;40th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2.20</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&lt;30th</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[*362]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current national distribution of subsection (d) hospitals eligible for payment under the IPPS performance on these measures, we believe that small point increments related to higher measure performance deciles would be the most appropriate way to assign more points to reflect meaningfully higher quality performance on the measures. The absolute differences for each decile among the three measures reflect the intended weight of the measure in the AMI model composite quality score. These three measures are well-established measures in use under CMS hospital programs, so we do not believe that scores below the 30th percentile reflect quality performance such that they should be assigned any individual quality measure score points under the AMI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would assign a measure quality score of 2 points for AMI model participants that successfully submit Hybrid AMI Mortality (NQF #2473) measure voluntary data and 0 points for participants that do not successfully submit these data. Because we would not use the actual Hybrid AMI Mortality (NQF #2473) measure result as an outcome measure in assessing AMI episode quality performance under the AMI model, we proposed this straightforward binary approach to scoring the submission of Hybrid AMI Mortality (NQF #2473) measure voluntary data for hybrid outcome measure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CMS may, in future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hospitals to report additional data elements from EHRs and proposed additional hybrid measures in this and other models and programs, such as the HIQR Program. If, in future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hospitals are required to report these same five data elements (age; heart rate; systolic blood pressure; troponin, creatinine) and six linking variables (CMS Certification Number (CCN), Medicare Health Insurance Claim (HIC) Number, date of birth, sex, admission date, and discharge date) that are included in the Hybrid AMI Mortality (NQF #2473) measure to support measurement through another CMS program, such as the HIQR Program, CMS may propose changes to the AMI model measures and the methodology for assigning the AMI model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would award improvement scores on a measure-by-measure basis to those AMI model participants that demonstrate improvement on the measure; improvement points would be awarded for up to 10 percent of the maximum measure performance points available, with the total AMI model composite quality score capped at 20. Thus, improvement scores would be up to 1.0 points for the MORT-30-AMI (NQF #0230) measure; up to 0.4 points for the AMI Excess Days measure; and up to 0.4 points for the HCAHPS Survey (NQF #0166)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sum the performance and improvement scores on the three quality measures and the score on successful submission of Hybrid AMI Mortality (NQF #2473) measure voluntary data to calculate an AMI composite quality score for each AMI model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the methodology to calculate the AMI model composite quality score is included in § 512.315(b)(1)-(4). We sought comment on our proposed methodology to calculate the AMI model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group of commenters believe the 30 Day Mortality measure is weighted too heavily under the proposed model. Several commenters expressed concern that this measure will not accurately measure quality of care across the proposed 90-day episode of care and therefore should not be weighted so heavily.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regarding the heavy weighting that was proposed for the 30-Day Mortality measure. Mortality is a very serious outcome for AMI care and is one that model participants should manage to avoid. We have chosen to weight this measure so heavily because there at not many measures that will accurately measure quality for the EPM model. The mortality measure will assess a specific serious outcomes for these episodes, therefore we proposed high weights for this measure in the scoring methodology.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concerned that HCAHPS are inappropriate and misaligned quality metric for this model. Several commenters have stated that this measure is hospital centric and will not address the patient experience of care for the entire episode therefore weighting this measure in the scoring methodology is an inappropriate approach to hold participants accountable for the overall beneficiary satisfaction during an episode. There is a general consensus that these measures are poorly aligned with the proposed cohorts.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concern that the use of HCAHPS may not accurately assess patient satisfaction and quality related to the model specifically. However we have proposed the use of this instrument to access the patient satisfaction under the model as a readily available instrument to assess quality of care for patients. We will include the HCAHPS survey measure instrument until other alternative measures are 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the AMI composite quality scoring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CABG Model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assign each participant a CABG model composite quality score, calculated as the sum of the individual quality measure performance and improvement scores. The quality measure performance scores would be set to reflect the intended weights for each of the quality measures. Each quality measure performance would be assigned a weight in the CABG model composite quality score and possible scores for the measures would be set to reflect those weights. We would weight CABG model participant performance on each of the two required measures according to the measure weights displayed in Table 25.</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12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25--Measures and Associated Performance Weights in CABG Model Composite</w:t>
            </w:r>
          </w:p>
        </w:tc>
      </w:tr>
      <w:tr>
        <w:tblPrEx>
          <w:tblW w:w="0" w:type="auto"/>
          <w:jc w:val="center"/>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P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measure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 in</w:t>
            </w:r>
          </w:p>
        </w:tc>
        <w:tc>
          <w:tcPr>
            <w:tcW w:w="32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domain/weight</w:t>
            </w: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w:t>
            </w: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w:t>
            </w: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3240" w:type="dxa"/>
          </w:tc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MORT-30-CABG (NQF #2558)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Outcome/75%.</w:t>
            </w:r>
          </w:p>
        </w:tc>
      </w:tr>
      <w:tr>
        <w:tblPrEx>
          <w:tblW w:w="0" w:type="auto"/>
          <w:jc w:val="center"/>
          <w:tblLayout w:type="fixed"/>
          <w:tblCellMar>
            <w:left w:w="108" w:type="dxa"/>
            <w:right w:w="108" w:type="dxa"/>
          </w:tblCellMar>
        </w:tblPrEx>
        <w:trPr>
          <w:jc w:val="center"/>
        </w:trPr>
        <w:tc>
          <w:tcPr>
            <w:tcW w:w="4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HCAHPS Survey (NQF #0166)</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32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Experience/25%.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[*363]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assign 75 percent of the weight in the CABG model composite quality score to the outcome quality domain, assigning all weight to the MORT-30-CABG (NQF #2558) measure, and the remaining 25 percent of the CABG model composite quality score weight to the HCAHPS Survey (NQF #0166) measure representing the patient experience quality domain. This proposal of weights for the outcome and patient experience quality domains for the CABG model composite quality score is similar to the proposal of weights for the AMI model composite quality score described previously in this section. CABG mortality is an extremely serious outcome and, like our proposal for the Mort-30-AMI (NQF #230) measure in the AMI model composite quality score, we proposed that the MORT-30-CABG (NQF #2558) measure would have the highest individual measure weight in the CABG model composite quality score. We would assign 25 percent of the weight to the HCAHPS survey measure (NQF #0166) because we believe that incorporating this quality measure, which reflects performance regarding patients' perspectives on care, including communication, care transitions, and discharge information, is a meaningful patient experience measure of CABG model episode quality. We would assign the highest overall weight to the outcome quality domain (consisting of one measure) because it is specific to meaningful outcomes for CABG surgery for CABG model beneficiaries. We did not propose to assign the HCAHPS survey (NQF #0166) measure the highest weight of the quality and patient experience quality domains, as the measure is not specific to CABG model episodes, but rather to all clinical conditions treated by CABG model participants. Unlike the CJR model where the measure weights in the CJR model composite quality score relatively evenly balance the outcome and patient experience quality domains, CABG mortality representing the outcome quality domain is a serious outcome specific to CABG model beneficiaries such that we believe it deserves a high weight in the proposed CABG model composite quality score </w:t>
      </w:r>
      <w:hyperlink r:id="rId21" w:history="1">
        <w:r>
          <w:rPr>
            <w:rFonts w:ascii="arial" w:eastAsia="arial" w:hAnsi="arial" w:cs="arial"/>
            <w:b w:val="0"/>
            <w:i/>
            <w:strike w:val="0"/>
            <w:noProof w:val="0"/>
            <w:color w:val="0077CC"/>
            <w:position w:val="0"/>
            <w:sz w:val="20"/>
            <w:u w:val="single"/>
            <w:vertAlign w:val="baseline"/>
          </w:rPr>
          <w:t>(80 FR 73375).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such an approach, we would first score individually each CABG model participant on the MORT-30-CABG (NQF #2558) measure; and HCAHPS Survey (NQF #0166) measure based on the participant's performance percentile as compared to the national distribution of subsection (d) hospitals that are eligible for payment under the IPPS measure performance, assigning scores according to the point values displayed in Table 26. These individual measure scores have been set to reflect the measure weights included in Table 25 so they can ultimately be summed without adjustment in calculating the CABG model composite quality score.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26--Individual Scoring for Two Required CABG Quality Measures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 percentile</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MORT-30-CABG</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HCAHPS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survey</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90th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80th and &lt;90th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13.88</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70th and &lt;80th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12.75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60th and &lt;70th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11.63</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3.88</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50th and &lt;60th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40th and &lt;50th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9.38</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30th and &lt;40th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2.75</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&lt;30th</w:t>
            </w: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3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current national distribution of subsection (d) hospitals that are eligible for payment under the IPPS performance on these measures, we believe that small point increments related to higher measure performance deciles would be the most appropriate way to assign more points to reflect meaningfully higher quality performance on the measures. The absolute differences for each decile among the two measures reflect the intended weight of the measure in the CABG model composite quality score. These two measures are well-established measures in use under CMS hospital programs, so we do not believe that scores below the 30th percentile reflect quality performance such that they should be assigned any individual quality measure score points under the CABG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would award improvement scores on a measure-by-measure basis to those CABG model participants that demonstrate improvement on the measure; improvement points would be awarded for up to 10 percent of the maximum measure performance points available, with the total CABG model composite quality score capped at 20. Thus, improvement scores would be up to 1.5 points for the MORT-30-CABG (NQF #2558) measure; and up to 0.5 points for the HCAHPS Survey (NQF #0166)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sum the performance and improvement scores on the two quality measures to calculate a CABG model composite quality score for each CABG model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the methodology to calculate the CABG model composite quality score is included in § 512.315(c)(1) through (4). We sought comment on our proposed methodology to calculate the CABG model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group of commenters believe the 30 Day Mortality measure is weighted too heavily under the proposed model. Several commenters expressed concern that this measure will not accurately measure quality of care across the proposed 90-day episode of care and therefore should not be weighted so heavily.  Several commenters expressed concern about the proposed weighting of the MORT-30-CABG at 50 percent pf the composite quality score because the high weight assigned to the (RSMR) 30 day-mortality rate could encourage inappropriate treatment such as total revascularization even when not clinically indicated at the time of the acute event.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regarding the heavy weighting that was proposed for the 30-Day Mortality measure. Mortality is a very serious outcome for CABG care and is one that model participants should manage to avoid. We have chosen to weight this measure so heavily because there at not many measures that will accurately measure quality for the EPM model. The mortality measure will assess a specific serious outcomes for these episodes, therefore we proposed </w:t>
      </w:r>
      <w:r>
        <w:rPr>
          <w:rFonts w:ascii="arial" w:eastAsia="arial" w:hAnsi="arial" w:cs="arial"/>
          <w:b/>
          <w:i w:val="0"/>
          <w:strike w:val="0"/>
          <w:noProof w:val="0"/>
          <w:color w:val="000000"/>
          <w:position w:val="0"/>
          <w:sz w:val="20"/>
          <w:u w:val="none"/>
          <w:vertAlign w:val="baseline"/>
        </w:rPr>
        <w:t> [*364] </w:t>
      </w:r>
      <w:r>
        <w:rPr>
          <w:rFonts w:ascii="arial" w:eastAsia="arial" w:hAnsi="arial" w:cs="arial"/>
          <w:b w:val="0"/>
          <w:i w:val="0"/>
          <w:strike w:val="0"/>
          <w:noProof w:val="0"/>
          <w:color w:val="000000"/>
          <w:position w:val="0"/>
          <w:sz w:val="20"/>
          <w:u w:val="none"/>
          <w:vertAlign w:val="baseline"/>
        </w:rPr>
        <w:t xml:space="preserve"> high weights for this measure in the scoring methodology. We do not believe the use of this measure will lead to inappropriate treatment and intend to monitor for such activities under the model. However, we note that we will be making a slight downward adjustment in the weight this measure carries, from 75 percent to 70 percent in response to comments asking us to incorporate the STS composite CABG measure in our CABG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that the use of HCAHPS is inappropriate in the model and recommended removal of these measures. These is concern that the HCAHP scores reflect an entire patient population and not just those included in the EPM episodes specifically. There is also concern that HCAHPS fail to address several important aspects of the EPM episode, and instead focus on aspects of care that not are germane to the episode like "quietness" of a hospital for example. Commenters believe the use of these measures and weighting of the measures for this model is inappropriate and a misaligned approach to linking quality of care to payment under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concerns regarding HCAHPS and as mentioned in the proposed rule recognizes the misalignment of measures that exists for the patient population and cohort under the model. However, there are limited instruments available to measure patient experience available at this time. We have chosen to rely on these metrics to assess patient satisfaction under the model. The HCAHPS are a reliable set of metrics widely accepted to adequately measure patient experience. However, we note that we will be making a slight downward adjustment in the weight this measure carries, from 25 percent to 20: Percent in response to comments asking us to incorporate the STS composite CABG measure in our CABG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group of commenters recommended that the STS measure set be included in the CABG measure set as a comprehensive set of measures currently utilized by several providers to access the quality of care for patients.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feedback regarding the inclusion of the STS measures into the CABG model to offer a more comprehensive measure set. As a result the CABG quality composite score will be revised to include these measures be reported as a voluntary measures. Following our standing policy for CJR and for the other models in this final rule, voluntary measures are set to a composite score weight of 10 percent. Since we had previously allocated 100 percent of the composite weight over the two proposed measures, to be responsive to these comments we also need to adjust the proposed weighting for the mortality and HCAHPS measures. The revised weighting for the CABG measures is shown in the following revised tables 27 and 28:</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12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27--Measures and Associated Performance Weights in CABG Model Composite</w:t>
            </w:r>
          </w:p>
        </w:tc>
      </w:tr>
      <w:tr>
        <w:tblPrEx>
          <w:tblW w:w="0" w:type="auto"/>
          <w:jc w:val="center"/>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P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measure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 in</w:t>
            </w:r>
          </w:p>
        </w:tc>
        <w:tc>
          <w:tcPr>
            <w:tcW w:w="32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domain/weight</w:t>
            </w: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w:t>
            </w: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w:t>
            </w: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3240" w:type="dxa"/>
          </w:tc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MORT-30-CABG (NQF #2558)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Outcome/80%.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STS Composite CABG voluntary data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3240" w:type="dxa"/>
          </w:tc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submission (NQF #0696)</w:t>
            </w:r>
          </w:p>
        </w:tc>
        <w:tc>
          <w:tcPr>
            <w:tcW w:w="1200" w:type="dxa"/>
            <w:tcBorders>
              <w:bottom w:val="nil"/>
              <w:right w:val="nil"/>
            </w:tcBorders>
          </w:tcPr>
          <w:p/>
        </w:tc>
        <w:tc>
          <w:tcPr>
            <w:tcW w:w="3240" w:type="dxa"/>
          </w:tcPr>
          <w:p/>
        </w:tc>
      </w:tr>
      <w:tr>
        <w:tblPrEx>
          <w:tblW w:w="0" w:type="auto"/>
          <w:jc w:val="center"/>
          <w:tblLayout w:type="fixed"/>
          <w:tblCellMar>
            <w:left w:w="108" w:type="dxa"/>
            <w:right w:w="108" w:type="dxa"/>
          </w:tblCellMar>
        </w:tblPrEx>
        <w:trPr>
          <w:jc w:val="center"/>
        </w:trPr>
        <w:tc>
          <w:tcPr>
            <w:tcW w:w="4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HCAHPS Survey (NQF #0166)</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32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Experience/20%.</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28--Individual Scoring for Two Required CABG Quality Measures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 percentile</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MORT-30-CABG</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HCAHPS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survey</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90th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80th and &lt;90th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12.95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70th and &lt;80th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11.90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60th and &lt;70th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50th and &lt;60th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40th and &lt;50th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30th and &lt;40th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&lt;30th</w:t>
            </w: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 modification, to include the STS measures as voluntary measures with the revised weights displayed in Tables 27 and 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SHFFT Model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adopt the same calculation of the SHFFT model composite quality score as the CJR model, including the proposed changes to the CJR model composite quality score methodology described in section V.E.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For those participants in both SHFFT and CJR models, the SHFFT model composite quality score calculated each year would be the same as the CJR model composite quality score </w:t>
      </w:r>
      <w:hyperlink r:id="rId21" w:history="1">
        <w:r>
          <w:rPr>
            <w:rFonts w:ascii="arial" w:eastAsia="arial" w:hAnsi="arial" w:cs="arial"/>
            <w:b w:val="0"/>
            <w:i/>
            <w:strike w:val="0"/>
            <w:noProof w:val="0"/>
            <w:color w:val="0077CC"/>
            <w:position w:val="0"/>
            <w:sz w:val="20"/>
            <w:u w:val="single"/>
            <w:vertAlign w:val="baseline"/>
          </w:rPr>
          <w:t>(80 FR 73370</w:t>
        </w:r>
      </w:hyperlink>
      <w:r>
        <w:rPr>
          <w:rFonts w:ascii="arial" w:eastAsia="arial" w:hAnsi="arial" w:cs="arial"/>
          <w:b w:val="0"/>
          <w:i w:val="0"/>
          <w:strike w:val="0"/>
          <w:noProof w:val="0"/>
          <w:color w:val="000000"/>
          <w:position w:val="0"/>
          <w:sz w:val="20"/>
          <w:u w:val="none"/>
          <w:vertAlign w:val="baseline"/>
        </w:rPr>
        <w:t xml:space="preserve"> through 73381). We proposed to assign each SHFFT model participant a SHFFT model composite quality score, capped at 20 points and calculated as the sum of the individual quality measure and improvement scores as well as successful submission of THA/TKA voluntary PRO and limited risk variable data if applicable. The quality measure performance scores would be set to reflect the intended weights for each of the quality measures. Each quality measure performance would be assigned a weight in the SHFFT model composite quality score and possible scores for the measures would be set to reflect those weights. We would weight SHFFT model participant performance on each of the two required measures and successful submission of THA/TKA voluntary PRO and limited risk variable data according to the measure weights displayed in Table 41. </w:t>
      </w:r>
      <w:r>
        <w:rPr>
          <w:rFonts w:ascii="arial" w:eastAsia="arial" w:hAnsi="arial" w:cs="arial"/>
          <w:b/>
          <w:i w:val="0"/>
          <w:strike w:val="0"/>
          <w:noProof w:val="0"/>
          <w:color w:val="000000"/>
          <w:position w:val="0"/>
          <w:sz w:val="20"/>
          <w:u w:val="none"/>
          <w:vertAlign w:val="baseline"/>
        </w:rPr>
        <w:t> [*365]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12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29--Measures and Associated Performance Weights in SHFFT Model</w:t>
            </w:r>
          </w:p>
        </w:tc>
      </w:tr>
      <w:tr>
        <w:tblPrEx>
          <w:tblW w:w="0" w:type="auto"/>
          <w:jc w:val="center"/>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 Quality Score</w:t>
            </w: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P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measure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 in</w:t>
            </w:r>
          </w:p>
        </w:tc>
        <w:tc>
          <w:tcPr>
            <w:tcW w:w="32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domain/weight</w:t>
            </w: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w:t>
            </w: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w:t>
            </w: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3240" w:type="dxa"/>
          </w:tc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Hip/Knee Complications (NQF #1550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Outcome/50%.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voluntary PRO and limited risk</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Experience/50%.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variable submission</w:t>
            </w:r>
          </w:p>
        </w:tc>
        <w:tc>
          <w:tcPr>
            <w:tcW w:w="1200" w:type="dxa"/>
            <w:tcBorders>
              <w:bottom w:val="nil"/>
              <w:right w:val="nil"/>
            </w:tcBorders>
          </w:tcPr>
          <w:p/>
        </w:tc>
        <w:tc>
          <w:tcPr>
            <w:tcW w:w="3240" w:type="dxa"/>
          </w:tcPr>
          <w:p/>
        </w:tc>
      </w:tr>
      <w:tr>
        <w:tblPrEx>
          <w:tblW w:w="0" w:type="auto"/>
          <w:jc w:val="center"/>
          <w:tblLayout w:type="fixed"/>
          <w:tblCellMar>
            <w:left w:w="108" w:type="dxa"/>
            <w:right w:w="108" w:type="dxa"/>
          </w:tblCellMar>
        </w:tblPrEx>
        <w:trPr>
          <w:jc w:val="center"/>
        </w:trPr>
        <w:tc>
          <w:tcPr>
            <w:tcW w:w="4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HCAHPS Survey (NQF #0166)</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3240" w:type="dxa"/>
          </w:tcPr>
          <w:p/>
        </w:tc>
      </w:tr>
    </w:tbl>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CJR model, we proposed to assign 50 percent of the weight in the SHFFT model composite quality score to the outcome quality domain, assigning 50 percent of the weight to the Hip/Knee Complications (NQF #1550) measure. We proposed to assign 50 percent of the weight to the patient experience quality domain, specifically 10 percent of the weight in that quality domain to the THA/TKA voluntary PRO and limited risk variable submission. We would assign 40 percent of the weight to the HCAHPS survey measure (NQF #0166) representing the patient experience </w:t>
      </w:r>
      <w:hyperlink r:id="rId21" w:history="1">
        <w:r>
          <w:rPr>
            <w:rFonts w:ascii="arial" w:eastAsia="arial" w:hAnsi="arial" w:cs="arial"/>
            <w:b w:val="0"/>
            <w:i/>
            <w:strike w:val="0"/>
            <w:noProof w:val="0"/>
            <w:color w:val="0077CC"/>
            <w:position w:val="0"/>
            <w:sz w:val="20"/>
            <w:u w:val="single"/>
            <w:vertAlign w:val="baseline"/>
          </w:rPr>
          <w:t>(80 FR 73375).</w:t>
        </w:r>
      </w:hyperlink>
      <w:r>
        <w:rPr>
          <w:rFonts w:ascii="arial" w:eastAsia="arial" w:hAnsi="arial" w:cs="arial"/>
          <w:b w:val="0"/>
          <w:i w:val="0"/>
          <w:strike w:val="0"/>
          <w:noProof w:val="0"/>
          <w:color w:val="000000"/>
          <w:position w:val="0"/>
          <w:sz w:val="20"/>
          <w:u w:val="none"/>
          <w:vertAlign w:val="baseline"/>
        </w:rPr>
        <w:t xml:space="preserve"> We would assign 40 percent to the HCAHPS survey measure (NQF #0166) because we believe that incorporating this quality measure, which reflects performance regarding patients' perspectives on care, including communication, care transitions, and discharge information, is a highly meaningful outcome measure of SHFFT episode quality under the SHFFT model, and because doing so ensures that there is a consistent methodology for linking quality performance and improvement to payment for SHFFT model participants that are also participating in the CJR model. As in the CJR model, we believe this weighting appropriately balances patient experience with meaningful health outcomes for beneficiaries </w:t>
      </w:r>
      <w:hyperlink r:id="rId21" w:history="1">
        <w:r>
          <w:rPr>
            <w:rFonts w:ascii="arial" w:eastAsia="arial" w:hAnsi="arial" w:cs="arial"/>
            <w:b w:val="0"/>
            <w:i/>
            <w:strike w:val="0"/>
            <w:noProof w:val="0"/>
            <w:color w:val="0077CC"/>
            <w:position w:val="0"/>
            <w:sz w:val="20"/>
            <w:u w:val="single"/>
            <w:vertAlign w:val="baseline"/>
          </w:rPr>
          <w:t>(80 FR 73375).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such an approach, we would first score individually each SHFFT model participant on the Hip/Knee Complications (NQF #1550) measure; and HCAHPS Survey (NQF #0166) measure based on the participant's performance percentile as compared to the national distribution of subsection (d) hospitals that are eligible for payment under the IPPS measure performance, assigning scores according to the point values displayed in Table 30. These individual measure scores have been set to reflect the measure weights included in Table 29 so they can ultimately be summed without adjustment in calculating the SHFFT model composite quality score. We note that the point score for each decile for the two measures for the SHFFT model is the same as that used for other CJR model.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30--Individual Scoring for Two Required SHFFT Quality Measures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 percentile</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Hip/Knee</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HCAHPS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complications</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survey quality</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90th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80th and &lt;90th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70th and &lt;80th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60th and &lt;70th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50th and &lt;60th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40th and &lt;50th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30th and &lt;40th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4.40</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&lt;30th</w:t>
            </w: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3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current national distribution of subsection (d) hospitals that are eligible for payment under the IPPS performance on these measures, we believe that small point increments related to higher measure performance deciles would be the most appropriate way to assign more points to reflect meaningfully higher quality performance on the measures. The absolute differences for each decile among the three measures reflect the intended weight of the measure in the SHFFT model composite quality score. These two measures are well-established measures in use under CMS hospital programs, so we do not believe that scores below the 30th percentile reflect quality performance such that they should be assigned any individual quality measure score points under the SHFFT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in the CJR model, we proposed to assign a measure quality score of 2 points for SHFFT model participants that successfully submit THA/TKA voluntary PRO and limited risk variable data and 0 points for participants that do not successfully submit these data </w:t>
      </w:r>
      <w:hyperlink r:id="rId21" w:history="1">
        <w:r>
          <w:rPr>
            <w:rFonts w:ascii="arial" w:eastAsia="arial" w:hAnsi="arial" w:cs="arial"/>
            <w:b w:val="0"/>
            <w:i/>
            <w:strike w:val="0"/>
            <w:noProof w:val="0"/>
            <w:color w:val="0077CC"/>
            <w:position w:val="0"/>
            <w:sz w:val="20"/>
            <w:u w:val="single"/>
            <w:vertAlign w:val="baseline"/>
          </w:rPr>
          <w:t>(80 FR 73376).</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would award improvement scores on a measure-by-measure basis to those SHFFT model participants that demonstrate improvement on the measure (defined as year-over-year improvement of 2 or more deciles in the performance distribution); improvement points would be awarded for up to 10 percent of the maximum measure performance points available, with the total SHFFT model composite quality score capped at 20. Thus, improvement scores would be up to 1.0 points for the Hip/Knee Complications (NQF #1550) measure; and up to 0.8 points for the HCAHPS Survey (NQF #0166)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sum the performance and improvement scores on the two required quality measures and the score on successful submission of THA/TKA voluntary PRO and limited risk variable data to calculate a SHFFT model composite quality score for each SHFFT model participant. For those CJR model participants (the majority of SHFFT model participants), the SHFFT model composite quality score would be the same as the participant's score for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for the methodology to calculate the SHFFT model composite </w:t>
      </w:r>
      <w:r>
        <w:rPr>
          <w:rFonts w:ascii="arial" w:eastAsia="arial" w:hAnsi="arial" w:cs="arial"/>
          <w:b/>
          <w:i w:val="0"/>
          <w:strike w:val="0"/>
          <w:noProof w:val="0"/>
          <w:color w:val="000000"/>
          <w:position w:val="0"/>
          <w:sz w:val="20"/>
          <w:u w:val="none"/>
          <w:vertAlign w:val="baseline"/>
        </w:rPr>
        <w:t> [*366] </w:t>
      </w:r>
      <w:r>
        <w:rPr>
          <w:rFonts w:ascii="arial" w:eastAsia="arial" w:hAnsi="arial" w:cs="arial"/>
          <w:b w:val="0"/>
          <w:i w:val="0"/>
          <w:strike w:val="0"/>
          <w:noProof w:val="0"/>
          <w:color w:val="000000"/>
          <w:position w:val="0"/>
          <w:sz w:val="20"/>
          <w:u w:val="none"/>
          <w:vertAlign w:val="baseline"/>
        </w:rPr>
        <w:t xml:space="preserve"> quality score is included in § 512.315(d)(1) through (4). We sought comment on our proposed methodology to calculate the SHFFT model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that the use of HCAHPS is inappropriate in the model and recommended removal of these measures. These is concern that the HCAHP scores reflect an entire patient population and not just those included in the EPM episodes specifically. There is also concern that HCAHPS fail to address several important aspects of the EPM episode, and instead focus on aspects of care that not germane to the episode like "quietness" of a hospital for example. Commenters believe the use of these measures and weighting of the measures for this model is inappropriate and a misaligned approach to linking quality of care to payment under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concerns regarding HCAHPS and as mentioned in the proposed rule recognizes the misalignment of measures that exists for the patient population and cohort under the model. However, there are limited instruments available to measure patient experience available at this time. We have chosen to rely on these metrics to assess patient satisfaction under the model. The HCAHPS are a reliable set of metrics widely accepted to adequately measure patient experience.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urged CMS to use the CJR composite scoring methodology.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for utilizing the CJR composite scoring methodology in the SHFFT model as proposed. We believe the SHFFT model composite scoring methodology accurately reflects the quality measures that will be assessed under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EPM Pay-for-Performance Methodologies to Link Quality and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Overview of Pay-for-Performance Proposals Applicable to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 the CJR model, we proposed that the maximum effective discount factor for all EPM participants that could be incorporated in quality-adjusted target prices would be 3.0 percent (80 FR 733760). We refer to section III.D.4.b.(10) of this final rule for further discussion of the application of the effective discount factor to EPM-episode benchmark prices in calculating quality-adjusted target prices. EPM participants that provide high-quality episode care would have the opportunity to reduce the effective discount factor used to calculate their quality-adjusted prices at reconciliation. The effective discount factors are displayed in tables in the following EPM-specific sections, based on the EPM-specific composite quality score that would place each EPM participant into one of four quality categories, specifically "Below Acceptable," "Acceptable," "Good," and "Excellent," for each EPM performance year. Three tables are required to display the proposed effective discount factor and applicable discount factor (the discount factor that represents the phase-in of repayment responsibility in performance years 2 (DR) and 3) for each quality category due to the phase-in of EPM participant repayment responsibility from no responsibility in performance year 1 and performance year 2 (NDR), to partial responsibility in performance years 2 (DR) and 3, and finally full responsibility in performance years 4 and 5 as discussed in section III.D.2.c. Note that the applicable discount factor only applies to EPM performance years 2 (DR) and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suggests that CMS heavily skew the point distributions for the models so that the majority of the hospitals fall into the "good" category of performance. There is concern that the disparity between excellent and good would be great across the model using the proposed methodology. Commenters believe the bar for achieving "excellent" care is set too high and strongly recommended that threshold be lowered to allow for more hospitals to be placed into the "excellent" category under the three models. Lowering the "excellent" threshold would correctly recognize additional institutions that are achieving high levels of quality of care for their patients.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with the commenters that the bar for achieving excellent care is set too high. In modeling the score ranges for the different improvement categories, we are assuming that the majority of model participants will score within the 'good' category. We have proposed to award up to 10 percent of the maximum measure points available and believe that the standard for providing excellent quality of care should be high.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supports CMS's stated belief that the EPM models should use the pay for performance methodologies that simultaneously reward improvement in patient outcomes and lower health care spending. The commenter supports the proposal to pay on a quality first principle: Only sharing saving with hospitals that achieve quality scores above the 30th percentile and weighting the discount percentage based on quality 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and appreciate your support for the payment methodology and quality driven focus of this model. CMS is committed to linking payments to the quality of care delivered across this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urged CMS to explore a reward for higher quality, and consider paying bonuses to hospitals which improve quality while keeping costs stable. Under the proposed model there is no reward for a hospital that achieves better outcomes for its patients at the same cost. Under the proposed model, quality measurement only comes into play as a punitive measure. If spending is the same but quality is higher, there is no bonus.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basic design of the EPMs requires savings to Medicare first, before any payment would be made to EPM participants for future savings Thus, the payments to EPM participants are not "bonus" Payments to participants may vary based on episode quality. Quality is not used as a "punitive" measure but, rather, improved quality allows EPM participants to receive a higher amount of their savings achieved. No payment is made to any EPM participant under the design when there are no measurable savings to the Medicare program. Rewarding hospitals who achieve higher quality at the same cost is not within the scope of this model or the intent.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AMI and CABG Model Pay-for-Performance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AMI Model Pay-for-Performance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incorporate the AMI model composite quality score in the AMI model payment methodology by (1) requiring a minimum AMI model composite quality score for reconciliation payment eligibility if the AMI model participant's actual episode payments are less than the quality-adjusted target price and (2) determining the effective discount factor included in the quality-adjusted target price experienced by the AMI model </w:t>
      </w:r>
      <w:r>
        <w:rPr>
          <w:rFonts w:ascii="arial" w:eastAsia="arial" w:hAnsi="arial" w:cs="arial"/>
          <w:b/>
          <w:i w:val="0"/>
          <w:strike w:val="0"/>
          <w:noProof w:val="0"/>
          <w:color w:val="000000"/>
          <w:position w:val="0"/>
          <w:sz w:val="20"/>
          <w:u w:val="none"/>
          <w:vertAlign w:val="baseline"/>
        </w:rPr>
        <w:t> [*367] </w:t>
      </w:r>
      <w:r>
        <w:rPr>
          <w:rFonts w:ascii="arial" w:eastAsia="arial" w:hAnsi="arial" w:cs="arial"/>
          <w:b w:val="0"/>
          <w:i w:val="0"/>
          <w:strike w:val="0"/>
          <w:noProof w:val="0"/>
          <w:color w:val="000000"/>
          <w:position w:val="0"/>
          <w:sz w:val="20"/>
          <w:u w:val="none"/>
          <w:vertAlign w:val="baseline"/>
        </w:rPr>
        <w:t xml:space="preserve"> participant in the reconciliation process. The payment policies we would apply are displayed in Tables 31, 32, and 33 for the performance years of the AMI model. Under the AMI model as proposed, there is no AMI model participant repayment responsibility in performance year 1 and performance year 2 (NDR) and this responsibility begins to be phased-in in performance year 2 (DR), with full implementation in performance year 4. Because repayment responsibility is phased-in, in performance years 2 (DR) and 3, repayment responsibility only applies to a portion of the amount of excess AMI model episode spending that results from the quality-adjusted target prices that include the AMI model participant's effective discount factor. We, therefore, refer in the repayment column to the applicable discount factor for repayment amount in performance years 2 (DR) and 3. The effective discount factor applies to both the reconciliation payment and the repayment amount in performance years 4 and 5. We note that the average Medicare payment for historical AMI episodes beginning in CYs 2012 to 2014 was $ 24,200. n91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n91 Episodes for AMI beneficiaries initiated by all U.S. IPPS hospitals and constructed using standardized Medicare FFS Parts A and B claims, as proposed in this rule that began in CYs 2012-2014.</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31--Performance Year 1 (All Participants) and Performance Year 2 (for</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Participants who Do Not Elect Early Downside Risk): Relationship of AMI Model</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 Quality Score To Reconciliation Payment Eligibility and the</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 Discount Factor Experienced at Reconciliation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AMI model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AMI model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&lt;3.6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&lt;3.8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&gt;=3.6 and &lt;6.9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&gt;=3.8 and &lt;6.3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&gt;=6.9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&gt;=6.3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&lt;=14.8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&lt;=15.0</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&gt;14.8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&gt;15.0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32--Performance Years 2 (for Participants who Elect Early Downside Risk</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only), 3 and 4: Relationship of AMI Model Composite Quality Score To</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 Payment Eligibility and the Effective Discount Factor</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Experienced at Reconciliation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AMI model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AMI model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 *</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&lt;3.6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&lt;3.8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&gt;=3.6 and &lt;6.9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&gt;=3.8 and &lt;6.3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&gt;=6.9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&gt;=6.3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&lt;=14.8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&lt;=15.0</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&gt;14.8</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&gt;15.0</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applicable discount factor for the repayment amount only applies in performance years 2 (for participants who choose early downside risk) and 3 (for all other participants) when repayment responsibility is being phased-in.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33--Performance Year 5: Relationship of AMI Model Composite Quality</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 To Reconciliation Payment Eligibility and the Effective Discount Factor</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Experienced at Reconciliation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AMI model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AMI model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&lt;3.6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&lt;=3.7</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&gt;=3.6 and &lt;6.9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&gt;3.7 and &lt;=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6.25</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&gt;=6.9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&gt;6.25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&lt;=14.8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&lt;=15.0</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&gt;14.8</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&gt;15.0</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bl>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this approach, the maximum AMI model effective discount factor included in the quality-adjusted target price would be 3.0 percent, consistent with the CJR model </w:t>
      </w:r>
      <w:hyperlink r:id="rId21" w:history="1">
        <w:r>
          <w:rPr>
            <w:rFonts w:ascii="arial" w:eastAsia="arial" w:hAnsi="arial" w:cs="arial"/>
            <w:b w:val="0"/>
            <w:i/>
            <w:strike w:val="0"/>
            <w:noProof w:val="0"/>
            <w:color w:val="0077CC"/>
            <w:position w:val="0"/>
            <w:sz w:val="20"/>
            <w:u w:val="single"/>
            <w:vertAlign w:val="baseline"/>
          </w:rPr>
          <w:t>(80 FR 73365).</w:t>
        </w:r>
      </w:hyperlink>
      <w:r>
        <w:rPr>
          <w:rFonts w:ascii="arial" w:eastAsia="arial" w:hAnsi="arial" w:cs="arial"/>
          <w:b w:val="0"/>
          <w:i w:val="0"/>
          <w:strike w:val="0"/>
          <w:noProof w:val="0"/>
          <w:color w:val="000000"/>
          <w:position w:val="0"/>
          <w:sz w:val="20"/>
          <w:u w:val="none"/>
          <w:vertAlign w:val="baseline"/>
        </w:rPr>
        <w:t xml:space="preserve"> We believe that a maximum effective discount factor of 3.0 percent is reasonable as it is within the range of discount percentages included in the ACE demonstration and it is the Model 2 BPCI discount factor for 30- and 60-day episodes, where BPCI participants are testing AMI episodes subject to the 3.0 percent discount factor. AMI model participants that provide high quality episode care would have the opportunity for a lower effective discount factor to be included in their quality-adjusted target prices at reconciliation as displayed in Tables 31, 32, and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this methodology, we proposed to require AMI model participants to achieve a minimum AMI model </w:t>
      </w:r>
      <w:r>
        <w:rPr>
          <w:rFonts w:ascii="arial" w:eastAsia="arial" w:hAnsi="arial" w:cs="arial"/>
          <w:b/>
          <w:i w:val="0"/>
          <w:strike w:val="0"/>
          <w:noProof w:val="0"/>
          <w:color w:val="000000"/>
          <w:position w:val="0"/>
          <w:sz w:val="20"/>
          <w:u w:val="none"/>
          <w:vertAlign w:val="baseline"/>
        </w:rPr>
        <w:t> [*368] </w:t>
      </w:r>
      <w:r>
        <w:rPr>
          <w:rFonts w:ascii="arial" w:eastAsia="arial" w:hAnsi="arial" w:cs="arial"/>
          <w:b w:val="0"/>
          <w:i w:val="0"/>
          <w:strike w:val="0"/>
          <w:noProof w:val="0"/>
          <w:color w:val="000000"/>
          <w:position w:val="0"/>
          <w:sz w:val="20"/>
          <w:u w:val="none"/>
          <w:vertAlign w:val="baseline"/>
        </w:rPr>
        <w:t xml:space="preserve"> composite quality score of &gt;=3.6 to be eligible for a reconciliation payment if actual episode payments were less than the quality-adjusted target price based on the 3.0 percent maximum effective discount factor. Participants with below acceptable quality performance reflected in an AMI model composite quality score &lt; 3.6 would not be eligible for a reconciliation payment if actual AMI model episode payments were less than the quality-adjusted target price. A level of quality performance that is below acceptable would not affect AMI model participants' repayment responsibility if actual AMI model episode payments exceed the quality-adjusted target price. We believe that excessive reductions in utilization that lead to low actual AMI model episode payments and that could result from the financial incentives of an EPM would be limited by a requirement that this minimum level of AMI model episode quality be achieved for reconciliation payments to be made. This policy would encourage AMI model participants to focus on appropriate reductions or changes in utilization to achieve high quality care in a more efficient manner. Therefore, these participants would be ineligible to receive a reconciliation payment if actual AMI model episode payments were less than the quality-adjusted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AMI model participants with an acceptable AMI model composite quality score of &gt;=3.6 and &lt; 6.9 would be eligible for a reconciliation payment if actual AMI model episode payments were less than the quality-adjusted target price based on a 3.0 percent effective discount factor because their quality performance was at the acceptable level established for the AMI model. Therefore, these AMI model participants would be eligible to receive a reconciliation payment if actual AMI model episode payments were less than the quality-adjusted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AMI model participants with a good AMI model composite quality score of &gt;= 6.9 and &lt;= 14.8 would be eligible for a reconciliation payment if actual AMI model episode payments were less than the quality-adjusted target price based on a 2.0 percent effective discount factor that reflects their good quality performance. Thus, participants achieving this level of quality for AMI episodes under the AMI model would either have less repayment responsibility (that is, the reduced effective discount factor would offset a portion of their repayment responsibility) or receive a higher reconciliation payment (that is, the reduced effective discount factor would increase the reconciliation payment) at reconciliation than they would have otherwise based on a comparison of actual AMI model episode payments to quality-adjusted target prices that include the maximum 3.0 percent effective discount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proposed that AMI model participants with an excellent AMI model composite score quality score of &gt;14.8 would be eligible to receive a reconciliation payment if actual AMI model episode payments were less than the quality-adjusted target price based on a 1.5 percent effective discount factor that reflects their excellent performance. Thus, participants achieving this level of quality for AMI episodes under the AMI model would either have less repayment responsibility (that is, the reduced effective discount factor would offset a portion of their repayment responsibility) or receive a higher reconciliation payment (that is, the reduced effective discount factor would increase the reconciliation payment) at reconciliation than they would have otherwise based on a comparison of actual AMI model episode payments to quality-adjusted target prices that include the maximum 3.0 percent effective discount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methodology, the proposed stop-loss and stop-gain limits discussed in section III.D.7.b. of this final rule will not change. We believe this approach to quality incentive payments based on the AMI model composite quality score could have the effect of increasing the alignment of the financial and quality performance incentives under the AMI model to the potential benefit of AMI model participants and their collaborators as well as CMS, and would be consistent with the CJR model methodology linking quality and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link quality to payment in the AMI model pay-for-performance methodology is included in § 512.315(b)(5). We sought comment on our proposal to link quality to payment in the AMI model pay-for-performance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which uniquely addressed the proposed AMI model pay-for-performance methodology.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Although we did not receive comments on the proposed AMI model pay-for-performance methodology, adjustments to our proposal are necessary due to the final selection of actual EPM MSAs and our policy for participants who elect early downside risk as discussed in section III.D.2.c. of this final rule. Specifically, in our proposed rule we created composite quality score ranges for the AMI measure based on historical performance of a representative group of hospitals within 98 potentially EPM-eligible MSAs. However, for the final rule we have randomly selected 98 MSAs in which to officially conduct the EPM models. Therefore, the composite quality score ranges associated with each quality performance category we are finalizing in this rule are based on a model of historical performance in the actual 98 MSAs selected for this model. Final AMI model composite quality score ranges, associated quality performance categories and discounts are reflected in tables 31, 32, and 33. After consideration of the public comments received, we are finalizing the proposal, with modification to final composite quality score ranges to reflect selection of MSAs, as discussed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CABG Model Pay-for-Performance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incorporate the CABG model composite quality score in the CABG model payment methodology by--(1) requiring a minimum CABG model composite quality score for reconciliation payment eligibility if the CABG model participant's actual episode payments are less than the quality-adjusted target price; and (2) determining the effective discount factor included in the quality-adjusted target price experienced by the CABG model participant in the reconciliation process. The payment policies we would apply are displayed in Tables 34, D24, and D25 for the performance years of the CABG model. Under the CABG model as proposed, there is no CABG model participant repayment responsibility in performance year 1 and performance year 2 (NDR) and this responsibility begins to be phased-in in performance year 2 (DR), with full implementation in performance year 4. Because repayment responsibility is phased-in, in performance years 2 (DR) and 3, repayment responsibility only applies to a portion of the amount of excess CABG model episode spending that results from the quality-adjusted target prices that include the CABG model participant's effective discount factor. We, therefore, refer in the repayment column to the applicable discount factor for repayment amount in performance years 2 (DR) and 3. The effective discount factor applies to both the reconciliation payment and the repayment amount in performance years 4 and 5. We note that the average Medicare payment for historical CABG </w:t>
      </w:r>
      <w:r>
        <w:rPr>
          <w:rFonts w:ascii="arial" w:eastAsia="arial" w:hAnsi="arial" w:cs="arial"/>
          <w:b/>
          <w:i w:val="0"/>
          <w:strike w:val="0"/>
          <w:noProof w:val="0"/>
          <w:color w:val="000000"/>
          <w:position w:val="0"/>
          <w:sz w:val="20"/>
          <w:u w:val="none"/>
          <w:vertAlign w:val="baseline"/>
        </w:rPr>
        <w:t> [*369] </w:t>
      </w:r>
      <w:r>
        <w:rPr>
          <w:rFonts w:ascii="arial" w:eastAsia="arial" w:hAnsi="arial" w:cs="arial"/>
          <w:b w:val="0"/>
          <w:i w:val="0"/>
          <w:strike w:val="0"/>
          <w:noProof w:val="0"/>
          <w:color w:val="000000"/>
          <w:position w:val="0"/>
          <w:sz w:val="20"/>
          <w:u w:val="none"/>
          <w:vertAlign w:val="baseline"/>
        </w:rPr>
        <w:t xml:space="preserve"> episodes beginning in CYs 2012 to 2014 was $ 47,000. n92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 Episodes for CABG beneficiaries initiated by all U.S. IPPS hospitals and constructed using standardized Medicare FFS Parts A and B claims, as proposed in this rule that began in CYs 2012-2014.</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34--Performance Year 1 (all Participants) and Performance Year 2 (for</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Participants who Do Not Elect Early Downside Risk): Relationship of CABG</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 Composite Quality Score To Reconciliation Payment Eligibility and the</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 Discount Factor Experienced at Reconciliation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CABG model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CABG model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&lt;2.8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&lt;=2.2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&gt;=2.8 and &lt;4.8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&gt;2.2 and &lt;=3.4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&gt;=4.8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&gt;3.4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&lt;=17.5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&lt;=16.2</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&gt;17.5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&gt;16.2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35--Performance Years 2 (for Participants who Elect Early Downside Risk</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Only), 3 and 4: Relationship of CABG Model Composite Quality Score To</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 Payment Eligibility and the Effective Discount Factor</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Experienced at Reconciliation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CABG model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CABG model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 *</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&lt;2.8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&lt;2.5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&gt;=2.8 and &lt;4.8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&gt;=2.5 and &lt;3.5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&gt;=4.8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&gt;=3.5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&lt;=17.5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&lt;=16.2</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&gt;17.5</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&gt;16.2</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applicable discount factor for the repayment amount only applies in performance years 2 (for participants who choose early downside risk) and 3 (for all other participants) when repayment responsibility is being phased-in.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36--Performance Year 5: Relationship of CABG Model Composite Quality</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 to Reconciliation Payment Eligibility and the Effective Discount Factor</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Experienced at Reconciliation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CABG model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CABG model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&lt;2.8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&lt;2.5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&gt;=2.8 and &lt;4.8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&gt;=2.5 and &lt;3.5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&gt;=4.8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&gt;=3.5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&lt;=17.5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&lt;=16.2</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&gt;17.5</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&gt;16.2</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bl>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this approach, the maximum CABG model effective discount factor included in the quality-adjusted target price would be 3.0 percent, consistent with the CJR model </w:t>
      </w:r>
      <w:hyperlink r:id="rId21" w:history="1">
        <w:r>
          <w:rPr>
            <w:rFonts w:ascii="arial" w:eastAsia="arial" w:hAnsi="arial" w:cs="arial"/>
            <w:b w:val="0"/>
            <w:i/>
            <w:strike w:val="0"/>
            <w:noProof w:val="0"/>
            <w:color w:val="0077CC"/>
            <w:position w:val="0"/>
            <w:sz w:val="20"/>
            <w:u w:val="single"/>
            <w:vertAlign w:val="baseline"/>
          </w:rPr>
          <w:t>(80 FR 73365).</w:t>
        </w:r>
      </w:hyperlink>
      <w:r>
        <w:rPr>
          <w:rFonts w:ascii="arial" w:eastAsia="arial" w:hAnsi="arial" w:cs="arial"/>
          <w:b w:val="0"/>
          <w:i w:val="0"/>
          <w:strike w:val="0"/>
          <w:noProof w:val="0"/>
          <w:color w:val="000000"/>
          <w:position w:val="0"/>
          <w:sz w:val="20"/>
          <w:u w:val="none"/>
          <w:vertAlign w:val="baseline"/>
        </w:rPr>
        <w:t xml:space="preserve"> We believe that a maximum effective discount factor of 3.0 percent is reasonable as it is within the range of discount percentages included in the Medicare Acute Care Episode (ACE) demonstration and it is the Model 2 BPCI discount factor for 30 and 60 day episodes, where BPCI participants are testing CABG episodes subject to the 3.0 percent discount factor. CABG model participants that provide high quality episode care would have the opportunity for a lower effective discount factor to be included in their quality-adjusted target prices at reconciliation as displayed in Tables 34, 35, and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this methodology, we proposed that we would require CABG model participants to achieve a minimum CABG model composite quality score of &gt;=2.8 to be eligible for a reconciliation payment if actual episode payments were less than the quality-adjusted target price based on the 3.0 percent maximum effective discount factor. We proposed that participants with below acceptable quality performance reflected in an CABG model composite quality score &lt; 2.8 would not be eligible for a reconciliation payment if actual CABG model episode payments were less than the quality-adjusted target price. A level of quality performance that is below acceptable would not affect participants' repayment responsibility if actual CABG model episode payments exceed the quality-adjusted target price. We believe that excessive reductions in utilization that lead to low actual CABG model episode payments and that could result from the financial incentives of an EPM would be limited by a requirement that this minimum level of CABG model episode quality be achieved for reconciliation payments to be made. </w:t>
      </w:r>
      <w:r>
        <w:rPr>
          <w:rFonts w:ascii="arial" w:eastAsia="arial" w:hAnsi="arial" w:cs="arial"/>
          <w:b/>
          <w:i w:val="0"/>
          <w:strike w:val="0"/>
          <w:noProof w:val="0"/>
          <w:color w:val="000000"/>
          <w:position w:val="0"/>
          <w:sz w:val="20"/>
          <w:u w:val="none"/>
          <w:vertAlign w:val="baseline"/>
        </w:rPr>
        <w:t> [*370] </w:t>
      </w:r>
      <w:r>
        <w:rPr>
          <w:rFonts w:ascii="arial" w:eastAsia="arial" w:hAnsi="arial" w:cs="arial"/>
          <w:b w:val="0"/>
          <w:i w:val="0"/>
          <w:strike w:val="0"/>
          <w:noProof w:val="0"/>
          <w:color w:val="000000"/>
          <w:position w:val="0"/>
          <w:sz w:val="20"/>
          <w:u w:val="none"/>
          <w:vertAlign w:val="baseline"/>
        </w:rPr>
        <w:t xml:space="preserve"> This policy would encourage CABG model participants to focus on appropriate reductions or changes in utilization to achieve high quality care in a more efficient manner. Therefore, these participants would be ineligible to receive a reconciliation payment if actual CABG model episode payments were less than the quality-adjusted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CABG model participants with an acceptable CABG model composite quality score of &gt;=2.8 and &lt; 4.8 would be eligible for a reconciliation payment if actual CABG model episode payments were less than the quality-adjusted target price based on a 3.0 percent effective discount factor because their quality performance was at the acceptable level established for the CABG model. Therefore, these CABG model participants would be eligible to receive a reconciliation payment if actual CABG model episode payments were less than the quality-adjusted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CABG model participants with a good CABG model composite quality score &gt;=4.8 and &lt;= 17.5 would be eligible for a reconciliation payment if actual CABG model episode payments were less than the quality-adjusted target price based on a 2.0 percent effective discount factor that reflects their good quality performance. Thus, participants achieving this level of quality for CABG episodes under the CABG model would either have less repayment responsibility (that is, the reduced effective discount factor would offset a portion of their repayment responsibility) or receive a higher reconciliation payment (that is, the reduced effective discount factor would increase the reconciliation payment) at reconciliation than they would have otherwise based on a comparison of actual CABG model episode payments to quality-adjusted target prices that include the maximum 3.0 percent effective discount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proposed that CABG model participants with an excellent CABG model composite score quality score of &gt;17.5 would be eligible to receive a reconciliation payment if actual CABG model episode payments were less than the quality-adjusted target price based on a 1.5 percent effective discount factor that reflects their excellent performance. Thus, participants achieving this level of quality for CABG model episodes would either have less repayment responsibility (that is, the reduced effective discount factor would offset a portion of their repayment responsibility) or receive a higher reconciliation payment (that is, the reduced effective discount factor would increase the reconciliation payment) at reconciliation than they would have otherwise based on a comparison of actual CABG model episode payments to quality-adjusted target prices that include the maximum 3.0 percent effective discount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methodology, the proposed stop-loss and stop-gain limits discussed in section III.D.7.b. of this final rule will not change. We believe this approach to quality incentive payments based on the CABG model composite quality score could have the effect of increasing the alignment of the financial and quality performance incentives under the CABG model to the potential benefit of CABG model participants and their collaborators as well as CMS, and would be consistent with the CJR model methodology linking quality and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link quality to payment in the CABG model pay-for-performance methodology is included in § 512.315(c)(5). We sought comment on our proposal to link quality to payment in the CABG model pay-for-performance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which uniquely addressed our proposed CABG model pay-for-performance methodology.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Although we did not receive comments on the proposed CABG model pay-for-performance methodology, adjustments to our proposal are necessary due to selection of the EPM MSAs and our policy for participants who elect early downside risk as discussed in section III.D.2.c. of this final rule. Specifically, in our proposed rule we created composite quality score ranges for the CABG measure based on historical performance of a representative group of hospitals within 98 potentially EPM-eligible MSAs. However, for the final rule we have randomly selected 98 MSAs in which to officially conduct the EPM models. Therefore, the composite quality score ranges associated with each quality performance category we are finalizing in this rule are based on a model of historical performance of in the actual 98 MSAs selected for this model. Final CABG model composite quality score ranges, associated quality performance categories and discounts are reflected in tables 34, 35, and 36. After consideration of the public comments received, we are finalizing the proposal, with modification to final composite quality score ranges to reflect selection of MSAs, as discussed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Alignment Between the AMI and CABG Model Methodologies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AMI and CABG models are closely related, given that they both are based on a significant event or procedure for a beneficiary with CAD. As discussed in sections III.D.2.b. and III.D.2.c.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we proposed the use of a 30-day mortality measure in both models, specifically MORT-30-AMI (NQF #0230) with a weight of 50 percent in the AMI model composite quality score and MORT-30-CABG (NQF #2558) with a weight of 75 percent in the CABG model quality score. The beneficiaries included in the measure have some overlap, because some beneficiaries with AMI will have a CABG during their hospitalization that begins an episode. Analysis of both the MORT-30-AMI (NQF #0230) and MORT-30-CABG (NQF #2558) measure national distributions suggests that improving from the 25th percentile to 75th percentile represents roughly a 1 percentage point decrease in mortality rates for both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note that for historical episodes beginning in 2012 to 2014, the average Medicare spending for an AMI episode that extends 90 days post-hospital discharge was approximately $ 24,200 and for a CABG episode was approximately $ 47,000. n93 However, because we proposed the same 1.5 percent to 3.0 percent effective discount factor range based on quality performance and improvement for the AMI and CABG models (and, to a lesser degree, because of the modestly lower weight assigned to the mortality measure under the AMI model), the absolute dollar amounts tied to changes in AMI or CABG mortality rates are different in the two models. A larger absolute financial incentive is associated with improvement in CABG mortality than AMI mortality under our proposal. We recognize that mortality is a serious outcome for beneficiaries with CAD who have a significant event or procedure, and we considered setting a wider effective discount factor range based on quality in the AMI model than the CABG model to align the absolute financial incentives to improve mortality under both models. For example, to create a more similar absolute financial incentive between the lowest and highest effective discount percentages in the AMI and CABG models, we could set the effective </w:t>
      </w:r>
      <w:r>
        <w:rPr>
          <w:rFonts w:ascii="arial" w:eastAsia="arial" w:hAnsi="arial" w:cs="arial"/>
          <w:b/>
          <w:i w:val="0"/>
          <w:strike w:val="0"/>
          <w:noProof w:val="0"/>
          <w:color w:val="000000"/>
          <w:position w:val="0"/>
          <w:sz w:val="20"/>
          <w:u w:val="none"/>
          <w:vertAlign w:val="baseline"/>
        </w:rPr>
        <w:t> [*371] </w:t>
      </w:r>
      <w:r>
        <w:rPr>
          <w:rFonts w:ascii="arial" w:eastAsia="arial" w:hAnsi="arial" w:cs="arial"/>
          <w:b w:val="0"/>
          <w:i w:val="0"/>
          <w:strike w:val="0"/>
          <w:noProof w:val="0"/>
          <w:color w:val="000000"/>
          <w:position w:val="0"/>
          <w:sz w:val="20"/>
          <w:u w:val="none"/>
          <w:vertAlign w:val="baseline"/>
        </w:rPr>
        <w:t xml:space="preserve"> discount factor range for the AMI model at 0.75 percent to 3.75 percent and the CABG model range at 1.5 percent to 3 percent. Alternatively, we could set the AMI model effective discount factor range at 1.5 percent to 3 percent and compress the CABG effective discount factor range. While we did not propose different effective discount factor ranges for the AMI and CABG models in order to retain consistency with the CJR model and the BPCI initiative, we sought comments about the potential benefits and drawbacks of establishing the same absolute dollar incentive for similar improvements in quality across different models that have similar measures but vary in average episode cost. This feedback will be useful as we consider future episode payment models and candidate quality measures for potential new and existing models, as well as consider future refinements to the pay-for-performance methodologies under the models. Our goal in all of our episode payment models is to create strong financial incentives for quality performance and improvement for participants at all level of current quality performance and to rationalize the strength of the financial incentives in the context of the specificity and importance of the quality measures used under the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 Episodes for AMI and CABG beneficiaries initiated by all U.S. IPPS hospitals and constructed using standardized Medicare FFS Parts A and B claims, as proposed in this rule that began in CYs 2012-2014.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No comments were received on the proposed pay for performance methodology. Therefore, we are finalizing the proposal,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SHFFT Model Pay-for-Performance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incorporate the SHFFT model composite quality score in the SHFFT model payment methodology by (1) requiring a minimum SHFFT model composite quality score for reconciliation payment eligibility if the SHFFT model participant's actual episode payments are less than the quality-adjusted target price and (2) determining the effective discount factor included in the quality-adjusted target price experienced by the SHFFT model participant in the reconciliation process. The payment policies we would apply are displayed in Tables 37, 38, and 28 for the performance years of the SHFFT model. Under the SHFFT model as proposed, there is no SHFFT model participant repayment responsibility in performance year 1 and performance year 2 (NDR) and this responsibility begins to be phased-in in performance year 2 (DR), with full implementation in performance year 4. Because repayment responsibility is phased-in, in performance years 2 (DR) and 3, repayment responsibility only applies to a portion of the amount of excess SHFFT model episode spending that results from the quality-adjusted target prices that include the SHFFT model participant's effective discount factor. We, therefore, refer in the repayment column to the applicable discount factor for repayment amount in performance years 2 (DR) and 3. The effective discount factor applies to both the reconciliation payment and the repayment amount in performance years 4 and 5. We note that the average Medicare payment for historical SHFFT episodes beginning in CYs 2012 to 2014 was $ 43,000. n94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 Episodes for SHFFT beneficiaries initiated by all U.S. IPPS hospitals and constructed using standardized Medicare FFS Parts A and B claims, as proposed in this rule that began in CYs 2012-2014.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refer to section V.E. of this final rule for discussion of the correction to the composite quality score ranges for the four quality categories from what was presented in the CJR final rule </w:t>
      </w:r>
      <w:hyperlink r:id="rId21" w:history="1">
        <w:r>
          <w:rPr>
            <w:rFonts w:ascii="arial" w:eastAsia="arial" w:hAnsi="arial" w:cs="arial"/>
            <w:b w:val="0"/>
            <w:i/>
            <w:strike w:val="0"/>
            <w:noProof w:val="0"/>
            <w:color w:val="0077CC"/>
            <w:position w:val="0"/>
            <w:sz w:val="20"/>
            <w:u w:val="single"/>
            <w:vertAlign w:val="baseline"/>
          </w:rPr>
          <w:t>(80 FR 73378).</w:t>
        </w:r>
      </w:hyperlink>
      <w:r>
        <w:rPr>
          <w:rFonts w:ascii="arial" w:eastAsia="arial" w:hAnsi="arial" w:cs="arial"/>
          <w:b w:val="0"/>
          <w:i w:val="0"/>
          <w:strike w:val="0"/>
          <w:noProof w:val="0"/>
          <w:color w:val="000000"/>
          <w:position w:val="0"/>
          <w:sz w:val="20"/>
          <w:u w:val="none"/>
          <w:vertAlign w:val="baseline"/>
        </w:rPr>
        <w:t xml:space="preserve"> The SHFFT model composite quality score ranges displayed in Tables 37 through 39 are the corrected ranges that also apply to the CJR model.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37--Performance Year 1 (All Participants) and Performance Year 2 (For</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Participants Who Do Not Elect Early Downside Risk): Relationship of SHFFT</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 Composite Quality Score to Reconciliation Payment Eligibility and the</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 Discount Factor Experienced at Reconciliation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SHFFT model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SHFFT model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&lt;5.0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&lt;5.0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&gt;=5.0 and &lt;6.9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&gt;=5.0 and &lt;6.9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&gt;=6.9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&gt;=6.9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&lt;=15.0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&lt;=15.0</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&gt;15.0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&gt;15.0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38--Performance Years 2 (For Participants Who Elect Early Downside Risk</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Only), 3 and 4: Relationship of SHFFT Model Composite Quality Score to</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 Payment Eligibility and the Effective Discount Factor</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Experienced at Reconciliation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SHFFT model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SHFFT model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 *</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&lt;5.0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&lt;5.0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&gt;=5.0 and &lt;6.9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&gt;=5.0 and &lt;6.9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&gt;=6.9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&gt;=6.9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&lt;=15.0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&lt;=15.0</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&gt;15.0</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&gt;15.0</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applicable discount factor for the repayment amount only applies in performance years 2 (for participants who choose early downside risk) and 3 (for all other participants) when repayment responsibility is being phased-in. </w:t>
      </w:r>
      <w:r>
        <w:rPr>
          <w:rFonts w:ascii="arial" w:eastAsia="arial" w:hAnsi="arial" w:cs="arial"/>
          <w:b/>
          <w:i w:val="0"/>
          <w:strike w:val="0"/>
          <w:noProof w:val="0"/>
          <w:color w:val="000000"/>
          <w:position w:val="0"/>
          <w:sz w:val="20"/>
          <w:u w:val="none"/>
          <w:vertAlign w:val="baseline"/>
        </w:rPr>
        <w:t> [*372]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39--Performance Year 5: Relationship of SHFFT Model Composite Quality</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 to Reconciliation Payment Eligibility and the Effective Discount Factor</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Experienced at Reconciliation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SHFFT model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SHFFT model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&lt;5.0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&lt;5.0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&gt;=5.0 and &lt;6.9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&gt;=5.0 and &lt;6.9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&gt;=6.9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&gt;=6.9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&lt;=15.0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&lt;=15.0</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&gt;15.0</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&gt;15.0</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methodology, we proposed that we would require SHFFT model participants to achieve a minimum SHFFT model composite quality score of &gt;=5.0 to be eligible for a reconciliation payment if actual episode payments were less than the quality-adjusted target price based on the 3.0 percent maximum effective discount factor. We proposed that participants with below acceptable quality performance reflected in a SHFFT model composite quality score &lt; 5.0 would not be eligible for a reconciliation payment if actual SHFFT model episode payments were less than the quality-adjusted target price. A level of quality performance that is below acceptable would not affect participants' repayment responsibility if actual SHFFT model episode payments exceed the quality-adjusted target price. We believe that excessive reductions in utilization that lead to low actual SHFFT model episode payments and that could result from the financial incentives of an EPM would be limited by a requirement that this minimum level of SHFFT model episode quality be achieved for reconciliation payments to be made. This policy would encourage SHFFT model participants to focus on appropriate reductions or changes in utilization to achieve high quality care in a more efficient manner. Therefore, these participants would be ineligible to receive a reconciliation payment if actual SHFFT model episode payments were less than the quality-adjusted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SHFFT model participants with an acceptable SHFFT model composite quality score of &gt;=5.0 and &lt; 6.9 would be eligible for a reconciliation payment if actual SHFFT model episode payments were less than the quality-adjusted target price based on a 3.0 percent effective discount factor because their quality performance was at the acceptable level established for the SHFFT model. Therefore, these SHFFT model participants would be eligible to receive a reconciliation payment if actual SHFFT model episode payments were less than the quality-adjusted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SHFFT model participants with a good SHFFT model composite quality score of &gt;=6.9 and &lt;= 15.0 would be eligible for a reconciliation payment if actual SHFFT model episode payments were less than the quality-adjusted target price based on a 2.0 percent effective discount factor that reflects their good quality performance. Thus, participants achieving this level of quality for SHFFT model episodes under the SHFFT model would either have less repayment responsibility (that is, the reduced effective discount factor would offset a portion of their repayment responsibility) or receive a higher reconciliation payment (that is, the reduced effective discount factor would increase the reconciliation payment) at reconciliation than they would have otherwise based on a comparison of actual SHFFT model episode payments to quality-adjusted target prices that include the maximum 3.0 percent effective discount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proposed that SHFFT model participants with an excellent SHFFT model composite score quality score of &gt;15.0 would be eligible to receive a reconciliation payment if actual SHFFT model episode spending was less than the quality-adjusted target price based on a 1.5 percent effective discount factor that reflects their excellent performance. Thus, participants achieving this level of quality for SHFFT model episodes would either have less repayment responsibility (that is, the reduced effective discount factor would offset a portion of their repayment responsibility) or receive a higher reconciliation payment (that is, the reduced effective discount factor would increase the reconciliation payment) at reconciliation than they would have otherwise based on a comparison of actual SHFFT model episode payments to quality-adjusted target prices that include the maximum 3.0 percent effective discount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methodology, the proposed stop-loss and stop-gain limits discussed in section III.D.7.b. of this final rule will not change. We believe this approach to quality incentive payments based on the SHFFT model composite quality score could have the effect of increasing the alignment of the financial and quality performance incentives under the SHFFT model to the potential benefit of SHFFT model participants and their collaborators as well as CMS, and would be consistent with the CJR model methodology linking quality and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link quality to payment in the SHFFT model pay-for-performance methodology is included in § 512.315(d)(5). We sought comment on our proposal to link quality to payment in the SHFFT model pay-for-performance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comments on the proposed SHFFT model pay-for-performance methodology.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without modification our proposal for SHFFT model pay-for-performance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Details on Quality Measures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AMI Model-Specific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Hospital 30-Day, All-Cause, Risk-Standardized Mortality Rate Following Acute Myocardial Infarction (AMI) Hospitalization (NQF #0230)(MORT-30-AMI)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AMI is one of the most common principal hospital discharge diagnoses among older adults and is associated with high mortality. AMI was the tenth most common principal discharge diagnosis among patients with Medicare in 2012. n95 Each year, over 600,000 Americans will experience an AMI. Despite improvements in treatments, 30-day mortality rates following AMI exceed 7 percent. CMS pays </w:t>
      </w:r>
      <w:r>
        <w:rPr>
          <w:rFonts w:ascii="arial" w:eastAsia="arial" w:hAnsi="arial" w:cs="arial"/>
          <w:b/>
          <w:i w:val="0"/>
          <w:strike w:val="0"/>
          <w:noProof w:val="0"/>
          <w:color w:val="000000"/>
          <w:position w:val="0"/>
          <w:sz w:val="20"/>
          <w:u w:val="none"/>
          <w:vertAlign w:val="baseline"/>
        </w:rPr>
        <w:t> [*373] </w:t>
      </w:r>
      <w:r>
        <w:rPr>
          <w:rFonts w:ascii="arial" w:eastAsia="arial" w:hAnsi="arial" w:cs="arial"/>
          <w:b w:val="0"/>
          <w:i w:val="0"/>
          <w:strike w:val="0"/>
          <w:noProof w:val="0"/>
          <w:color w:val="000000"/>
          <w:position w:val="0"/>
          <w:sz w:val="20"/>
          <w:u w:val="none"/>
          <w:vertAlign w:val="baseline"/>
        </w:rPr>
        <w:t xml:space="preserve"> approximately $ 11.7 billion annually for in-hospital costs for Medicare beneficiaries with coronary heart disease, of which AMI is a major contributor. The high prevalence and considerable morbidity and mortality associated with AMI create an economic burden on the health care system. n96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 Agency for Healthcare Research and Quality (AHRQ). Healthcare Cost and Utilization Project (HCUP) </w:t>
      </w:r>
      <w:hyperlink r:id="rId68" w:history="1">
        <w:r>
          <w:rPr>
            <w:rFonts w:ascii="arial" w:eastAsia="arial" w:hAnsi="arial" w:cs="arial"/>
            <w:b w:val="0"/>
            <w:i/>
            <w:strike w:val="0"/>
            <w:noProof w:val="0"/>
            <w:color w:val="0077CC"/>
            <w:position w:val="0"/>
            <w:sz w:val="20"/>
            <w:u w:val="single"/>
            <w:vertAlign w:val="baseline"/>
          </w:rPr>
          <w:t>http://hcupnet.ahrq.gov/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 American Heart Association. Heart Disease and Stroke Statistics--2010 Update. Dallas, Texas: American Heart Association; 2010. c2010, American Heart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Hospital mortality is an outcome that is likely attributable to care processes and is an important outcome for patients. Complex and critical aspects of care, such as communication between providers, prevention of and response to complications, patient safety, and coordinated transitions to the outpatient environment, all contribute to patient outcomes. Many current hospital interventions are known to decrease the risk of death within 30 days of hospital admission. n97 n98 We believe it is important to assess the quality of care provided to Medicare beneficiaries who are hospitalized for AMI.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n97 Jha AK, Orav EJ, Li Z, Epstein AM. The inverse relationship between mortality rates and performance in the Hospital Quality Alliance measures. Health Aff (Millwood). 2007 Jul-Aug; 26(4):1104-10.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n98 Rathore SS, Curtis JP, Chen J, Wang Y, Nallamothu BK, Epstein AJ, Krumholz HM; National Cardiovascular Data Registry. Association of door-to-balloon time and mortality in patients admitted to hospital with ST elevation myocardial infarction: National cohort study. BMJ. 2009 May 19; 338:b1807.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 developed by CMS, and currently implemented in the HIQR and HVBP Programs, assesses a hospital's risk-standardized mortality rate, which is the rate of death after admission to a hospital with a principal diagnosis of AMI. The measure outcome is the rate of mortality occurring after admission with a principal diagnosis of AMI for patients 65 and older during a 30-day period that begins with the date of the index admission for the specific hospital. An index admission is the hospitalization which is included in the measure cohort because it meets all inclusion criteria and does not meet any exclusion criteria. The index admission is the hospitalization to which the mortality outcome is attributed. The median hospital-level risk-standardized mortality rate for 2016 public reporting on Hospital Compare was 14.2 percent, with an interquartile range from 13.7 percent to 14.6 percent in hospitals. The variation in mortality rates suggests that important differences in the quality of care delivered across hospitals exist, and there is room for quality improvement.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developed the measure of hospital-level risk-standardized mortality rate (RSMR) following AMI hospitalization, which is endorsed by the NQF (NQF #0230). The measure has been publicly reported on Hospital Compare since FY 2007, and was incorporated into what is now the HIQR Program since FY 2008 (FY 2008 IPPS/LTCH final rule </w:t>
      </w:r>
      <w:r>
        <w:rPr>
          <w:rFonts w:ascii="arial" w:eastAsia="arial" w:hAnsi="arial" w:cs="arial"/>
          <w:b w:val="0"/>
          <w:i/>
          <w:strike w:val="0"/>
          <w:noProof w:val="0"/>
          <w:color w:val="000000"/>
          <w:position w:val="0"/>
          <w:sz w:val="20"/>
          <w:u w:val="none"/>
          <w:vertAlign w:val="baseline"/>
        </w:rPr>
        <w:t>71 FR 67960),</w:t>
      </w:r>
      <w:r>
        <w:rPr>
          <w:rFonts w:ascii="arial" w:eastAsia="arial" w:hAnsi="arial" w:cs="arial"/>
          <w:b w:val="0"/>
          <w:i w:val="0"/>
          <w:strike w:val="0"/>
          <w:noProof w:val="0"/>
          <w:color w:val="000000"/>
          <w:position w:val="0"/>
          <w:sz w:val="20"/>
          <w:u w:val="none"/>
          <w:vertAlign w:val="baseline"/>
        </w:rPr>
        <w:t xml:space="preserve"> and the HVBP Program since FY 2014 (FY 2011 IPPS/LTCH final rule </w:t>
      </w:r>
      <w:hyperlink r:id="rId69" w:history="1">
        <w:r>
          <w:rPr>
            <w:rFonts w:ascii="arial" w:eastAsia="arial" w:hAnsi="arial" w:cs="arial"/>
            <w:b w:val="0"/>
            <w:i/>
            <w:strike w:val="0"/>
            <w:noProof w:val="0"/>
            <w:color w:val="0077CC"/>
            <w:position w:val="0"/>
            <w:sz w:val="20"/>
            <w:u w:val="single"/>
            <w:vertAlign w:val="baseline"/>
          </w:rPr>
          <w:t>76 FR 26510).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use Medicare Part A and Part B FFS claims submitted by the AMI model participant as the data source for calculation of the MORT-30-AMI (NQF #0230) measure. Index admission diagnoses and in-hospital comorbidities are assessed using Medicare Part A claims. Additional comorbidities prior to the index admission are assessed as Part A inpatient, outpatient, and Part B office visit Medicare claims in the 12 months prior to the index (initial) admission. Enrollment and post-discharge mortality status are obtained from Medicare's enrollment database which contains beneficiary demographics, benefits/coverage, and vital status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MORT-30-AMI (NQF #0230) measure includes Medicare FFS beneficiaries, aged 65 years or older, discharged from non-federal acute care hospitals with a principal discharge diagnosis of AMI and with a complete claims history for the 12 months prior to admission. Eligible hospitalizations are defined using the following ICD-10-CM codes: I2109, I2119, I2111, I2119, I2129, I214, and I213.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the measure will include index admissions to all non-federal acute care hospitals, which includes all AMI model participants. Hospital performance will only be publically reported for hospitals with 25 or more index admissions in the 3-year measurement period. The AMI model cohort would differ from the hospital cohort that is currently captured in the measure through the HIQR Program. Although performance on the measure will not be publically reported for hospitals with fewer than 25 cases, they will receive information about their performance. We refer readers to section III.B.5. of this final rule for participant selection for the AMI model. For eligible hospitalizations defined using ICD-9-CM codes, we refer readers to the CMS Web site at: </w:t>
      </w:r>
      <w:hyperlink r:id="rId70" w:history="1">
        <w:r>
          <w:rPr>
            <w:rFonts w:ascii="arial" w:eastAsia="arial" w:hAnsi="arial" w:cs="arial"/>
            <w:b w:val="0"/>
            <w:i/>
            <w:strike w:val="0"/>
            <w:noProof w:val="0"/>
            <w:color w:val="0077CC"/>
            <w:position w:val="0"/>
            <w:sz w:val="20"/>
            <w:u w:val="single"/>
            <w:vertAlign w:val="baseline"/>
          </w:rPr>
          <w:t>http://cms.gov/Medicare/Quality-Initiatives-Patient-Assessment-Instruments/HospitalQualityInits/Measure-Methodology.html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Inclusion and Exclusion Criteria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an index admission is the hospitalization to which the mortality outcome is attributed. We note that for purposes of the EPMs where we need to identify episodes that are included in the EPMs, we use the term anchor hospitalization to identify hospitalizations that initiate EPM episodes for beneficiaries whose care is included in the EPMs. In describing the quality measures themselves in detail in section III.E.4.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we use the term index hospitalization to identify hospitalizations of beneficiaries whose outcomes are included in the measures. Thus, anchor hospitalizations and index hospitalizations would have varying degrees of overlap depending on the specific quality measure. The measure includes the following index admissions for patients:</w:t>
      </w:r>
    </w:p>
    <w:p>
      <w:pPr>
        <w:keepNext w:val="0"/>
        <w:numPr>
          <w:numId w:val="3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Having a principal discharge diagnosis of AMI.</w:t>
      </w:r>
    </w:p>
    <w:p>
      <w:pPr>
        <w:keepNext w:val="0"/>
        <w:numPr>
          <w:numId w:val="3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FFS.</w:t>
      </w:r>
    </w:p>
    <w:p>
      <w:pPr>
        <w:keepNext w:val="0"/>
        <w:numPr>
          <w:numId w:val="3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Aged 65 or over.</w:t>
      </w:r>
    </w:p>
    <w:p>
      <w:pPr>
        <w:keepNext w:val="0"/>
        <w:numPr>
          <w:numId w:val="3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transferred from another acute care facility.</w:t>
      </w:r>
    </w:p>
    <w:p>
      <w:pPr>
        <w:keepNext w:val="0"/>
        <w:numPr>
          <w:numId w:val="3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Part A and Part B for the 12 months prior to the date of index admission, and enrolled in Part A during the index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measure excludes the following index admissions for patients:</w:t>
      </w:r>
    </w:p>
    <w:p>
      <w:pPr>
        <w:keepNext w:val="0"/>
        <w:numPr>
          <w:numId w:val="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Discharged alive on the day of admission or the following day who were not transferred to another acute care facility.</w:t>
      </w:r>
    </w:p>
    <w:p>
      <w:pPr>
        <w:keepNext w:val="0"/>
        <w:numPr>
          <w:numId w:val="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inconsistent or unknown vital status or other unreliable demographic (age and gender) data;</w:t>
      </w:r>
    </w:p>
    <w:p>
      <w:pPr>
        <w:keepNext w:val="0"/>
        <w:numPr>
          <w:numId w:val="3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the Medicare hospice program any time in the 12 months prior to the index admission, including the first day of the index admission;</w:t>
      </w:r>
    </w:p>
    <w:p>
      <w:pPr>
        <w:keepNext w:val="0"/>
        <w:numPr>
          <w:numId w:val="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Discharged against medical advice American Medical Association (AMA); or</w:t>
      </w:r>
    </w:p>
    <w:p>
      <w:pPr>
        <w:keepNext w:val="0"/>
        <w:numPr>
          <w:numId w:val="3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at least 30 days of post-discharge enrollment in FFS Medicare as the 30-day mortality outcome cannot be assessed for these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for the purpose of this measure, admissions within 30 days of discharge from an index admission are not eligible to also be index admissions. Thus, only one index admission for AMI per beneficiary is randomly selected for inclusion in the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Risk-Adjustment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this measure is aligned with the risk-adjustment methodologies adopted for the MORT-30-AMI (NQF #0230) measure under the HIQR Program in accordance with section 1886(b)(3)(B)(viii)(VIII) of the Act, as </w:t>
      </w:r>
      <w:r>
        <w:rPr>
          <w:rFonts w:ascii="arial" w:eastAsia="arial" w:hAnsi="arial" w:cs="arial"/>
          <w:b/>
          <w:i w:val="0"/>
          <w:strike w:val="0"/>
          <w:noProof w:val="0"/>
          <w:color w:val="000000"/>
          <w:position w:val="0"/>
          <w:sz w:val="20"/>
          <w:u w:val="none"/>
          <w:vertAlign w:val="baseline"/>
        </w:rPr>
        <w:t> [*374] </w:t>
      </w:r>
      <w:r>
        <w:rPr>
          <w:rFonts w:ascii="arial" w:eastAsia="arial" w:hAnsi="arial" w:cs="arial"/>
          <w:b w:val="0"/>
          <w:i w:val="0"/>
          <w:strike w:val="0"/>
          <w:noProof w:val="0"/>
          <w:color w:val="000000"/>
          <w:position w:val="0"/>
          <w:sz w:val="20"/>
          <w:u w:val="none"/>
          <w:vertAlign w:val="baseline"/>
        </w:rPr>
        <w:t xml:space="preserve"> finalized in FY 2008 IPPS/LTCH final rule (2008 IPPS/LTCH final rule </w:t>
      </w:r>
      <w:r>
        <w:rPr>
          <w:rFonts w:ascii="arial" w:eastAsia="arial" w:hAnsi="arial" w:cs="arial"/>
          <w:b w:val="0"/>
          <w:i/>
          <w:strike w:val="0"/>
          <w:noProof w:val="0"/>
          <w:color w:val="000000"/>
          <w:position w:val="0"/>
          <w:sz w:val="20"/>
          <w:u w:val="none"/>
          <w:vertAlign w:val="baseline"/>
        </w:rPr>
        <w:t>71 FR 67960).</w:t>
      </w:r>
      <w:r>
        <w:rPr>
          <w:rFonts w:ascii="arial" w:eastAsia="arial" w:hAnsi="arial" w:cs="arial"/>
          <w:b w:val="0"/>
          <w:i w:val="0"/>
          <w:strike w:val="0"/>
          <w:noProof w:val="0"/>
          <w:color w:val="000000"/>
          <w:position w:val="0"/>
          <w:sz w:val="20"/>
          <w:u w:val="none"/>
          <w:vertAlign w:val="baseline"/>
        </w:rPr>
        <w:t xml:space="preserve"> We also note that the measure risk adjustment takes into account patient age, sex, and comorbidities to allow a fair assessment of hospital performance. The measure defines the patient risk factors for mortality using diagnosis codes collected from all patient claims 1 year prior to patient index hospitalization for AMI. As previously noted in the MORT-30-AMI measure (NQF #0230), ICD-10-CM codes on Medicare Parts A and B administrative claims are used to inform the risk prediction for each patient; diagnostic codes from post-acute care settings are included in the measure, but this information is only used to identify a hospital's patient case mix in order to adequately adjust for differences in case mix across hospitals. Use of Parts A and B data does not mean the measure is applicable to post-acute care settings, only that it uses comprehensive data to predict the risk of the outcome and adjust for hospital patient case mix. We note that the patient diagnosis codes are grouped using Hierarchical Condition Categories (HCCs), which are clinically relevant diagnostic groups of codes. The CCs used in the risk-adjustment model for this measure are provided on the CMS QualityNet Web site at: </w:t>
      </w:r>
      <w:hyperlink r:id="rId71" w:history="1">
        <w:r>
          <w:rPr>
            <w:rFonts w:ascii="arial" w:eastAsia="arial" w:hAnsi="arial" w:cs="arial"/>
            <w:b w:val="0"/>
            <w:i/>
            <w:strike w:val="0"/>
            <w:noProof w:val="0"/>
            <w:color w:val="0077CC"/>
            <w:position w:val="0"/>
            <w:sz w:val="20"/>
            <w:u w:val="single"/>
            <w:vertAlign w:val="baseline"/>
          </w:rPr>
          <w:t>https://www.qualitynet.org/dcs/ContentServer?c=Page&amp;pagename=QnetPublic%2FPage%2FQnetTier4&amp;cid=1219069856694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age, sex, and comorbidities present at the time of admission are adjusted for differences in hospital case mix (patient risk factors). The measure uses the hierarchical logistic regression model (HLM) statistical methodology for risk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Calculating the Risk-Standardized Mortality Ratio (RSMR) and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calculate hospital 30-day, all-cause, risk-standardized mortality rates consistent with the methodology used to risk standardize all readmission and mortality measures used in CMS hospital quality programs. Using HLM, we calculate the hospital-level risk-standardized mortality rate following AMI hospitalization by producing a ratio of the number of "predicted" deaths (that is, the adjusted number of deaths at a specific hospital) to the number of "expected" deaths (that is, the number of deaths if an average quality hospital treated the same patients) for each hospital and then multiplying the ratio by the national raw mortality rate.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3-year rolling period for calculating measure results would be consistent with the time frame used for the HIQR Program (FY 2008 IPPS/LTCH final rule </w:t>
      </w:r>
      <w:r>
        <w:rPr>
          <w:rFonts w:ascii="arial" w:eastAsia="arial" w:hAnsi="arial" w:cs="arial"/>
          <w:b w:val="0"/>
          <w:i/>
          <w:strike w:val="0"/>
          <w:noProof w:val="0"/>
          <w:color w:val="000000"/>
          <w:position w:val="0"/>
          <w:sz w:val="20"/>
          <w:u w:val="none"/>
          <w:vertAlign w:val="baseline"/>
        </w:rPr>
        <w:t>71 FR 67960).</w:t>
      </w:r>
      <w:r>
        <w:rPr>
          <w:rFonts w:ascii="arial" w:eastAsia="arial" w:hAnsi="arial" w:cs="arial"/>
          <w:b w:val="0"/>
          <w:i w:val="0"/>
          <w:strike w:val="0"/>
          <w:noProof w:val="0"/>
          <w:color w:val="000000"/>
          <w:position w:val="0"/>
          <w:sz w:val="20"/>
          <w:u w:val="none"/>
          <w:vertAlign w:val="baseline"/>
        </w:rPr>
        <w:t xml:space="preserve"> Section III.E.5.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Form, Manner, and Timing of Quality Measure Submission, summarizes the proposed measure performance periods for AMI model performance years 1 through 5. We note that, for each performance year, improvement on the MORT-30-AMI (NQF #0230) measure would be determined by comparing measure results from that performance year to results in the 3-year rolling measurement period immediately preceding each AMI model performance year to results from the 3-year period from July 1, 2014 through June 30, 2017, for performance year 2 by comparing measure results in this year to results from the 3-year period from July 1, 2015 through June 30, 2018, in performance year 3 by comparing measure results in this year to results from the 3-year period from July 1, 2016 and June 30, 2019, in performance year 4 by comparing measure results in this year to results from the 3-year period from July 1, 2017 and June 30, 2020, and in performance year 5 by comparing measure results in this year to results from the 3-year period from July 1, 2018 and June 30, 2021.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include Hospital-level 30-Day, All-Cause, Risk-Standardized Mortality Rate (RSMR) following AMI hospitalization (NQF #0230) measure in the AMI model is included in § 512.411(a)(1). We sought comment on this proposal to include Hospital-level 30-Day, All-Cause, Risk-Standardized Mortality Rate (RSMR) following AMI hospitalization (NQF #0230) measure in the AMI model to assess quality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supported the proposal to use mortality rates as the principal outcome measure for the cardiac EPMs. The commenter agreed that mortality is an extremely serious outcome for these episodes, and it has the added benefit of not requiring adjustment for SES, demographic, or environmental risk factors.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their support.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 about the proposed weighting of the 30-day risk-standardized mortality rate (RSMR) at 50 percent of the composite quality score because the high weight assigned to the risk-standardized 30-day mortality rate could encourage inappropriate treatment such as total revascularization even when not clinically indicated at the time of the acute event. One commenter was also concerned that with this weighting proposal, hospitals with fewer AMI cases would be further disadvantaged since there will be less data used to calculate the hospital's quality score.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To ensure hospitals have enough cases to produce a valid quality score, the AMI mortality measure uses 3 years of claims data to calculate the measure. Hospitals must have at least 25 qualifying index admissions within the 3-year measurement period to calculate and publically report a measure result. We do not believe these measures disadvantage smaller volume hospitals. We have found hospitals with fewer cases tend to have measure results that are close to the national average, hospital rate and are therefore rarely identified as poor performing outliers.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excluding cardiogenic shock and sepsis patients because patients with either of these conditions and AMI have a higher mortality rate than those who do not.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order to account for differences in patient mix among hospitals, the measures adjust for variables (for example, age, comorbid diseases, and indicators of patient frailty) that are clinically relevant and have relationships with the outcome. In the case of the AMI measure, we risk adjust for cardio-respiratory failure or shock. However the measure's risk model does not include a risk variable for sepsis.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clarification or expressed concern about attribution of the measure outcome to hospitals when patients are transferred among acute-care hospitals. One commenter suggested that hospitalizations that include transfers among institutions be excluded or that the AMI mortality measure not be used in cases where there was a transfer. Another commenter suggested that the current method within the AMI mortality measure of attributing the outcome to the transferring hospital, rather than the receiving hospital should be changed.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the AMI mortality measures, for patients transferred from one short-term acute care hospital to another, only the first admission in the transfer chain is eligible for inclusion in the cohort. The subsequent admissions are not included. The measures assign a death that occurs within 30 days to the hospital that initially admitted the patient as an inpatient. For example, if a patient is admitted to Hospital A for AMI and then transfers to Hospital B, </w:t>
      </w:r>
      <w:r>
        <w:rPr>
          <w:rFonts w:ascii="arial" w:eastAsia="arial" w:hAnsi="arial" w:cs="arial"/>
          <w:b/>
          <w:i w:val="0"/>
          <w:strike w:val="0"/>
          <w:noProof w:val="0"/>
          <w:color w:val="000000"/>
          <w:position w:val="0"/>
          <w:sz w:val="20"/>
          <w:u w:val="none"/>
          <w:vertAlign w:val="baseline"/>
        </w:rPr>
        <w:t> [*375] </w:t>
      </w:r>
      <w:r>
        <w:rPr>
          <w:rFonts w:ascii="arial" w:eastAsia="arial" w:hAnsi="arial" w:cs="arial"/>
          <w:b w:val="0"/>
          <w:i w:val="0"/>
          <w:strike w:val="0"/>
          <w:noProof w:val="0"/>
          <w:color w:val="000000"/>
          <w:position w:val="0"/>
          <w:sz w:val="20"/>
          <w:u w:val="none"/>
          <w:vertAlign w:val="baseline"/>
        </w:rPr>
        <w:t xml:space="preserve"> only the Hospital A admission (the index admission) would be included in the cohort, and death within 30 days of the Hospital A admission would be captured in Hospital A's AMI mortality outcome. The rationale for this approach is that the initial admitting hospital makes diagnostic and treatment decisions which exert great influence on a patient's risk of mortality in AMI cases even when patient transfers are warranted, for example, for interventions that cannot be provided at the initial admitting institution, such as cardiac catheterization.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concern that having 50 percent of an EPM participant's quality score for AMI and 75 percent of a participant's quality score for CABG based upon 30-day hospital mortality places a heavy reliance on only a few quality measures. Furthermore, the commenter believed that the heavy emphasis on 30-day mortality could disadvantage smaller hospitals with relatively low AMI/CABG admissions, such that a few adverse outcomes could disproportionately impact the hospital's quality score.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To ensure hospitals have enough cases to produce a valid quality score, the AMI mortality measure uses 3 years of claims data to calculate the measure. Hospitals must have at least 25 qualifying index admissions within the 3-year measurement period to calculate and publically report a measure result. We do not believe these measures disadvantage smaller volume hospitals. We have found hospitals with few cases tend to have measure results that are close to the average hospital rate and are therefore rarely identified as poor performing outliers.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include Hospital-level 30-Day, All-Cause, Risk-Standardized Mortality Rate (RSMR) following AMI hospitalization (NQF #0230) measure in the AMI model to assess quality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Excess Days in Acute Care After Hospitalization for Acute Myocardial Infarction (AMI Excess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Excess Days in Acute Care after Hospitalization for Acute Myocardial Infarction (AMI) measure (AMI Excess Days) is a risk-standardized outcome measure that compares the number of days that patients are predicted to spend in acute care across the full spectrum of possible acute care events (hospital readmissions, observation stays, and ED visits) after discharge from a hospital for AMI, to the days patients are expected to spend in acute care based on their degree of illness.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costs for AMI can be attributed to high acute care utilization for post-discharge AMI patients in the form of readmissions, observation stays, and emergency department (ED) visits. We note that patients admitted for AMI have disproportionately high readmission rates, and that readmission rates following discharge for AMI are highly variable across hospitals in the United States. n99 n100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n99 Krumholz HM, Merrill AR, Schone EM, et al.: Patterns of hospital performance in acute myocardial infarction and heart failure 30-day mortality and readmission. Circulation. Cardiovascular Quality &amp; Outcomes. Sep 2009;2(5):407-413.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n100 Bernheim SM, Grady JN, Lin Z, et al.: National patterns of risk-standardized mortality and readmission for acute myocardial infarction and heart failure. Update on publicly reported outcomes measures based on the 2010 release. Circulation. Cardiovascular Quality &amp; Outcomes. Sep 2010;3(5):459-46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previously adopted HIQR Program measure, Hospital 30-Day, All-Cause Risk-Standardized Readmission Rate (RSRR) following Acute Myocardial Infarction (AMI) Hospitalization (NQF #0505) (CY 2009 OPPS/ASC final rule with comment period; </w:t>
      </w:r>
      <w:hyperlink r:id="rId72" w:history="1">
        <w:r>
          <w:rPr>
            <w:rFonts w:ascii="arial" w:eastAsia="arial" w:hAnsi="arial" w:cs="arial"/>
            <w:b w:val="0"/>
            <w:i/>
            <w:strike w:val="0"/>
            <w:noProof w:val="0"/>
            <w:color w:val="0077CC"/>
            <w:position w:val="0"/>
            <w:sz w:val="20"/>
            <w:u w:val="single"/>
            <w:vertAlign w:val="baseline"/>
          </w:rPr>
          <w:t>73 FR 68780</w:t>
        </w:r>
      </w:hyperlink>
      <w:r>
        <w:rPr>
          <w:rFonts w:ascii="arial" w:eastAsia="arial" w:hAnsi="arial" w:cs="arial"/>
          <w:b w:val="0"/>
          <w:i w:val="0"/>
          <w:strike w:val="0"/>
          <w:noProof w:val="0"/>
          <w:color w:val="000000"/>
          <w:position w:val="0"/>
          <w:sz w:val="20"/>
          <w:u w:val="none"/>
          <w:vertAlign w:val="baseline"/>
        </w:rPr>
        <w:t xml:space="preserve"> through 68781), publicly reported 30-day risk-standardized readmission rates for AMI ranged from 17.5 percent to 30.3 percent for the time period between July 2011 and June 2012. n101 However, in addition to an increased risk of requiring readmission in the post-discharge period, patients are also at risk of returning to the hospital for both observation stays and ED visits which also characterize potentially preventable acute care. ED visits represent a significant proportion of post-discharge acute care utilization for all conditions, including patients with AMI. Two recent studies conducted in patients of all ages showed that 9.5 percent of patients return to the ED within 30 days of hospital discharge; additionally, about 12 percent of these patients are initially discharged from the ED and are not captured by the previously adopted HIQR Program readmission measures. n102 n103 The rising use of observation stays among Medicare beneficiaries between 2001 and 2008 sparked concern among patients, providers, and policymakers that the AMI 30-day Readmission (NQF #0505) measure does not capture the full range of unplanned acute care events that occur in the post-discharge period. In order to address the rising use of observation stays amongst Medicare beneficiaries CMS proposed the Excess Days in Acute Care after Hospitalization for AMI (AMI Excess Days) measure for use in the AMI model. The AMI Excess Days measure comprehensively captures all post-discharge, unplanned acute care events as a count of the excess days a hospital's patients spent as inpatients, in observation, or in the ED over a 3-year measurement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 Centers for Medicare and Medicaid Services. Medicare Hospital Quality Chartbook Performance Report on Outcome Measures September 2013. September 2013; Available at: </w:t>
      </w:r>
      <w:hyperlink r:id="rId73" w:history="1">
        <w:r>
          <w:rPr>
            <w:rFonts w:ascii="arial" w:eastAsia="arial" w:hAnsi="arial" w:cs="arial"/>
            <w:b w:val="0"/>
            <w:i/>
            <w:strike w:val="0"/>
            <w:noProof w:val="0"/>
            <w:color w:val="0077CC"/>
            <w:position w:val="0"/>
            <w:sz w:val="20"/>
            <w:u w:val="single"/>
            <w:vertAlign w:val="baseline"/>
          </w:rPr>
          <w:t>http://www.cms.gov/Medicare/Quality-Initiatives-Patient-Assessment-Instruments/HospitalQualityInits/Downloads/-Medicare-Hospital-Quality-Chartbook-2013.pdf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n102 Rathore SS, Curtis JP, Chen J, Wang Y, Nallamothu BK, Epstein AJ, Krumholz HM; National Cardiovascular Data Registry. Association of door-to-balloon time and mortality in patients admitted to hospital with ST elevation myocardial infarction: national cohort study. BMJ. 2009 May 19; 338:b1807. Krumholz HM, Merrill AR, Schone EM, et al.: Patterns of hospital performance in acute myocardial infarction and heart failure 30-day mortality and readmission. Circulation. Cardiovascular Quality &amp; Outcomes. Sep 2009;2(5):407-413.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n103 Krumholz HM, Merrill AR, Schone EM, et al.: Patterns of hospital performance in acute myocardial infarction and heart failure 30-day mortality and readmission. Circulation. Cardiovascular Quality &amp; Outcomes. Sep 2009;2(5):407-413.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2014, we developed the proposed measure of excess days in acute care following AMI hospitalization, supported for use in the Hospital Quality Reporting Program by the MAP and submitted to the NQF for endorsement. We note that this measure was submitted for endorsement to the NQF All-Cause Admissions and Readmissions Committee in January 2016 with appropriate consideration for sociodemographic status. The measure was finalized for the HIQR Program FY 2018 payment determination (FY 2016 IPPS/LTCH final rule </w:t>
      </w:r>
      <w:hyperlink r:id="rId35" w:history="1">
        <w:r>
          <w:rPr>
            <w:rFonts w:ascii="arial" w:eastAsia="arial" w:hAnsi="arial" w:cs="arial"/>
            <w:b w:val="0"/>
            <w:i/>
            <w:strike w:val="0"/>
            <w:noProof w:val="0"/>
            <w:color w:val="0077CC"/>
            <w:position w:val="0"/>
            <w:sz w:val="20"/>
            <w:u w:val="single"/>
            <w:vertAlign w:val="baseline"/>
          </w:rPr>
          <w:t>80 FR 49690).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use Medicare Part A and Part B FFS claims submitted by the AMI model participant as the data source for calculation of the AMI Excess Days measure as harmonized with the MORT-30-AMI(NQF #0230) and READM-30-AMI(NQF #0505) measures. Index admission diagnoses and in-hospital comorbidities are assessed using Medicare Part A claims. Additional comorbidities prior to the index admission are assessed as Part A inpatient, outpatient, and Part B office visit Medicare claims in the 12 months prior to the index (initial) admission. Enrollment and post-discharge mortality status are obtained from Medicare's enrollment database which contains beneficiary demographic, benefits/coverage, and vital status information. </w:t>
      </w:r>
      <w:r>
        <w:rPr>
          <w:rFonts w:ascii="arial" w:eastAsia="arial" w:hAnsi="arial" w:cs="arial"/>
          <w:b/>
          <w:i w:val="0"/>
          <w:strike w:val="0"/>
          <w:noProof w:val="0"/>
          <w:color w:val="000000"/>
          <w:position w:val="0"/>
          <w:sz w:val="20"/>
          <w:u w:val="none"/>
          <w:vertAlign w:val="baseline"/>
        </w:rPr>
        <w:t> [*376]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AMI Excess Days measure includes Medicare FFS beneficiaries, aged 65 years or older, discharged from non-federal acute care hospitals with a principal discharge diagnosis of AMI and with a complete claims history for the 12 months prior to index admission. Eligible hospitalizations are defined using the following ICD-10-CM codes: I2109, I2111, I2119, I2129, I214, and I213.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measure will include index admissions to all non-federal acute care hospitals, which includes all participants in the AMI model. Hospital performance will only be publically reported for hospitals with 25 or more index admissions in the 3-year measurement period. The AMI model cohort would differ from the hospital cohort that is currently captured in the measure through the HIQR Program. Although performance on the measure will not be publically reported for hospitals with fewer than 25 cases, such hospitals will receive information about their performance on the measure. We refer readers to section III.B.5. of this final rule for a discussion of AMI model participant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Inclusion and Exclusion Criteria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an index admission is the hospitalization to which the excess days in acute care outcome is attributed. We note that for purposes of the EPMs where we need to identify episodes that are included in the EPMs, we use the term anchor hospitalization to identify hospitalizations that initiate EPM episodes for beneficiaries whose care is included in the EPMs. In describing the quality measures themselves in detail in section III.E.4.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we use the term index hospitalization to identify hospitalizations of beneficiaries whose outcomes are included in the measures. Thus, anchor hospitalizations and index hospitalizations would have varying degrees of overlap depending on the specific quality measure. The measure includes the following index admissions for patients:</w:t>
      </w:r>
    </w:p>
    <w:p>
      <w:pPr>
        <w:keepNext w:val="0"/>
        <w:numPr>
          <w:numId w:val="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Having a principal discharge diagnosis of AMI.</w:t>
      </w:r>
    </w:p>
    <w:p>
      <w:pPr>
        <w:keepNext w:val="0"/>
        <w:numPr>
          <w:numId w:val="3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FFS.</w:t>
      </w:r>
    </w:p>
    <w:p>
      <w:pPr>
        <w:keepNext w:val="0"/>
        <w:numPr>
          <w:numId w:val="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Aged 65 or over.</w:t>
      </w:r>
    </w:p>
    <w:p>
      <w:pPr>
        <w:keepNext w:val="0"/>
        <w:numPr>
          <w:numId w:val="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transferred from another acute care facility.</w:t>
      </w:r>
    </w:p>
    <w:p>
      <w:pPr>
        <w:keepNext w:val="0"/>
        <w:numPr>
          <w:numId w:val="3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Part A and Part B for the 12 months prior to the date of index admission, and enrolled in Part A during the index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 excludes the following index admissions for patients:</w:t>
      </w:r>
    </w:p>
    <w:p>
      <w:pPr>
        <w:keepNext w:val="0"/>
        <w:numPr>
          <w:numId w:val="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Discharged alive on the day of index admission or the following day who were not transferred to another acute care facility.</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inconsistent or unknown vital status or other unreliable demographic (age &amp; gender) data.</w:t>
      </w:r>
    </w:p>
    <w:p>
      <w:pPr>
        <w:keepNext w:val="0"/>
        <w:numPr>
          <w:numId w:val="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the Medicare hospice program any time in the 12 months prior to the index admission, including the first day of the index admission.</w:t>
      </w:r>
    </w:p>
    <w:p>
      <w:pPr>
        <w:keepNext w:val="0"/>
        <w:numPr>
          <w:numId w:val="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Discharged AMA.</w:t>
      </w:r>
    </w:p>
    <w:p>
      <w:pPr>
        <w:keepNext w:val="0"/>
        <w:numPr>
          <w:numId w:val="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at least 30 days of post-discharge enrollment in FFS Medicare as the 30-day excess days outcome cannot be assessed for these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for the purpose of this measure, hospitalizations that occur within 30 days of discharge from an index admission are not eligible to also be index admission. Thus, only one index admission for AMI per beneficiary is randomly selected for inclusion in the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Risk-Adjustment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for the AMI model to align this measure with the risk-adjustment methodologies adopted for the AMI Excess Days measure under the HIQR Program in accordance with section 1886(b)(3)(B)(viii)(VIII) of the Act, as finalized in the FY 2016 IPPS/LTCH final rule </w:t>
      </w:r>
      <w:hyperlink r:id="rId35" w:history="1">
        <w:r>
          <w:rPr>
            <w:rFonts w:ascii="arial" w:eastAsia="arial" w:hAnsi="arial" w:cs="arial"/>
            <w:b w:val="0"/>
            <w:i/>
            <w:strike w:val="0"/>
            <w:noProof w:val="0"/>
            <w:color w:val="0077CC"/>
            <w:position w:val="0"/>
            <w:sz w:val="20"/>
            <w:u w:val="single"/>
            <w:vertAlign w:val="baseline"/>
          </w:rPr>
          <w:t>(80 FR 49682).</w:t>
        </w:r>
      </w:hyperlink>
      <w:r>
        <w:rPr>
          <w:rFonts w:ascii="arial" w:eastAsia="arial" w:hAnsi="arial" w:cs="arial"/>
          <w:b w:val="0"/>
          <w:i w:val="0"/>
          <w:strike w:val="0"/>
          <w:noProof w:val="0"/>
          <w:color w:val="000000"/>
          <w:position w:val="0"/>
          <w:sz w:val="20"/>
          <w:u w:val="none"/>
          <w:vertAlign w:val="baseline"/>
        </w:rPr>
        <w:t xml:space="preserve"> We also note that the measure risk adjustment takes into account patient age, sex, and comorbidities to allow a fair assessment of hospital performance. The measure defines the patient risk factors for excess days using diagnosis codes collected from all patient claims 1 year prior to a patient's index hospitalization for AMI. Accordingly, only comorbidities that convey information about the patient at the time of index admission or in the 12 months prior, and not complications that arise during the course of the index hospitalization, are included in the risk-adjustment model. The measure does not adjust for patients' index admission source or their discharge disposition (for example, SNF) because these factors are associated with the structure of the health care system, not solely patients' clinical comorbidities. Regional differences in the availability of post-acute care providers and practice patterns might also exert undue influence on measure results. In addition, data fields that capture discharge disposition, for example to post-acute care settings, on inpatient claims are not audited and are not as reliable as diagnosis codes.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noted in the AMI Excess Days measure, ICD-10-CM diagnosis codes present on Parts A and B administrative claims are used to inform the risk prediction for each patient. Diagnostic codes from post-acute care settings are utilized in the measure calculation, but this information is only used to identify a hospital's patient case mix in order to adequately adjust for differences in case mix across hospitals. We note that the patient diagnosis codes are grouped using HCCs, which are clinically relevant diagnostic groups of codes. The CCs used in the risk-adjustment model for this measure are provided on the CMS QualityNet Web site: </w:t>
      </w:r>
      <w:hyperlink r:id="rId71" w:history="1">
        <w:r>
          <w:rPr>
            <w:rFonts w:ascii="arial" w:eastAsia="arial" w:hAnsi="arial" w:cs="arial"/>
            <w:b w:val="0"/>
            <w:i/>
            <w:strike w:val="0"/>
            <w:noProof w:val="0"/>
            <w:color w:val="0077CC"/>
            <w:position w:val="0"/>
            <w:sz w:val="20"/>
            <w:u w:val="single"/>
            <w:vertAlign w:val="baseline"/>
          </w:rPr>
          <w:t>https://www.qualitynet.org/dcs/ContentServer?c=Page&amp;pagename=QnetPublic%2FPage%2FQnetTier4&amp;cid=1219069856694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age, sex, and comorbidities present at the time of index admission are adjusted for differences in hospital case mix (patient risk factors). The measure uses the HLM statistical methodology for risk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Calculating the Rate and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calculate hospital 30-day excess days in acute care with the methodology used to risk standardize all excess days measures used in CMS hospital quality programs. The outcome of the measure is a count of the number of days the patient spends in acute care within 30 days of discharge. We define days in acute care as days spent in an ED, admitted to an observation unit, or admitted as an unplanned readmission for any cause within 30 days from the date of discharge from the index AMI hospitalization. Each ED treat-and-release visit is counted as 1 half-day (0.5 days). Observation stays are recorded in terms of hours and are rounded up to the nearest half-day. Each readmission day is counted as 1 full day (1 day). We count all eligible outcomes occurring in the 30-day period, even if they are repeat occurrences. The measure incorporates "exposure time" (the number of days each patient survives after discharge, up to 30). This exposure time is included to account for differential risk for excess days in acute care after discharge among those patients who do not survive the full post-discharge period. If a readmission or observation stay extends beyond the 30-day window, only those days within the 30-day window are counted.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Using a two-part random effects model, or "hurdle" model, we account for the structure of the data (patients clustered within hospitals) and the observed distribution of the outcome. Specifically, we model the number of acute care days for each patient as: (a) The probability that the patient will have a non-zero number of days in post-discharge acute care; and (b) the number </w:t>
      </w:r>
      <w:r>
        <w:rPr>
          <w:rFonts w:ascii="arial" w:eastAsia="arial" w:hAnsi="arial" w:cs="arial"/>
          <w:b/>
          <w:i w:val="0"/>
          <w:strike w:val="0"/>
          <w:noProof w:val="0"/>
          <w:color w:val="000000"/>
          <w:position w:val="0"/>
          <w:sz w:val="20"/>
          <w:u w:val="none"/>
          <w:vertAlign w:val="baseline"/>
        </w:rPr>
        <w:t> [*377] </w:t>
      </w:r>
      <w:r>
        <w:rPr>
          <w:rFonts w:ascii="arial" w:eastAsia="arial" w:hAnsi="arial" w:cs="arial"/>
          <w:b w:val="0"/>
          <w:i w:val="0"/>
          <w:strike w:val="0"/>
          <w:noProof w:val="0"/>
          <w:color w:val="000000"/>
          <w:position w:val="0"/>
          <w:sz w:val="20"/>
          <w:u w:val="none"/>
          <w:vertAlign w:val="baseline"/>
        </w:rPr>
        <w:t xml:space="preserve"> of days the patient is predicted to spend given that this number is non-zero. The first part is specified as a legit model, and the second part is specified as a Poisson model, with both parts having the same risk-adjustment variables and each part having a random effect. This model is used to calculate the predicted (including random effects) and expected (assuming random effects are zero) number of days in post-discharge acute care for each patient. The average difference between patients' predicted and expected estimates for each hospital is used to construct the risk-standardized excess days outcome. The excess days outcome is reported at the hospital-level per 100 discharges.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define the time period for the measure as within 30 days of the date of discharge of the index AMI hospitalization. The 30-day post-discharge window for assessing the outcome is consistent with the claims-based MORT-30-AMI (NQF #0230) and Hybrid AMI Mortality (NQF #2473) measures as noted in this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3-year rolling performance period would be consistent with that used for the HIQR Program (FY 2016 IPPS/LTCH final rule </w:t>
      </w:r>
      <w:hyperlink r:id="rId35" w:history="1">
        <w:r>
          <w:rPr>
            <w:rFonts w:ascii="arial" w:eastAsia="arial" w:hAnsi="arial" w:cs="arial"/>
            <w:b w:val="0"/>
            <w:i/>
            <w:strike w:val="0"/>
            <w:noProof w:val="0"/>
            <w:color w:val="0077CC"/>
            <w:position w:val="0"/>
            <w:sz w:val="20"/>
            <w:u w:val="single"/>
            <w:vertAlign w:val="baseline"/>
          </w:rPr>
          <w:t>80 FR 49681).</w:t>
        </w:r>
      </w:hyperlink>
      <w:r>
        <w:rPr>
          <w:rFonts w:ascii="arial" w:eastAsia="arial" w:hAnsi="arial" w:cs="arial"/>
          <w:b w:val="0"/>
          <w:i w:val="0"/>
          <w:strike w:val="0"/>
          <w:noProof w:val="0"/>
          <w:color w:val="000000"/>
          <w:position w:val="0"/>
          <w:sz w:val="20"/>
          <w:u w:val="none"/>
          <w:vertAlign w:val="baseline"/>
        </w:rPr>
        <w:t xml:space="preserve"> Section III.E.5., Form, Manner, and Timing of Quality Measure Data Submission, of this final rule summarizes the proposed measure performance periods for AMI model performance years 1 through 5. We note that improvement on the AMI Excess Days measure would be determined from the immediate 3-year rolling performance period available for the year preceding the AMI model performance year as explained in Table 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include the Excess Days in Acute Care after Hospitalization for AMI measure in the AMI model is included in § 512.411(a)(2). We sought comment on this proposal to include the Excess Days in Acute Care after Hospitalization for AMI measure in the AMI model to assess quality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stated that certain characteristics of the patient population, such as patient expectations, health literacy, inadequate transportation, lack of caregiver support, and socioeconomic status, contribute to the rate of post-discharge hospitalizations and disadvantage hospitals serving poorer populations.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concerns that socioeconomic factors influence patient's risk of post-discharge returns to the hospital for acute care. The AMI EDAC measure currently does not include socioeconomic factors in the risk-adjustment model. We routinely monitor the impact of SDS on providers' differential performance on our outcome and payment measure.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NQF is currently conducting a 2-year trial, in which new measures and measures undergoing maintenance review will be assessed to determine if risk-adjusting for sociodemographic factors is appropriate. This trial entails temporarily allowing inclusion of sociodemographic factors in the risk-adjustment approach for some performance measures. At the conclusion of the trial, NQF is expected to issue recommendations on future permanent inclusion of sociodemographic factors. During the trial, measure developers are encouraged to submit information such as analyses and interpretations as well as performance scores with and without sociodemographic factors in the risk adjustment model. Several measures developed by CMS have been brought to NQF since the beginning of the trial, including the AMI EDAC measure which was submitted to NQF in January 2016 and is a part of the trial. Under the guidance of NQF, we are making every effort to be proactive in examining SDS factors in quality measures by testing SDS factors in the measures' risk models and making recommendations about whether or not to include these factors in the endorsed measure. We are still awaiting final recommendations from the NQF and intend to continue engaging in the NQF process as we consider the appropriateness of adjusting for SDS factors in our outcome measures. For more detailed information about measures in the NQF SDS trial period, we refer commenters to: </w:t>
      </w:r>
      <w:hyperlink r:id="rId74" w:history="1">
        <w:r>
          <w:rPr>
            <w:rFonts w:ascii="arial" w:eastAsia="arial" w:hAnsi="arial" w:cs="arial"/>
            <w:b w:val="0"/>
            <w:i/>
            <w:strike w:val="0"/>
            <w:noProof w:val="0"/>
            <w:color w:val="0077CC"/>
            <w:position w:val="0"/>
            <w:sz w:val="20"/>
            <w:u w:val="single"/>
            <w:vertAlign w:val="baseline"/>
          </w:rPr>
          <w:t>http://www.qualityforum.org/SES_Trial_Period.aspx</w:t>
        </w:r>
      </w:hyperlink>
      <w:r>
        <w:rPr>
          <w:rFonts w:ascii="arial" w:eastAsia="arial" w:hAnsi="arial" w:cs="arial"/>
          <w:b w:val="0"/>
          <w:i w:val="0"/>
          <w:strike w:val="0"/>
          <w:noProof w:val="0"/>
          <w:color w:val="000000"/>
          <w:position w:val="0"/>
          <w:sz w:val="20"/>
          <w:u w:val="none"/>
          <w:vertAlign w:val="baseline"/>
        </w:rPr>
        <w:t>. Furthermore, we are awaiting the findings of an ASPE report on SDS factors in risk-adjustment. Therefore, we are not currently changing our risk-adjustment methodology with respect to SDS factors at this time. We will continue to consider such factors in our ongoing measure development and maintenance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Two commenters opposed the AMI EDAC measure because it measures quality based partly on care provided in settings and facilities other than those of the initial discharging hospital.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these measures reflect the actions of hospitals and the care their patients receive post-discharge. Hospitals providing quality inpatient care, conducting appropriate discharge planning, and working with providers and suppliers on appropriate follow-up care will likely perform well, because the Medicare beneficiaries they serve will have a reduced need for excessive post-discharge services. The risk adjustment methodology used for these measures acknowledge the differences in a given hospital's patient case mix, so that their performance can be compared to a national average. We recognize that the structure of health care markets and practice patterns vary geographically, beyond the variation in patient case mix. However, as previously mentioned, we believe that the aforementioned opportunities for hospitals to exert control over post-discharge services exist, regardless of the degree of integration of a health system. In cases where systems are not well-integrated, there may be an even greater opportunity for redesign of care processes to achieve high performance on these measures. We are collaborating with our postacute care quality programs and we will take the commenters' suggestions that similar measures should be incorporated into those programs under consideration. However, we do not believe that it would be appropriate to delay adoption of this measure and the public reporting of this valuable and actionable payment information until such time as any similar, postacute care measures are implemented.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 with the outcome of the AMI EDAC measures, questioning whether excess days in acute care provides a signal of quality. One commenter opposed the AMI EDAC measure because high readmission rates could stem from the need to care for chronically ill patients. The commenter stated that hospitals should not be punished for high readmission rates when they are associated with lower mortality rates and good access to inpatient hospital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that excess days in acute care does not provide a signal of quality. Our discussions with patients and the TEP, as well as published literature, indicate that acute care utilization after discharge (that is, return to the ED, observation stay, and readmission), for any reason, is disruptive to patients and caregivers, costly to the health care system, and puts patients at additional risk of hospital-acquired infections and complications. These measures are meant to provide patients with a more complete picture of potential post-discharge acute care use as they make choices for their care. We are confident that for most patients, remaining home or remaining in a non-acute setting rather than returning to the hospital </w:t>
      </w:r>
      <w:r>
        <w:rPr>
          <w:rFonts w:ascii="arial" w:eastAsia="arial" w:hAnsi="arial" w:cs="arial"/>
          <w:b/>
          <w:i w:val="0"/>
          <w:strike w:val="0"/>
          <w:noProof w:val="0"/>
          <w:color w:val="000000"/>
          <w:position w:val="0"/>
          <w:sz w:val="20"/>
          <w:u w:val="none"/>
          <w:vertAlign w:val="baseline"/>
        </w:rPr>
        <w:t> [*378] </w:t>
      </w:r>
      <w:r>
        <w:rPr>
          <w:rFonts w:ascii="arial" w:eastAsia="arial" w:hAnsi="arial" w:cs="arial"/>
          <w:b w:val="0"/>
          <w:i w:val="0"/>
          <w:strike w:val="0"/>
          <w:noProof w:val="0"/>
          <w:color w:val="000000"/>
          <w:position w:val="0"/>
          <w:sz w:val="20"/>
          <w:u w:val="none"/>
          <w:vertAlign w:val="baseline"/>
        </w:rPr>
        <w:t xml:space="preserve"> indicates a better outcome. Although some hospital returns are unavoidable, others may result from poor quality of care, overutilization of care or inadequate transitional care. Transitional care includes effective discharge planning, transfer of information at the time of discharge, patient assessment and education, and coordination-of-care and monitoring in the post-discharge period. When appropriate care transition processes are in place (for example, a patient is discharged to a suitable location, communication occurs between clinicians, medications are correctly reconciled, timely follow-up is arranged), fewer patients return to an acute care setting, either for an ED visit, observation stay, or hospital readmission during the 30 days post-discharge. Numerous studies have found an association between quality of inpatient or transitional care and early (typically 30-day) readmission rates n104 and ED visits n105 or a wide range of conditions including AMI.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n104 Dean NC, Bateman KA, Donnelly SM, Silver MP, Snow GL, Hale D. Improved clinical outcomes with utilization of a community-acquired pneumonia guideline. Chest. 2006;130(3):794-799.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Coleman EA, Parry C, Chalmers S, et al. 2006. The care transitions intervention: Results of a randomized controlled trial. Arch Intern Med 166:1822-1828.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Coleman EA, Smith JD, Frank JC, Min SJ, Parry C, Kramer AM. Preparing patients and caregivers to participate in care delivered across settings: The Care Transitions Intervention. J Am Geriatr Soc 2004;52(11):1817-25.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Hansen LO, Young RS, Hinami K, et al. Interventions to reduce 30-day rehospitalization: A systematic review. 2011; 155(8):520-8.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Leppin AL, Gionfriddo MR, Kessler M, et al. Preventing 30-day hospital readmissions: A systematic review and meta-analysis of randomized trials. JAMA Internal Med. 2014; 174(7):1095-107.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Hansen LO, Young RS, Hinami K, et al. Interventions to reduce 30-day rehospitalization: A systematic review. 2011; 155(8):520-8.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n105 Mistiaen P, Francke AL, Poot E. Interventions aimed at reducing problems in adult patients discharged from hospital to home: A systematic metareview. BMC Health Serv Res 2007;7:47.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commenter's concern that some hospitals care for a greater number of chronically ill patients, although the measures cannot capture all reasons for variability among hospitals, the EDAC measures incorporate risk adjustment using claims data to account for patient factors that could account for the observed variability. The measures use claims based risk adjusters that are clinically relevant and have strong relationships with the outcome as has been done in other claims-based outcome measures in the Hospital IQR Program. This approach was supported by the TEP. We understand that hospitals have complex patients with varying comorbidities. Although the cohort may contain patients with different disease severity, and therefore, different levels of risk, the measure accounts for this range of severity and risk because it is risk-adjusted for 65 factors that are clinically relevant and have strong relationships with the outcome of acute care utilization.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 that hospitals not be punished for readmission if they reduce patient mortality, the goal of these measures is not to punish hospitals for appropriate readmissions; it is to help patients and providers understand variation among hospitals in the days that are spent by patients in acute care settings following a discharge for AMI. The measures provide a broader perspective on post-discharge events than the current readmission measures and are intended to incentivize improvements in care transitions from the hospital so that patients are less likely to return to the acute setting.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the AMI EDAC measure be removed from the model to create a better balance of provider risk and reward. One commenter noted that costs of a hospital emergency department or observation visit following an index admission is already captured and will impact a hospital's reimbursement in this EPM. The commenter stated that hospitals should not be further penalized by including this measure in the quality component. The commenter also opposed the AMI EDAC measure because it was not included in the list of recommended quality measures in the HCP LAN "Accelerating and Aligning Clinical Episode Payment Models: Coronary Artery Disease" draft whitepaper released in May, 2016.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interpreted this commenter's concern to be that because visits to the emergency department and observation stays are less costly than readmissions, by combining all of these types of visits into a single outcome, providers are not incentivized to use the lower cost settings to deliver care whenever appropriate. We agree that all acute care utilization is not equal in its disruption, cost, or risk to patients. In the AMI EDAC measure, the weight of events (such as observation or ED care) is determined by the intensity of care delivered to patients. Prolonged acute care is more costly and worse from a patient perspective than a brief ED visit. That is why we elected to report the AMI EDAC measure as a count of days: Events lasting longer with more cost and disruption (such as readmissions), therefore, naturally weigh more than brief events (such as ED visits) in the overall day count. This approach is based on the believe that, from a patient perspective, it is the count of total days spent in acute care settings that is most meaningful and representative of the disruption, which is why we combine day counts for each type of event and do not separately report rates of each type of event. This day count is also valuable for hospitals, because a hospital with a high number of ED visits may still be able to achieve a low number of total days in acute care by actively coordinating care from the ED and avoiding re-hospitalizations. Because the EDAC measure had not previously been publically reported at the time of the HCP LAN report in May 2016, they did not consider it for inclusion on the list of potential measures to be used in cardiovascular episode of payment models. However, the AMI and CABG readmission measures were recommended suggesting that the HCP LAN did consider the prevention or reduction of post-discharge acute care use as an important quality metric to include in cardiovascular episode payment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supported inclusion of the AMI EDAC measure in the AMI EPM bundle and recommended CMS include a measure of excess days in acute care for the CABG and surgical hip and femur fracture treatment EPM bundles.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commenters for their support and will consider additional measure development as was suggested.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stated that the AMI EDAC measure will not be helpful to beneficiaries in navigating their care nor will the measure be actionable for hospitals given that physicians dictate the discharge date.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that the AMI EDAC measure will not be helpful to beneficiaries. We have developed the AMI EDAC measure to try to provide important patient-centered information to providers. The measure supports existing hospital incentives to further invest in interventions and tools to improve hospital care, better respond to individual patient preferences, better assess patient readiness for discharge, and facilitate transitions to outpatient status. Such interventions and tools will reduce the likelihood of patients having any return to the hospital and make it more likely that patients who do return have less severe illnesses which may require fewer days of care. We disagree that providers do not have the ability to take meaningful actions that would have an impact on patient outcomes as a result of adopting the AMI EDAC </w:t>
      </w:r>
      <w:r>
        <w:rPr>
          <w:rFonts w:ascii="arial" w:eastAsia="arial" w:hAnsi="arial" w:cs="arial"/>
          <w:b/>
          <w:i w:val="0"/>
          <w:strike w:val="0"/>
          <w:noProof w:val="0"/>
          <w:color w:val="000000"/>
          <w:position w:val="0"/>
          <w:sz w:val="20"/>
          <w:u w:val="none"/>
          <w:vertAlign w:val="baseline"/>
        </w:rPr>
        <w:t> [*379] </w:t>
      </w:r>
      <w:r>
        <w:rPr>
          <w:rFonts w:ascii="arial" w:eastAsia="arial" w:hAnsi="arial" w:cs="arial"/>
          <w:b w:val="0"/>
          <w:i w:val="0"/>
          <w:strike w:val="0"/>
          <w:noProof w:val="0"/>
          <w:color w:val="000000"/>
          <w:position w:val="0"/>
          <w:sz w:val="20"/>
          <w:u w:val="none"/>
          <w:vertAlign w:val="baseline"/>
        </w:rPr>
        <w:t xml:space="preserve"> measure. The measure spotlights the excess number of days patients spend in acute care (hospital readmissions, observation stays, and ED visits) per 100 discharges during the first 30 days after discharge from the hospital, relative to the number spent by the same patients discharged from an average hospital. We believe the information provided to hospitals through this measure will help inpatient and outpatient providers better understand the trajectory of care for patients that have been discharged from their facility. Specifically, hospitals will be able to assess whether patients discharged from their facility have readmissions, observation stays, and/or ED visits during the first 30 days after discharge from the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measure provides more granular information regarding patient discharge outcomes, this will assist hospitals in developing targeted quality improvement activities aimed at improving transitions of care. We believe that the measure will reduce readmissions, observation stays, and/or ED visits by encouraging hospitals to further invest in interventions to improve hospital care by better assessing the readiness of patients for discharge and facilitating quality transitions to outpatient status.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that CMS not include outpatient care that is beneficial to patients as part of the AMI EDAC measure.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dismiss the importance of hospital-level care in outpatient settings, such as the Emergency Department, and support hospitals using the level of care most appropriate for each particular patient's condition. We agree with the commenter that some returns to the acute care setting are necessary and beneficial to patients. The goal is not to avoid all post-discharge acute care service utilization, but to identify excess use of acute care post-discharge. Acute care utilization after discharge (that is, return to the ED, observation stay, and readmission), for any reason, is disruptive to patients and caregivers, costly to the health care system, and puts patients at additional risk of hospital-acquired infections and complications. Although some factors are outside hospitals' control, when appropriate care transition processes are in place (for example, a patient is discharged to a suitable location, communication occurs between clinicians, medications are correctly reconciled, timely follow-up is arranged), fewer patients return to an acute care setting, whether for an ED visit, observation stay, or hospital readmission during the 30 days post-discharge period. Numerous studies have found an association between quality of inpatient or transitional care and early (typically 30-day) readmission rates and ED visits for a wide range of conditions including AMI.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opposed the inclusion of the AMI EDAC measure because it is not NQF endorsed and wasn't reviewed by the MAP for inclusion in this EPM.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Section 1886(b)(3)(B)(IX)(bb) of the Act provides that in the case of a specified area or medical topic determined appropriate by the Secretary for which a feasible and practical measure has not been endorsed by the entity with a contract under section 1890(a) of the Act, the Secretary may specify a measure that is not so endorsed as long as due consideration is given to measures that have been endorsed or adopted by a consensus organization identified by the Secretary. While we considered other existing measures related to care transitions and post-discharge acute care utilization that have been endorsed by NQF or other consensus organizations, we were unable to identify any NQF-endorsed (or other consensus organization endorsed) measures that assess the full range of post-discharge acute care use that patients may experience.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process measures capture many important domains of care transitions such as education, medication reconciliation, and follow up, but all require chart review and manual abstraction. Existing outcome measures are focused entirely on readmissions or complications and do not include observation stays or ED visits. We are not aware of any other measures that assess the quality of transitional care by measuring 30-day risk-standardized days in acute care (hospital readmissions, observation stays, and ED visits) following hospitalization for AMI that have been endorsed or adopted by a consensus organization, and we have not found any other feasible and practical measures on this topic. However, we note that this measure has been submitted to NQF for endorsement proceedings and received a recommendation for endorsement from the Admissions and Readmissions Standing Committee as part of the All-Cause Admissions and Readmissions project in January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the AMI EDAC measure was reviewed by clinical experts and a TEP and was subject to separate public input prior to being proposed for the Hospital IQR Program. This measure was also included on a publicly available document entitled "List of Measures under Consideration for December 1, 2014" (available at: </w:t>
      </w:r>
      <w:hyperlink r:id="rId75" w:history="1">
        <w:r>
          <w:rPr>
            <w:rFonts w:ascii="arial" w:eastAsia="arial" w:hAnsi="arial" w:cs="arial"/>
            <w:b w:val="0"/>
            <w:i/>
            <w:strike w:val="0"/>
            <w:noProof w:val="0"/>
            <w:color w:val="0077CC"/>
            <w:position w:val="0"/>
            <w:sz w:val="20"/>
            <w:u w:val="single"/>
            <w:vertAlign w:val="baseline"/>
          </w:rPr>
          <w:t>http://www.qualityforum.org/ProjectMaterials.aspx?projectID=75367</w:t>
        </w:r>
      </w:hyperlink>
      <w:r>
        <w:rPr>
          <w:rFonts w:ascii="arial" w:eastAsia="arial" w:hAnsi="arial" w:cs="arial"/>
          <w:b w:val="0"/>
          <w:i w:val="0"/>
          <w:strike w:val="0"/>
          <w:noProof w:val="0"/>
          <w:color w:val="000000"/>
          <w:position w:val="0"/>
          <w:sz w:val="20"/>
          <w:u w:val="none"/>
          <w:vertAlign w:val="baseline"/>
        </w:rPr>
        <w:t xml:space="preserve">) and has been reviewed by the NQF MAP Hospital Workgroup. The measure was conditionally supported pending the examination of SDS factors and NQF review and endorsement of the measure update, as referenced in the MAP 2015 Final Recommendations Spreadsheet (available at: </w:t>
      </w:r>
      <w:hyperlink r:id="rId75" w:history="1">
        <w:r>
          <w:rPr>
            <w:rFonts w:ascii="arial" w:eastAsia="arial" w:hAnsi="arial" w:cs="arial"/>
            <w:b w:val="0"/>
            <w:i/>
            <w:strike w:val="0"/>
            <w:noProof w:val="0"/>
            <w:color w:val="0077CC"/>
            <w:position w:val="0"/>
            <w:sz w:val="20"/>
            <w:u w:val="single"/>
            <w:vertAlign w:val="baseline"/>
          </w:rPr>
          <w:t>http://www.qualityforum.org/ProjectMaterials.aspx?projectID=75367</w:t>
        </w:r>
      </w:hyperlink>
      <w:r>
        <w:rPr>
          <w:rFonts w:ascii="arial" w:eastAsia="arial" w:hAnsi="arial" w:cs="arial"/>
          <w:b w:val="0"/>
          <w:i w:val="0"/>
          <w:strike w:val="0"/>
          <w:noProof w:val="0"/>
          <w:color w:val="000000"/>
          <w:position w:val="0"/>
          <w:sz w:val="20"/>
          <w:u w:val="none"/>
          <w:vertAlign w:val="baseline"/>
        </w:rPr>
        <w:t>). We will continue to work collaboratively with stakeholders in soliciting input on ways to refine this measure in the future.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opposed the inclusion of the AMI EDAC measure because it is not publicly reported.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CMS understands the commenters concern that the measure has not been publicly reported as of yet. We held a dry run to educate hospitals on the AMI and HF EDAC measures in September 2015 and we reported updated results to hospitals in the IQR Preview Period in April 2016. Hospitals results on the measures will be updated with more recent data and reported to hospitals in Spring 2017 as part of the IQR Preview Period for the public reporting release of the measures in July 2017.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opposed inclusion of the AMI EDAC measure because it overlaps with the AMI readmission measure.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response to the commenter's concern about overlap of the AMI EDAC and the current readmission measure, we interpret the commenter to be referring to the 30-day AMI readmission measure. That measure and the AMI EDAC measure assess different outcomes. Although both measures count readmission, the 30-day AMI readmission measure only informs a hospital if a patient had a readmission, and does not include all postdischarge outcomes that matter to patients, such as having to return to the ED or spending time in the hospital under observation, like the AMI EDAC measure does. The AMI EDAC measure provides patients a more comprehensive and patient-centered perspective on the 30-day postdischarge experience because it includes not only readmissions, but also ED visits and observation stays and captures the numbers of days in these settings.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include the Excess Days </w:t>
      </w:r>
      <w:r>
        <w:rPr>
          <w:rFonts w:ascii="arial" w:eastAsia="arial" w:hAnsi="arial" w:cs="arial"/>
          <w:b/>
          <w:i w:val="0"/>
          <w:strike w:val="0"/>
          <w:noProof w:val="0"/>
          <w:color w:val="000000"/>
          <w:position w:val="0"/>
          <w:sz w:val="20"/>
          <w:u w:val="none"/>
          <w:vertAlign w:val="baseline"/>
        </w:rPr>
        <w:t> [*380] </w:t>
      </w:r>
      <w:r>
        <w:rPr>
          <w:rFonts w:ascii="arial" w:eastAsia="arial" w:hAnsi="arial" w:cs="arial"/>
          <w:b w:val="0"/>
          <w:i w:val="0"/>
          <w:strike w:val="0"/>
          <w:noProof w:val="0"/>
          <w:color w:val="000000"/>
          <w:position w:val="0"/>
          <w:sz w:val="20"/>
          <w:u w:val="none"/>
          <w:vertAlign w:val="baseline"/>
        </w:rPr>
        <w:t xml:space="preserve"> in Acute Care after Hospitalization for AMI measure in the AMI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Hybrid Hospital 30-Day, All-Cause, Risk-Standardized Mortality Rate Following Acute Myocardial Infarction (AMI) Hospitalization (NQF #2473) (Hybrid AMI Mortality)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keeping with our goal to move toward the use of EHRs, and in response to stakeholder feedback to include clinical data in outcome measures, we have developed the hospital 30-day risk-standardized acute myocardial infarction (AMI) mortality eMeasure (NQF #2473) (herein after referred to as Hybrid AMI Mortality measure). This measure will incorporate a combination of claims data and EHR data submitted by hospitals, and because of these combined data sources, it is referred to as a hybrid measure. The Hybrid AMI Mortality (NQF #2473) measure cohort and outcome are identical to those in the hospital 30-day, all-cause, risk-standardized mortality rate (RSMR) following acute myocardial infarction (AMI) (NQF #0230), measure which is also being proposed in the AMI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to the claims-only MORT-30-AMI (NQF #0230) measure, the proposed Hybrid AMI Mortality (NQF #2473) measure utilizes five core clinical data elements (age; heart rate; systolic blood pressure; troponin; creatinine) in the risk-adjustment methodology that are obtainable through EHR data. These five core clinical data elements are intended to reflect patients' clinical status when they first present to an acute care hospital for treatment of AMI. The clinical data elements include age at the time of admission, first-captured vital signs (heart rate, systolic blood pressure) collected within 2 hours of the patient first presenting to the hospital, and the first captured laboratory values (troponin, creatinine) collected within 24 hours of the patient first presenting to the hospital to which they are subsequently admitted. We note that these five data elements are routinely collected on hospitalized adults with AMI upon presentation to the hospital, consistently captured in medical records under current clinical practice, and can be feasibly electronically extracted from hospital EHRs.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prepare for future reporting of the Hybrid AMI Mortality (NQF #2473) measure, we proposed to seek and reward voluntary data submission of the five core clinical data elements included in the risk model for the Hybrid AMI mortality (NQF #2473) measure. We also proposed to require submission of six additional linking variables (CCN, HIC Number, date of birth, sex, admission date, and discharge date) to ensure that the datasets containing administrative claims data are correctly linked with EHR datasets containing the core clinical data elements for proper risk adjustment. The voluntary data submission initiative will allow AMI model participants to build processes to extract and report the EHR data elements, as well as support CMS testing of systems required for Hybrid AMI Mortality measure (NQF #2473) production including data receiving and auditing, the merging EHR and claims data, calculation and production of measure results.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are considering using the Hybrid AMI Mortality (NQF #2473) measure as a replacement for the current publicly reported MORT-30-AMI (NQF #0230) measure in CMS models or programs when appropriate. In future years CMS may implement the Hybrid AMI Mortality (NQF #2473) measure in models and/or programs, such as in the AMI model or HIQR Program. In that event, we would propose to adopt the measure through notice and comment rulemaking. We refer readers to more detailed information on the measure specifications in this final rule and to the CMS Web site at: </w:t>
      </w:r>
      <w:hyperlink r:id="rId70" w:history="1">
        <w:r>
          <w:rPr>
            <w:rFonts w:ascii="arial" w:eastAsia="arial" w:hAnsi="arial" w:cs="arial"/>
            <w:b w:val="0"/>
            <w:i/>
            <w:strike w:val="0"/>
            <w:noProof w:val="0"/>
            <w:color w:val="0077CC"/>
            <w:position w:val="0"/>
            <w:sz w:val="20"/>
            <w:u w:val="single"/>
            <w:vertAlign w:val="baseline"/>
          </w:rPr>
          <w:t>http://cms.gov/Medicare/Quality-Initiatives-Patient-Assessment-Instruments/HospitalQualityInits/Measure-Methodology.html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use two sources of data submitted by AMI model participants to calculate the Hybrid AMI Mortality (NQF #2473) measure: Medicare Part A and Part B (FFS claims to identify index admission diagnoses; and EHR-captured clinical information collected at presentation for risk-adjustment of patients' severity of illness. Deaths are identified using the Medicare Enrollment Database which contains beneficiary demographic, benefits/coverage, and vital status information.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voluntary data submission initiative, EHR data submission will align with existing Electronic Clinical Quality Measure (eCQM) standards and data reporting procedures for hospitals. In alignment with these standards, we are posting the electronic specifications for the Hybrid AMI Mortality (NQF #2473) measure, which include the Measure Authoring Tool (MAT) output and value sets for all included data elements, on the CMS Web site at: </w:t>
      </w:r>
      <w:hyperlink r:id="rId70" w:history="1">
        <w:r>
          <w:rPr>
            <w:rFonts w:ascii="arial" w:eastAsia="arial" w:hAnsi="arial" w:cs="arial"/>
            <w:b w:val="0"/>
            <w:i/>
            <w:strike w:val="0"/>
            <w:noProof w:val="0"/>
            <w:color w:val="0077CC"/>
            <w:position w:val="0"/>
            <w:sz w:val="20"/>
            <w:u w:val="single"/>
            <w:vertAlign w:val="baseline"/>
          </w:rPr>
          <w:t>http://cms.gov/Medicare/Quality-Initiatives-Patient-Assessment-Instruments/HospitalQualityInits/Measure-Methodology.html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Office of the National Coordinator for Health Information Technology (ONC) adopted quality reporting document architecture (QRDA) as the standard to support both QRDA Category I (individual patient) and QRDA Category III (aggregate) data submission approaches for Meaningful Use Stage 2 in the Health Information Technology: Standards, Implementation Specifications, and Certification Criteria for Electronic Health Record Technology, 2014 Edition; Revisions to the Permanent Certification Program for Health Information Technology rule </w:t>
      </w:r>
      <w:hyperlink r:id="rId76" w:history="1">
        <w:r>
          <w:rPr>
            <w:rFonts w:ascii="arial" w:eastAsia="arial" w:hAnsi="arial" w:cs="arial"/>
            <w:b w:val="0"/>
            <w:i/>
            <w:strike w:val="0"/>
            <w:noProof w:val="0"/>
            <w:color w:val="0077CC"/>
            <w:position w:val="0"/>
            <w:sz w:val="20"/>
            <w:u w:val="single"/>
            <w:vertAlign w:val="baseline"/>
          </w:rPr>
          <w:t>(77 FR 54163</w:t>
        </w:r>
      </w:hyperlink>
      <w:r>
        <w:rPr>
          <w:rFonts w:ascii="arial" w:eastAsia="arial" w:hAnsi="arial" w:cs="arial"/>
          <w:b w:val="0"/>
          <w:i w:val="0"/>
          <w:strike w:val="0"/>
          <w:noProof w:val="0"/>
          <w:color w:val="000000"/>
          <w:position w:val="0"/>
          <w:sz w:val="20"/>
          <w:u w:val="none"/>
          <w:vertAlign w:val="baseline"/>
        </w:rPr>
        <w:t xml:space="preserve"> through 54292). We intend to provide AMI model participants with information about how many qualifying admissions are submitted successfully. We refer readers to the definition of "successful data submission" in section III. E.4.a.(3)(vii)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proposal to use the following reporting mechanisms in performance year 1: QRDA, a simpler mechanism such as a spreadsheet, or both. We proposed using QRDA in AMI model performance years 2 through 5. The purpose of the use of a simpler reporting format in the first performance year reporting format in the first performance year would be to allow hospitals to perfect data extraction with the 2017 data and postpone mastery of reporting in the QRDA format to the following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had concerns or provided suggestions about the reporting standard for voluntary reporting of EHR data elements. One commenter recommended that CMS require QRDA I file format for every year of data submission, as it is already required for the Inpatient Quality Reporting and Meaningful Use programs. Another commenter recommended that CMS not allow data to be submitted for performance year (PY) 1 in a different file format than the other years to avoid confusion. Several commenters agreed with CMS in being flexible in the voluntary reporting of the clinical data elements by allowing multiple reporting formats. One commenter specifically appreciated the flexible approach, as it created a better balance of provider risk and reward. Another commenter suggested that CMS allow both QRDA and Excel reporting in performance years 2 and 3.</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suggestion to align standards across our programs. We agree that it is important to align these data collection requirements to reduce burden on </w:t>
      </w:r>
      <w:r>
        <w:rPr>
          <w:rFonts w:ascii="arial" w:eastAsia="arial" w:hAnsi="arial" w:cs="arial"/>
          <w:b/>
          <w:i w:val="0"/>
          <w:strike w:val="0"/>
          <w:noProof w:val="0"/>
          <w:color w:val="000000"/>
          <w:position w:val="0"/>
          <w:sz w:val="20"/>
          <w:u w:val="none"/>
          <w:vertAlign w:val="baseline"/>
        </w:rPr>
        <w:t> [*381] </w:t>
      </w:r>
      <w:r>
        <w:rPr>
          <w:rFonts w:ascii="arial" w:eastAsia="arial" w:hAnsi="arial" w:cs="arial"/>
          <w:b w:val="0"/>
          <w:i w:val="0"/>
          <w:strike w:val="0"/>
          <w:noProof w:val="0"/>
          <w:color w:val="000000"/>
          <w:position w:val="0"/>
          <w:sz w:val="20"/>
          <w:u w:val="none"/>
          <w:vertAlign w:val="baseline"/>
        </w:rPr>
        <w:t xml:space="preserve"> hospitals and improve interoperability. We will take this feedback into consideration as we shape future proposals for hybrid measures. One of the main tenets of the 2015 Edition Health IT Certification Criteria final rule </w:t>
      </w:r>
      <w:hyperlink r:id="rId77" w:history="1">
        <w:r>
          <w:rPr>
            <w:rFonts w:ascii="arial" w:eastAsia="arial" w:hAnsi="arial" w:cs="arial"/>
            <w:b w:val="0"/>
            <w:i/>
            <w:strike w:val="0"/>
            <w:noProof w:val="0"/>
            <w:color w:val="0077CC"/>
            <w:position w:val="0"/>
            <w:sz w:val="20"/>
            <w:u w:val="single"/>
            <w:vertAlign w:val="baseline"/>
          </w:rPr>
          <w:t>(80 FR 62601)</w:t>
        </w:r>
      </w:hyperlink>
      <w:r>
        <w:rPr>
          <w:rFonts w:ascii="arial" w:eastAsia="arial" w:hAnsi="arial" w:cs="arial"/>
          <w:b w:val="0"/>
          <w:i w:val="0"/>
          <w:strike w:val="0"/>
          <w:noProof w:val="0"/>
          <w:color w:val="000000"/>
          <w:position w:val="0"/>
          <w:sz w:val="20"/>
          <w:u w:val="none"/>
          <w:vertAlign w:val="baseline"/>
        </w:rPr>
        <w:t xml:space="preserve"> is to facilitate greater interoperability for several clinical health information purposes and enable health information exchange through new and enhanced certification criteria, standards, and implementation specifications. We note that we have worked closely with ONC to enhance testing and validation of certified technology's ability to capture, exchange, and report electronic patient data, such as improved testing and certification through the Cypress CQM testing and certification tool. As another example, we note that ONC proposed a 2015 Edition "CQM--report" certification criterion in the FY 2016 IPPS/LTCH PPS proposed rule </w:t>
      </w:r>
      <w:hyperlink r:id="rId78" w:history="1">
        <w:r>
          <w:rPr>
            <w:rFonts w:ascii="arial" w:eastAsia="arial" w:hAnsi="arial" w:cs="arial"/>
            <w:b w:val="0"/>
            <w:i/>
            <w:strike w:val="0"/>
            <w:noProof w:val="0"/>
            <w:color w:val="0077CC"/>
            <w:position w:val="0"/>
            <w:sz w:val="20"/>
            <w:u w:val="single"/>
            <w:vertAlign w:val="baseline"/>
          </w:rPr>
          <w:t>(80 FR 24613</w:t>
        </w:r>
      </w:hyperlink>
      <w:r>
        <w:rPr>
          <w:rFonts w:ascii="arial" w:eastAsia="arial" w:hAnsi="arial" w:cs="arial"/>
          <w:b w:val="0"/>
          <w:i w:val="0"/>
          <w:strike w:val="0"/>
          <w:noProof w:val="0"/>
          <w:color w:val="000000"/>
          <w:position w:val="0"/>
          <w:sz w:val="20"/>
          <w:u w:val="none"/>
          <w:vertAlign w:val="baseline"/>
        </w:rPr>
        <w:t xml:space="preserve"> through 24614). After consideration of stakeholder input on the standards for representing and reporting CQM data in certified health IT to improve the reliability and consistency of such data reporting, we finalized that hospitals can report using either the 2014 or 2015 edition of CEHRT </w:t>
      </w:r>
      <w:hyperlink r:id="rId35" w:history="1">
        <w:r>
          <w:rPr>
            <w:rFonts w:ascii="arial" w:eastAsia="arial" w:hAnsi="arial" w:cs="arial"/>
            <w:b w:val="0"/>
            <w:i/>
            <w:strike w:val="0"/>
            <w:noProof w:val="0"/>
            <w:color w:val="0077CC"/>
            <w:position w:val="0"/>
            <w:sz w:val="20"/>
            <w:u w:val="single"/>
            <w:vertAlign w:val="baseline"/>
          </w:rPr>
          <w:t>(80 FR 49708).</w:t>
        </w:r>
      </w:hyperlink>
      <w:r>
        <w:rPr>
          <w:rFonts w:ascii="arial" w:eastAsia="arial" w:hAnsi="arial" w:cs="arial"/>
          <w:b w:val="0"/>
          <w:i w:val="0"/>
          <w:strike w:val="0"/>
          <w:noProof w:val="0"/>
          <w:color w:val="000000"/>
          <w:position w:val="0"/>
          <w:sz w:val="20"/>
          <w:u w:val="none"/>
          <w:vertAlign w:val="baseline"/>
        </w:rPr>
        <w:t xml:space="preserve"> Furthermore, the 2015 Edition certification criteria related to eCQMs offer increased data portability and user access using the established QRDA standards. Because of the support for testing and certification offered by ONC and their certification tools and programs, the widespread deployment of the QRDA standard and CMS' own recent experience that QRDA can provide superior clinical data for assessing quality and performance, we will finalize our selection of QRDA-I as the primary reporting standard for the EPM Model Rule for program years 1-3. If QRDA-I cannot be available to all participants for year 1, we will make a transitional submission format available to systems using a spreadsheet-based approach that will allow these sites additional time to meet the QRDA-based reporting requirements. We thank commenters for their continued support of improving the electronic reporting process and plan to continue to make improvements as standards evolve.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use the following reporting mechanisms in performance year 1: QRDA, a simpler mechanism such as a spreadsheet, or both. We proposed using QRDA in AMI model performance years 2 through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Hybrid AMI Mortality (NQF #2473) measure includes Medicare FFS beneficiaries, aged 65 years or older, discharged from non-federal acute care hospitals with a principal discharge diagnosis of AMI. Eligible hospitalizations are defined using the following ICD-10-CM codes: I2109, I2111, I2119, I2129, I214, and I213.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Hospital performance for the Hybrid AMI Mortality (NQF #2473) measure will not be publicly reported. However, AMI model participants will receive hospital-specific reports for each performance year with information about the success of their voluntary submission of EHR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an index admission is the hospitalization to which the mortality outcome is attributed. The Hybrid AMI mortality (NQF #2473) measure includes the following index admissions for patients:</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Having a principal discharge diagnosis of AMI.</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FFS.</w:t>
      </w:r>
    </w:p>
    <w:p>
      <w:pPr>
        <w:keepNext w:val="0"/>
        <w:numPr>
          <w:numId w:val="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Aged 65 or over.</w:t>
      </w:r>
    </w:p>
    <w:p>
      <w:pPr>
        <w:keepNext w:val="0"/>
        <w:numPr>
          <w:numId w:val="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transferred from another acute care facility.</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Part A and Part B for the 12 months prior to the date of index admission, and enrolled in Part A during the index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measure excludes the following index admissions for patients:</w:t>
      </w:r>
    </w:p>
    <w:p>
      <w:pPr>
        <w:keepNext w:val="0"/>
        <w:numPr>
          <w:numId w:val="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Discharged alive on the day of admission or the following day who were not transferred to another acute care facility.</w:t>
      </w:r>
    </w:p>
    <w:p>
      <w:pPr>
        <w:keepNext w:val="0"/>
        <w:numPr>
          <w:numId w:val="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inconsistent or unknown vital status or other unreliable demographic (age &amp; gender) data.</w:t>
      </w:r>
    </w:p>
    <w:p>
      <w:pPr>
        <w:keepNext w:val="0"/>
        <w:numPr>
          <w:numId w:val="3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the Medicare hospice program any time in the 12 months prior to the index admission, including the first day of the index admission.</w:t>
      </w:r>
    </w:p>
    <w:p>
      <w:pPr>
        <w:keepNext w:val="0"/>
        <w:numPr>
          <w:numId w:val="3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Discharged AMA.</w:t>
      </w:r>
    </w:p>
    <w:p>
      <w:pPr>
        <w:keepNext w:val="0"/>
        <w:numPr>
          <w:numId w:val="3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at least 30 days of post-discharge enrollment in FFS Medicare as the 30-day mortality outcome cannot be assessed for these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for the purpose of this measure, only one index admission per patient for AMI is randomly selected for inclusion in the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Risk-Adjustment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this measure is aligned with the methodology approach adopted for the MORT-30-AMI (NQF #0230) measure under the HIQR Program in accordance with section 1886(b)(3)(B)(viii)(VIII) of the Act, as finalized in FY 2008 IPPS/LTCH final rule (2008 IPPS/LTCH final rule </w:t>
      </w:r>
      <w:r>
        <w:rPr>
          <w:rFonts w:ascii="arial" w:eastAsia="arial" w:hAnsi="arial" w:cs="arial"/>
          <w:b w:val="0"/>
          <w:i/>
          <w:strike w:val="0"/>
          <w:noProof w:val="0"/>
          <w:color w:val="000000"/>
          <w:position w:val="0"/>
          <w:sz w:val="20"/>
          <w:u w:val="none"/>
          <w:vertAlign w:val="baseline"/>
        </w:rPr>
        <w:t>71 FR 67960).</w:t>
      </w:r>
      <w:r>
        <w:rPr>
          <w:rFonts w:ascii="arial" w:eastAsia="arial" w:hAnsi="arial" w:cs="arial"/>
          <w:b w:val="0"/>
          <w:i w:val="0"/>
          <w:strike w:val="0"/>
          <w:noProof w:val="0"/>
          <w:color w:val="000000"/>
          <w:position w:val="0"/>
          <w:sz w:val="20"/>
          <w:u w:val="none"/>
          <w:vertAlign w:val="baseline"/>
        </w:rPr>
        <w:t xml:space="preserve"> The Hybrid AMI Mortality (NQF #2473) measure uses EHR data and not administrative claims data to adjust for differences across hospitals in how at-risk their patients are for death, relative to patients cared for by other hospitals. The risk model was developed with input from the literature, clinical and EHR experts, and health IT vendors. In order to be included as risk variables, clinical data elements had to be--(1) consistently obtained in the target population (Medicare FFS AMI patients) based on current clinical practice; (2) captured with a standard definition and recorded in a standard format within the EHR; and (3) entered in structured fields that are feasibly retrieved from current EHR systems. The final measure includes five variables that meet these feasibility criteria, are present for most patients at the time of clinical presentation to the hospital, are clinically relevant to patients with AMI, and demonstrate a strong statistical association with 30-day mortality. Hospitals will submit the first-captured data values of each of the five core clinical data elements upon patient presentation to the hospital. They are: Age; the first-captured heart rate and systolic blood pressure measured within 2 hours of a patient presenting to the hospital; and the first captured troponin and creatinine values within 24 hours of a patient presenting to the hospital. Although EHRs likely will ultimately link across clinical episodes of care and contain historical patient data, given the EHR environment at the time of measure development and inability to reliably obtain data from the outpatient setting prior to admission, we only considered for inclusion those measure variables that would be available and consistently collected at first presentation to the hospital.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overall performance of the model was comparable with or better than that of current publicly reported outcome measures. n106 We tested measure score validity by correlating the RSMR with that of the previously validated, publicly reported, administrative claims-based MORT-30-AMI (NQF #0230) measure. For more detailed information on the model performance, we refer readers to the CMS Web site at: </w:t>
      </w:r>
      <w:hyperlink r:id="rId70" w:history="1">
        <w:r>
          <w:rPr>
            <w:rFonts w:ascii="arial" w:eastAsia="arial" w:hAnsi="arial" w:cs="arial"/>
            <w:b w:val="0"/>
            <w:i/>
            <w:strike w:val="0"/>
            <w:noProof w:val="0"/>
            <w:color w:val="0077CC"/>
            <w:position w:val="0"/>
            <w:sz w:val="20"/>
            <w:u w:val="single"/>
            <w:vertAlign w:val="baseline"/>
          </w:rPr>
          <w:t>http://cms.gov/Medicare/Quality-Initiatives-Patient-Assessment-Instruments/HospitalQualityInits/Measure-Methodology.html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 AMI Mortality Hybrid Measure methodology report. </w:t>
      </w:r>
      <w:hyperlink r:id="rId70" w:history="1">
        <w:r>
          <w:rPr>
            <w:rFonts w:ascii="arial" w:eastAsia="arial" w:hAnsi="arial" w:cs="arial"/>
            <w:b w:val="0"/>
            <w:i/>
            <w:strike w:val="0"/>
            <w:noProof w:val="0"/>
            <w:color w:val="0077CC"/>
            <w:position w:val="0"/>
            <w:sz w:val="20"/>
            <w:u w:val="single"/>
            <w:vertAlign w:val="baseline"/>
          </w:rPr>
          <w:t>http://cms.gov/Medicare/Quality-Initiatives-Patient-Assessment-Instruments/HospitalQualityInits/Measure-Methodology.html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[*382]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Calculating the Risk-Standardized Mortality Ratio (RSMR) and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calculate hospital 30-day, all-cause, risk-standardized mortality rates consistent with the methodology used to risk standardize all readmission and mortality measures used in CMS hospital quality programs. Using an HLM statistical methodology for risk adjustment, we calculate the hospital-level risk-standardized mortality rate following AMI hospitalizations by producing a ratio of the number of "predicted" deaths (that is, the adjusted number of deaths at a specific hospital) to the number of "expected" deaths (that is, the number of deaths if an average quality hospital treated the same patients) for each hospital and then multiplying the ratio by the national observed mortality rate.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defining AMI model performance years as outlined in section III.E.5.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A performance period for the voluntary data submission are those timeframes in which a hospital discharge occurs for an eligible AMI index hospitalization. For performance year 1 of the AMI model, participants voluntarily submitting data will only be requested to submit data for a 2-month period. The 2-month period for AMI voluntary data reporting was identified due to data processing and coordination with other proposed timelines for this model. Data submitted for the first year would be for cases that fulfill the measure specifications described in section III.E.4.a.(3) of this final rule, and would be restricted to the data elements from eligible AMI index hospitalizations with discharges occurring between July 1, 2017 and August 31,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performance year 2 of the AMI model, AMI voluntary data reporting would be 10 months of data for discharges from eligible AMI hospitalizations occurring between September 1, 2017 and June 30, 2018. For subsequent years of the model, the performance periods for submission of voluntary data will consist of discharges within calendar-year 12-month time periods from July 1 through June 30. The proposed performance periods would enable AMI model participants to receive points toward the AMI model composite quality score for data submission starting in performance year 1. We sought comment on our proposal for defining the data reporting period for performance year 1 episodes for an AMI model participant as eligible AMI index hospitalizations with discharges occurring between July 1, 2017 and August 31, 2017, and for performance year 2 as eligible AMI hospitalizations with discharges occurring between September 1, 2017 and June 30, 2018, with subsequent performance year data reporting periods each being calendar-year 12 month periods and starting every July 1st. Refer to Table 41 for summary of performance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were supportive of including a voluntary hybrid AMI mortality measure in the AMI episode payment model, but were concerned about the timeline to report clinical data. Commenters remarked that hospitals need to redesign their EHRs to collect and validate this data, and recommended delaying the implementation of this measure until 2018. One commenter recommended that CMS delay the start date of the hybrid AMI mortality measure to PY 2 because the proposed rule indicates that data collection will start on July 1, 2017, likely 6 months after release of the final rule, which is not enough time for vendors to consume the final rule and specifications, as well as develop, package, and release the required updates to clients.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are aware of the burden to hospitals associated with extraction, validation, and submission of EHR data. However, data submission for EHR data elements used in the Hybrid AMI Mortality Measure is voluntary, with an incentive for hospitals that chose to submit clinical data. Hospitals that are unable to consume the specifications, develop, package, and submit the EHR data elements will not be penalized under this payment program. Hospitals that do not submit data in program year one, will have the opportunity to submit data and receive the incentive in program years two through five.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noted that, according to CMS's Conditions of Participation (CoPs), hospitals have thirty days following discharge to complete the medical records with final diagnosis. Since CMS is proposing a submission period for the AMI EHR data 60 days following the end of the measurement period, this would only allow thirty days following final diagnosis to compile, validate, and submit data. The commenter recommended that CMS allow a 120 day submission period after the end of the measurement period.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will use a 30-day claims maturity period to identify the index admissions for the voluntary reporting of EHR data for the AMI EPM in program year 1. This will allow hospitals 30 days to extract data on the appropriate patients and submit the data to CMS. In program years 2 through 5 CMS will use the customary 90-day claims maturity period to identify the index admissions for the voluntary reporting of EHR data for the AMI EPM. This is the same 90-day claims maturity period currently used in the claims-based AMI 30-day mortality measure. Hospitals will have 60 days to complete EHR data extraction and submission to CMS.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define the data reporting period for performance year 1 episodes for an AMI model participant as eligible AMI index hospitalizations with discharges occurring between July 1, 2017 and August 31, 2017, and for performance year 2 as eligible AMI hospitalizations with discharges occurring between September 1, 2017 and June 30, 2018, with subsequent performance year data reporting periods each being calendar-year 12 month periods and starting every July 1st.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Requirements for Successful Submission of AMI Voluntary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for CMS to assess if AMI model participants that submit the AMI voluntary data are eligible for points toward the hospital's AMI model composite quality score, we proposed to use the following criteria to determine if a participant has successfully submitted AMI voluntary data: Submission of the first-captured data values for the five core clinical data elements (age; first-captured heart rate and systolic blood pressure measured within 2 hours of a patient presenting to the hospital; and first-captured troponin and creatinine values measured within 24 hours of a patient presenting to the hospitals), and six linking variables required to merge with the CMS claims data CCN, HIC Number, date of birth, sex, admission date, and discharge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of these data elements must be submitted for each qualifying AMI hospitalization as described in section III.E.5.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If troponin was not measured in the patient within 24 hours of presentation to the hospital, the hospital will still receive credit for successful data submission if all other clinical data elements (age, heart rate, systolic blood pressure, and creatinine) as well as the six linking variables are all reported in the submission. We recognize that some patients may have clinical signs or symptoms that require emergent treatment; and that in such cases treatment might proceed without first obtaining a troponin level. However </w:t>
      </w:r>
      <w:r>
        <w:rPr>
          <w:rFonts w:ascii="arial" w:eastAsia="arial" w:hAnsi="arial" w:cs="arial"/>
          <w:b/>
          <w:i w:val="0"/>
          <w:strike w:val="0"/>
          <w:noProof w:val="0"/>
          <w:color w:val="000000"/>
          <w:position w:val="0"/>
          <w:sz w:val="20"/>
          <w:u w:val="none"/>
          <w:vertAlign w:val="baseline"/>
        </w:rPr>
        <w:t> [*383] </w:t>
      </w:r>
      <w:r>
        <w:rPr>
          <w:rFonts w:ascii="arial" w:eastAsia="arial" w:hAnsi="arial" w:cs="arial"/>
          <w:b w:val="0"/>
          <w:i w:val="0"/>
          <w:strike w:val="0"/>
          <w:noProof w:val="0"/>
          <w:color w:val="000000"/>
          <w:position w:val="0"/>
          <w:sz w:val="20"/>
          <w:u w:val="none"/>
          <w:vertAlign w:val="baseline"/>
        </w:rPr>
        <w:t xml:space="preserve"> hospitals are required to report troponin values on all patients in whom a troponin test was performed within the first 24 hours of presenting to the hospital and to indicate in their data submission each instance in which a troponin value was not measured and therefore not available for a patient.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AMI voluntary data submission must occur within 60 days of the end of the most recent data collection period as described in the listing of reporting periods for all 5 model performance years in section III.E.5.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fulfill AMI voluntary data collection criteria for model performance year 1, hospitals must submit valid data on 50 percent of qualifying AMI hospitalizations (identified by the denominator in the measure authorizing tool (MAT) output). To successfully submit AMI voluntary data for performance years 2 through 5, hospitals must submit valid data for all five core clinical data elements on over 90 percent of qualifying AMI patients (with the exception for troponin values described in this section). Further details on scoring of the voluntary data submission are discussed in section III.E.3.e.(1)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year, AMI model participants voluntarily submitting data for this measure will receive hospital-specific reports that detail submission results from the most recent performance period. The reports will include the match rate between the hospital's submitted EHR data and corresponding claims data, as well as the proportion of patient data submitted relative to all qualifying AMI admissions with all five core clinical data elements. As the initiative sought to test and reward hospitals' ability to submit data, hospitals will not be penalized for missing troponin values for patients in whom these values were not measured at the time clinical treatment was provided. If hospitals successfully submit the remaining four clinical data elements and all of the linking variables, a missing troponin value which is due to troponin having not been measured in that patient will not result in an unsuccessful submission as long as hospitals indicate that the troponin value was not measured and therefore not available for that patient. Hospitals will still be rewarded for successfully submitting data in these cases.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previously described a qualifying AMI patient in section III.E.4.a.(3)(iii)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This description is important, as these patients are those for whom we seek submission of voluntary data from AMI model participants. We selected the requirement of submitting 90 percent of qualifying AMI patients' data for performance years 2 through 5 because this volume of cases will result in a high probability that we will have a national sample of AMI patient data representative of each hospital's patient case mix. Having 90 percent of the data for qualifying AMI patients in performance years 2 through 5 will enable an accurate and reliable assessment of the potential implementation of a Hybrid AMI mortality (NQF# 2473) measure that utilizes EHR data. In addition, the testing we have performed in hospitals' EHR data indicate that these data elements are captured in over 90 percent of Medicare FFS patients who are 65 years or older and admitted to acute care hospitals for treatment of AMI.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public comment on the proposed requirements to determine successful voluntary submission of AMI data, including the proposal to give hospitals credit for data submission if they submit all troponin values that were actually measured, each of the other four data elements, and all of the linking variables; to not penalize hospitals for failure to submit a troponin value if it was not measured during the admission; and the proposal on the specific minimum percentage requirements for data on the qualifying AMI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agreed with the potential value of hybrid measures, but expressed concern about the ability of hospitals to submit accurate and reliable data. Several commenters urged CMS not to finalize any data submission requirements beyond the first reporting period until hospitals and the agency have gained experience with measure submission. Two commenters specifically recommended the percent of data submitted be gradually increased over time, instead of 50 percent in performance year 1, to 90 percent in performance year 2. One commenter expressed concern that hospitals that did not participate in the Meaningful Use Program that utilized QRDA technology would be disadvantaged by being required to submit clinical data in this format. One commenter noted that while CMS continues to conduct testing of the electronic specifications in a few hospitals, the QRDA format has not demonstrated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 and should therefore not be included in the AMI episode payment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are sensitive to the potential burden on hospitals of mapping, extracting, and reporting data elements from their EHRs. However, we have tested the accuracy of mapping, extracting, and reporting compiled data from the EHRs of four separate health systems, although we have not tested data reporting in QRDA format. These tests showed that, once instructed on the Measure Authoring Tool output, hospitals are able to submit accurate EHR data on nearly all of their admitted patients. We validated the electronically extracted data by comparing values identified through manual chart review. This suggests that hospitals will be able to extract and submit data on the subset of their patients admitted with AMI. We intend to require the QRDA format beginning in program year two in order to maintain alignment with requirements for electronic clinical quality measures. We will continue to coordinate with ONC to maintain alignment with standards and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supported the proposal to include a voluntary hybrid AMI mortality measure in the AMI episode payment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commenters for their support.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supported the inclusion of clinical data into the risk adjustment model for the Hybrid AMI mortality measure. They suggested hospitals submit additional standard laboratory data, including white blood cell count and albumin levels, to support this measure and the development of other quality measures.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their support. We sought to develop a model that included key variables that are clinically relevant, demonstrate a strong statistical association with 30-day mortality, and are feasible for use in a hybrid measure. We developed the following criteria to assess feasibility of candidate variables: 1. Data that are consistently obtained in the target population based on current clinical practice; 2. Data that are captured with a standard definition and recorded in a standard format; 3. Data that are entered in structured fields that are feasibly retrieved from current EHR systems. During measure development the members of the expert working group reviewed the entire list of variables in the National Cardiovascular Data Registry ACTION Registry--Get With The Guidelines database and selected variables that met these criteria. We then tested all candidate variables in multivariate regression models with 30-day mortality as the outcome. CMS did </w:t>
      </w:r>
      <w:r>
        <w:rPr>
          <w:rFonts w:ascii="arial" w:eastAsia="arial" w:hAnsi="arial" w:cs="arial"/>
          <w:b/>
          <w:i w:val="0"/>
          <w:strike w:val="0"/>
          <w:noProof w:val="0"/>
          <w:color w:val="000000"/>
          <w:position w:val="0"/>
          <w:sz w:val="20"/>
          <w:u w:val="none"/>
          <w:vertAlign w:val="baseline"/>
        </w:rPr>
        <w:t> [*384] </w:t>
      </w:r>
      <w:r>
        <w:rPr>
          <w:rFonts w:ascii="arial" w:eastAsia="arial" w:hAnsi="arial" w:cs="arial"/>
          <w:b w:val="0"/>
          <w:i w:val="0"/>
          <w:strike w:val="0"/>
          <w:noProof w:val="0"/>
          <w:color w:val="000000"/>
          <w:position w:val="0"/>
          <w:sz w:val="20"/>
          <w:u w:val="none"/>
          <w:vertAlign w:val="baseline"/>
        </w:rPr>
        <w:t xml:space="preserve"> evaluate white blood cell count as one of the candidate variables. However it was not consistently predictive of mortality in the risk model and therefore was not included in the final measure. Albumin was not considered. We have developed two other hybrid outcome measures which use additional clinical data including the Hybrid Hospital-Wide Readmission Measure with Claims and Electronic Health Record Data (NQF #2879), and the Hybrid Hospital 30-day, All-cause, Risk-standardized Mortality Rate (RSMR) Following Acute Ischemic Stroke with Risk Adjustment for Stroke Severity (NQF #2877). For descriptions of these measures we refer readers to the FY 2016 IPPS/LTCH final rule 80 49698, and the FY 2017 IPPS/LTCH final rule 81 57161, respectively.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referred to the hybrid AMI mortality measure as a "hybrid eCQM".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wanted to clarify the hybrid AMI mortality measure is a claims-based measure, and not an electronic clinically quality measure (eCQM). The cohort and outcome for the hybrid AMI mortality measure is derived from claims and not the EHR.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that CMS release the final specifications for the hybrid AMI mortality measure as soon as possible following the release of the final EPM rule. The commenter further recommended that CMS align the specifications of the hybrid AMI mortality measure as closely as possible with other electronically submitted CQMs available through the IQR program.</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measure specifications have been published along with this final rule. We refer readers to "Core Clinical Data Elements and Hybrid Measures" folder on our Web site at: </w:t>
      </w:r>
      <w:hyperlink r:id="rId42" w:history="1">
        <w:r>
          <w:rPr>
            <w:rFonts w:ascii="arial" w:eastAsia="arial" w:hAnsi="arial" w:cs="arial"/>
            <w:b w:val="0"/>
            <w:i/>
            <w:strike w:val="0"/>
            <w:noProof w:val="0"/>
            <w:color w:val="0077CC"/>
            <w:position w:val="0"/>
            <w:sz w:val="20"/>
            <w:u w:val="single"/>
            <w:vertAlign w:val="baseline"/>
          </w:rPr>
          <w:t>https://www.cms.gov/Medicare/Quality-Initiatives-Patient-Assessment-Instruments/HospitalQualityInits/Measure-Methodology.html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closely aligned our development process for the hybrid AMI mortality measure electronic specifications with the electronic clinical quality measures (eCQM) development process, according to the MMS Blueprint. This process included a stakeholder public comment on the measure specifications, input from experts in the field, Bonnie testing, Mitre review, and VSAC review of the value sets. Additionally, we tested the electronic specifications in several different health systems, which utilized different EHRs. We aligned the electronic specifications with eCQMs in use by IQR and MU programs. Where appropriate, we harmonized the use of the value sets and logic that are currently used in these program measures to ease the implementation of the CCDE. We plan to continue these harmonization efforts with each annual update cycle.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clarification how the hybrid AMI mortality measure would be validated using EHR and claims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hybrid AMI mortality measures has been fully tested and validated in merged Medicare claims and registry data from the National Cardiovascular Data Registry (NCDR) ACTION Registry-Get With The Guidelines. The measure was endorsed by the NQF in 2014. However, we plan to perform additional testing as a part of measure reevaluation. We have not yet determined when this testing will take place.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believed that CMS did not account for a small but important population of patients that arrive at a participating hospital in an unstable, critical condition by not excluding cardiogenic shock. The commenter noted that this population is at a higher risk of mortality, and thus should have separate quality measures that take into account the severity and complexity of their medical conditions.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order to account for differences in patient mix among hospitals, the measures adjust for variables (for example, age, comorbid diseases, and indicators of patient frailty) that are clinically relevant and have relationships with the outcome. In the case of the AMI measure, we risk adjust for cardio-respiratory failure or shock. However, the measure's risk model does not include a risk variable for sepsis. A diagnosis of sepsis that occurred during the index AMI admission would not be used as a risk variable because we cannot know whether sepsis was present at the time a patient first presented for care or was a consequence of poor care received during the hospitalization. During measure development we did consider including sepsis as a risk variable only if it occurred in the 12 months prior to the index admission. This variable was not consistently found to predict mortality in the measure cohort and, therefore, was not included in the final risk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was supportive of using clinical data and claims data to create a hybrid measure, but noted combining these data is a laudable endeavor. They noted that determining the measure population using administrative data would increase the reporting burden on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that the need to identify patients with a principal discharge diagnosis of AMI will be required to successfully map, extract, and report data for the hybrid AMI mortality measure. However, we believe that the added benefit of including clinical data in the measure's risk model outweighs the additional burden of EHR data extraction and reporting. Many commenters in this and previous public comment periods have expressed support for this approach. Additionally, we note that reporting of the EHR data elements is voluntary and that hospitals will not be penalized if they cannot or choose not to submit these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CMS explore the use of sociodemographic factors in improving the risk adjustment for the hybrid AMI mortality measure.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concerns that socioeconomic factors influence patient's risk of post-discharge returns to the hospital for acute care. The hybrid AMI mortality measure currently does not include socioeconomic factors in the risk-adjustment model. We routinely monitor the impact of SDS on providers' differential performance on our outcome and payment measure.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NQF is currently conducting a 2-year trial, in which new measures and measures undergoing maintenance review will be assessed to determine if risk-adjusting for sociodemographic factors is appropriate. This trial entails temporarily allowing inclusion of sociodemographic factors in the risk-adjustment approach for some performance measures. At the conclusion of the trial, NQF is expected to issue recommendations on future permanent inclusion of sociodemographic factors. During the trial, measure developers are encouraged to submit information such as analyses and interpretations as well as performance scores with and without sociodemographic factors in the risk adjustment model. Several measures developed by CMS have been brought to NQF since the beginning of the trial, including the AMI EDAC measure which was submitted to NQF in January 2016. Under the guidance of NQF, we are making every effort to be proactive in examining SDS factors in quality measures by testing SDS factors in the measures' risk models and making recommendations about whether or not to include these factors in the endorsed measure. We are still awaiting final recommendations from the NQF and intend to continue engaging in the NQF process as we consider the </w:t>
      </w:r>
      <w:r>
        <w:rPr>
          <w:rFonts w:ascii="arial" w:eastAsia="arial" w:hAnsi="arial" w:cs="arial"/>
          <w:b/>
          <w:i w:val="0"/>
          <w:strike w:val="0"/>
          <w:noProof w:val="0"/>
          <w:color w:val="000000"/>
          <w:position w:val="0"/>
          <w:sz w:val="20"/>
          <w:u w:val="none"/>
          <w:vertAlign w:val="baseline"/>
        </w:rPr>
        <w:t> [*385] </w:t>
      </w:r>
      <w:r>
        <w:rPr>
          <w:rFonts w:ascii="arial" w:eastAsia="arial" w:hAnsi="arial" w:cs="arial"/>
          <w:b w:val="0"/>
          <w:i w:val="0"/>
          <w:strike w:val="0"/>
          <w:noProof w:val="0"/>
          <w:color w:val="000000"/>
          <w:position w:val="0"/>
          <w:sz w:val="20"/>
          <w:u w:val="none"/>
          <w:vertAlign w:val="baseline"/>
        </w:rPr>
        <w:t xml:space="preserve"> appropriateness of adjusting for SDS factors in our outcome measures. For more detailed information about measures in the NQF SDS trial period, we refer commenters to: </w:t>
      </w:r>
      <w:hyperlink r:id="rId79" w:history="1">
        <w:r>
          <w:rPr>
            <w:rFonts w:ascii="arial" w:eastAsia="arial" w:hAnsi="arial" w:cs="arial"/>
            <w:b w:val="0"/>
            <w:i/>
            <w:strike w:val="0"/>
            <w:noProof w:val="0"/>
            <w:color w:val="0077CC"/>
            <w:position w:val="0"/>
            <w:sz w:val="20"/>
            <w:u w:val="single"/>
            <w:vertAlign w:val="baseline"/>
          </w:rPr>
          <w:t>http://www.qualityforum.org/SES_Trial_</w:t>
        </w:r>
      </w:hyperlink>
      <w:r>
        <w:rPr>
          <w:rFonts w:ascii="arial" w:eastAsia="arial" w:hAnsi="arial" w:cs="arial"/>
          <w:b w:val="0"/>
          <w:i/>
          <w:strike w:val="0"/>
          <w:noProof w:val="0"/>
          <w:color w:val="000000"/>
          <w:position w:val="0"/>
          <w:sz w:val="20"/>
          <w:u w:val="none"/>
          <w:vertAlign w:val="baseline"/>
        </w:rPr>
        <w:t xml:space="preserve"> Period.aspx</w:t>
      </w:r>
      <w:r>
        <w:rPr>
          <w:rFonts w:ascii="arial" w:eastAsia="arial" w:hAnsi="arial" w:cs="arial"/>
          <w:b w:val="0"/>
          <w:i w:val="0"/>
          <w:strike w:val="0"/>
          <w:noProof w:val="0"/>
          <w:color w:val="000000"/>
          <w:position w:val="0"/>
          <w:sz w:val="20"/>
          <w:u w:val="none"/>
          <w:vertAlign w:val="baseline"/>
        </w:rPr>
        <w:t>. Furthermore, we are awaiting the findings of an ASPE report on SDS factors in risk-adjustment. Therefore, we are not currently changing our risk-adjustment methodology with respect to SDS factors. We will continue to consider such factors in our ongoing measure development and maintenance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CMS clarify when they would replace the current publically reported AMI mortality measure (NQF #0230) with the hybrid AMI mortality measure (NQF #2473).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not yet determined and timeline for replacing the claims-only AMI mortality measure (NQF #0230) with the hybrid AMI mortality measure (NQF #2473). However, we will make any changes to the measures used in payment programs through the notice of proposed rulemaking. We point out that the hybrid AMI mortality measure, similar to other CMS condition-specific outcome measures, requires a 3-year measurement period in order for a sufficient number of hospitals to meet the threshold of having discharged at least 25 patients with a principal diagnosis of AMI to be included in the measure cohort. Therefore, reporting measure results would require a minimum of 3 years of EHR data collection.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give hospitals credit for data submission if they submit all troponin values that were actually measured, each of the other four data elements, and all of the linking variables; to not penalize hospitals for failure to submit a troponin value if it was not measured during the admission; and the proposal on the specific minimum percentage requirements for data on the qualifying AMI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CABG Model-Specific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Hospital 30-Day, All-Cause, Risk-Standardized Mortality Rate (RSMR) Following Coronary Artery Bypass Graft (CABG) Surgery (NQF# 2558)(MORT-30-CABG)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CABG is a common procedure associated with considerable morbidity, mortality, and health care spending. In 2010, the National Hospital Discharge Survey (NHDS) estimated that 219,000 patients underwent a total of 397,000 CABG procedures. Among Medicare FFS beneficiaries, there were 139,133 hospitalizations for isolated CABG surgery between July 2012 and June 2015. CABG surgeries are costly procedures that account for the majority of major cardiac surgeries performed nationally. In FY 2009, isolated CABG surgeries accounted for almost half (47.6 percent) of all cardiac surgery hospital admissions in Massachusetts. This provides an example of the frequency in which a CABG is performed for a patient admitted for cardiac surgery. In 2008, the average Medicare IPPS payment was $ 30,546 for CABG without valve replacement and $ 47,669 for CABG with valve replacement surgeries.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Hospital-level 30-Day Risk-Standardized Mortality Rate (RSMR) following Coronary Artery Bypass Graft (CABG) Surgery (MORT-30-CABG) (NQF# 2558) measure developed by CMS and currently implemented in the HIQR program, assesses hospitals' 30-day, all-cause risk-standardized rate of mortality, which is rate of death after admission for a CABG procedure for patients 65 and older during a 30-day period that begins with the date of the index admission for the specific hospital; an index admission is the hospitalization to which the mortality outcome is attributed. The data indicate that the median hospital-level risk-standardized mortality rate for 2016 public reporting on Hospital Compare was 3.2 percent, with a range of 1.4 percent to 8.3 percent among hospitals. The variation in these rates suggests that important differences in the quality of care delivered across hospitals exist, and that there is room for improvement.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details about the measure can be found in the 2016 Annual Updates and Specifications Report for CABG Mortality posted on the CMS Web site at: </w:t>
      </w:r>
      <w:hyperlink r:id="rId42" w:history="1">
        <w:r>
          <w:rPr>
            <w:rFonts w:ascii="arial" w:eastAsia="arial" w:hAnsi="arial" w:cs="arial"/>
            <w:b w:val="0"/>
            <w:i/>
            <w:strike w:val="0"/>
            <w:noProof w:val="0"/>
            <w:color w:val="0077CC"/>
            <w:position w:val="0"/>
            <w:sz w:val="20"/>
            <w:u w:val="single"/>
            <w:vertAlign w:val="baseline"/>
          </w:rPr>
          <w:t>https://www.cms.gov/Medicare/Quality-Initiatives-Patient-Assessment-Instruments/HospitalQualityInits/Measure-Methodology.html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MORT-30-CABG (NQF# 2558) measure was endorsed by the NQF in November 2014. This measure has been publicly reported on Hospital Compare since FY 2015 and was incorporated into the HIQR Program for FY 2017 (FY 2015 IPPS/LTCH final rule </w:t>
      </w:r>
      <w:hyperlink r:id="rId67" w:history="1">
        <w:r>
          <w:rPr>
            <w:rFonts w:ascii="arial" w:eastAsia="arial" w:hAnsi="arial" w:cs="arial"/>
            <w:b w:val="0"/>
            <w:i/>
            <w:strike w:val="0"/>
            <w:noProof w:val="0"/>
            <w:color w:val="0077CC"/>
            <w:position w:val="0"/>
            <w:sz w:val="20"/>
            <w:u w:val="single"/>
            <w:vertAlign w:val="baseline"/>
          </w:rPr>
          <w:t>79 FR 50227).</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Source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Measure results for CABG model participants are calculated using Medicare Part A and Part B FFS claims submitted by all non-federal short-term acute care hospitals for the MORT-30-CABG (NQF# 2558) measure. Index admission diagnoses and in-hospital comorbidities are assessed using Medicare Part A claims. Additional comorbidities prior to the index admission are assessed as Part A inpatient, outpatient, and Part B office visit Medicare claims in the 12 months prior to the index (initial) admission. Enrollment and post-discharge mortality status are obtained from Medicare's enrollment database which contains beneficiary demographic, benefits/coverage, and vital status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MORT-30-CABG (NQF# 2558) measure includes Medicare FFS beneficiaries, aged 65 years and older, discharged from a non-federal short-term acute care hospitals, Indian Health Services hospitals, and critical access hospitals, who received a qualifying CABG procedure, and with a complete claims history for the 12 months prior to admission and through 30 days post-procedure.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the measure will include index admissions to all non-federal acute care hospitals, which includes all hospitals in the CABG model. Hospital performance will only be publically reported for hospitals with 25 or more index admissions in the 3-year measurement period. The CABG model cohort would differ from the hospital cohort that is currently captured in the measure through the HIQR Program. Although performance on the measure will not be publicly reported for hospitals with fewer than 25 cases, such hospitals will receive information about their performance. We refer readers to section III.B.5. of this final rule for a discussion of CABG model participant selection. For eligible hospitalizations defined using ICD-9-CM codes, we refer readers to the CMS Web site at: </w:t>
      </w:r>
      <w:hyperlink r:id="rId70" w:history="1">
        <w:r>
          <w:rPr>
            <w:rFonts w:ascii="arial" w:eastAsia="arial" w:hAnsi="arial" w:cs="arial"/>
            <w:b w:val="0"/>
            <w:i/>
            <w:strike w:val="0"/>
            <w:noProof w:val="0"/>
            <w:color w:val="0077CC"/>
            <w:position w:val="0"/>
            <w:sz w:val="20"/>
            <w:u w:val="single"/>
            <w:vertAlign w:val="baseline"/>
          </w:rPr>
          <w:t>http://cms.gov/Medicare/Quality-Initiatives-Patient-Assessment-Instruments/HospitalQualityInits/Measure-Methodology.html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include a clinically coherent set of patients in the measure, we sought input from clinical experts regarding the inclusion of other concomitant cardiac and non-cardiac procedures, such as valve replacement and carotid endarterectomy. Adverse clinical outcomes following such procedures are higher than those following "isolated" CABG procedures, that is, CABG procedures performed without concomitant high-risk cardiac and non-cardiac procedures. Limiting the measure cohort to "isolated" CABG patients is consistent with published reports of CABG outcomes; therefore, </w:t>
      </w:r>
      <w:r>
        <w:rPr>
          <w:rFonts w:ascii="arial" w:eastAsia="arial" w:hAnsi="arial" w:cs="arial"/>
          <w:b/>
          <w:i w:val="0"/>
          <w:strike w:val="0"/>
          <w:noProof w:val="0"/>
          <w:color w:val="000000"/>
          <w:position w:val="0"/>
          <w:sz w:val="20"/>
          <w:u w:val="none"/>
          <w:vertAlign w:val="baseline"/>
        </w:rPr>
        <w:t> [*386] </w:t>
      </w:r>
      <w:r>
        <w:rPr>
          <w:rFonts w:ascii="arial" w:eastAsia="arial" w:hAnsi="arial" w:cs="arial"/>
          <w:b w:val="0"/>
          <w:i w:val="0"/>
          <w:strike w:val="0"/>
          <w:noProof w:val="0"/>
          <w:color w:val="000000"/>
          <w:position w:val="0"/>
          <w:sz w:val="20"/>
          <w:u w:val="none"/>
          <w:vertAlign w:val="baseline"/>
        </w:rPr>
        <w:t xml:space="preserve"> the measure cohort considers only patients undergoing isolated CABG as eligible for inclusion in the measure. We defined isolated CABG patients as those undergoing CABG procedures without concomitant valve or other major cardiac, vascular or thoracic procedures. In addition, our clinical experts, consultants, and Technical Expert Panel (TEP) members agreed that an isolated CABG cohort is a clinically coherent cohort for quality measurement. For detailed information on the cohort definition, we refer readers to the 2016 Annual Updates and Specifications Report for CABG Mortality on the CMS Web site at: </w:t>
      </w:r>
      <w:hyperlink r:id="rId42" w:history="1">
        <w:r>
          <w:rPr>
            <w:rFonts w:ascii="arial" w:eastAsia="arial" w:hAnsi="arial" w:cs="arial"/>
            <w:b w:val="0"/>
            <w:i/>
            <w:strike w:val="0"/>
            <w:noProof w:val="0"/>
            <w:color w:val="0077CC"/>
            <w:position w:val="0"/>
            <w:sz w:val="20"/>
            <w:u w:val="single"/>
            <w:vertAlign w:val="baseline"/>
          </w:rPr>
          <w:t>https://www.cms.gov/Medicare/Quality-Initiatives-Patient-Assessment-Instruments/HospitalQualityInits/Measure-Methodology.html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an index admission is the hospitalization to which the mortality outcome is attributed. The measure includes the following index admissions for patients:</w:t>
      </w:r>
    </w:p>
    <w:p>
      <w:pPr>
        <w:keepNext w:val="0"/>
        <w:numPr>
          <w:numId w:val="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Having a qualifying isolated CABG surgery during the index admission;</w:t>
      </w:r>
    </w:p>
    <w:p>
      <w:pPr>
        <w:keepNext w:val="0"/>
        <w:numPr>
          <w:numId w:val="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FFS Part A and Part B for the 12 months prior to the date of the index admission, and enrolled in Part A during the index admission; and,</w:t>
      </w:r>
    </w:p>
    <w:p>
      <w:pPr>
        <w:keepNext w:val="0"/>
        <w:numPr>
          <w:numId w:val="3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Aged 65 or over.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Isolated CABG surgeries are defined as those CABG procedures performed without the following concomitant valve or other major cardiac, vascular, or thoracic procedures:</w:t>
      </w:r>
    </w:p>
    <w:p>
      <w:pPr>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Valve procedures.</w:t>
      </w:r>
    </w:p>
    <w:p>
      <w:pPr>
        <w:keepNext w:val="0"/>
        <w:numPr>
          <w:numId w:val="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Atrial and/or ventricular septal defects.</w:t>
      </w:r>
    </w:p>
    <w:p>
      <w:pPr>
        <w:keepNext w:val="0"/>
        <w:numPr>
          <w:numId w:val="3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Congenital anomalies.</w:t>
      </w:r>
    </w:p>
    <w:p>
      <w:pPr>
        <w:keepNext w:val="0"/>
        <w:numPr>
          <w:numId w:val="3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open cardiac procedures.</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Heart transplants.</w:t>
      </w:r>
    </w:p>
    <w:p>
      <w:pPr>
        <w:keepNext w:val="0"/>
        <w:numPr>
          <w:numId w:val="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Aorta or other non-cardiac arterial bypass procedures.</w:t>
      </w:r>
    </w:p>
    <w:p>
      <w:pPr>
        <w:keepNext w:val="0"/>
        <w:numPr>
          <w:numId w:val="3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Head, neck, intracranial vascular procedures.</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chest and thoracic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measure excludes the following index admissions for patients:</w:t>
      </w:r>
    </w:p>
    <w:p>
      <w:pPr>
        <w:keepNext w:val="0"/>
        <w:numPr>
          <w:numId w:val="3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inconsistent or unknown vital status or other unreliable demographic (age and gender) data.</w:t>
      </w:r>
    </w:p>
    <w:p>
      <w:pPr>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Discharged AMA.</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patients with more than one qualifying CABG surgery admission in the measurement period, the first CABG admission is selected for inclusion in the measure and the subsequent CABG admission(s) are excluded from the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Risk-Adjustment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this measure is aligned with the risk-adjustment methodologies adopted for the other mortality measures developed by CMS and implemented under the HIQR Program in accordance with section 1886(b)(3)(B)(viii)(VIII) of the Act, as finalized in FY 2008 IPPS/LTCH final rule (2008 IPPS/LTCH final rule </w:t>
      </w:r>
      <w:r>
        <w:rPr>
          <w:rFonts w:ascii="arial" w:eastAsia="arial" w:hAnsi="arial" w:cs="arial"/>
          <w:b w:val="0"/>
          <w:i/>
          <w:strike w:val="0"/>
          <w:noProof w:val="0"/>
          <w:color w:val="000000"/>
          <w:position w:val="0"/>
          <w:sz w:val="20"/>
          <w:u w:val="none"/>
          <w:vertAlign w:val="baseline"/>
        </w:rPr>
        <w:t>71 FR 67960).</w:t>
      </w:r>
      <w:r>
        <w:rPr>
          <w:rFonts w:ascii="arial" w:eastAsia="arial" w:hAnsi="arial" w:cs="arial"/>
          <w:b w:val="0"/>
          <w:i w:val="0"/>
          <w:strike w:val="0"/>
          <w:noProof w:val="0"/>
          <w:color w:val="000000"/>
          <w:position w:val="0"/>
          <w:sz w:val="20"/>
          <w:u w:val="none"/>
          <w:vertAlign w:val="baseline"/>
        </w:rPr>
        <w:t xml:space="preserve"> We also note that the measure risk adjustment takes into account patient age, sex, and comorbidities to allow a fair assessment of hospital performance. The measure defines the patient risk factors for mortality using diagnosis codes collected from all patient claims 1 year prior to patient index hospitalization for CABG surgery. ICD-10-CM diagnosis codes on Parts A and B administrative claims are used to inform the risk prediction for each patient; diagnostic codes from post-acute care settings are included in the measure, but this information is only used to identify a hospital's patient case mix in order to adequately adjust for differences in case mix across hospitals. Use of Parts A and B data does not mean the measure is applicable to post-acute care settings, only that it uses comprehensive data to predict the risk of the outcome and adjust for hospital patient case mix. We note that the patient diagnosis codes are grouped using HCCs. The CCs used in the risk-adjustment model for this measure are provided on the CMS QualityNet Web site: </w:t>
      </w:r>
      <w:hyperlink r:id="rId71" w:history="1">
        <w:r>
          <w:rPr>
            <w:rFonts w:ascii="arial" w:eastAsia="arial" w:hAnsi="arial" w:cs="arial"/>
            <w:b w:val="0"/>
            <w:i/>
            <w:strike w:val="0"/>
            <w:noProof w:val="0"/>
            <w:color w:val="0077CC"/>
            <w:position w:val="0"/>
            <w:sz w:val="20"/>
            <w:u w:val="single"/>
            <w:vertAlign w:val="baseline"/>
          </w:rPr>
          <w:t>https://www.qualitynet.org/dcs/ContentServer?c=Page&amp;pagename=QnetPublic%2FPage%2FQnetTier4&amp;cid=1219069856694</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age, sex, and comorbidities present at the time of admission are adjusted for differences in hospital case mix (patient risk factors). The measure uses the HLM statistical methodology for risk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Calculating the Risk-Standardized Mortality Ratio (RSMR) and Performance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calculate hospital 30-day, all-cause, risk-standardized mortality rates (RSMR) consistent with the methodology used to risk standardize all readmission and mortality measures used in CMS hospital quality programs. Using HLM, we calculate the hospital-level risk-standardized mortality rate following AMI hospitalization by producing a ratio of the number of "predicted" deaths (that is, the adjusted number of deaths at a specific hospital) to the number of "expected" deaths (that is, the number of deaths if an average quality hospital treated the same patients) for each hospital and then multiplying the ratio by the national raw mortality rate. The RSMR is a point estimate--the best estimate of a hospital's mortality rate based on the hospital's case mix. For more detailed information on the calculation methodology we refer readers to the CMS Web site at: </w:t>
      </w:r>
      <w:hyperlink r:id="rId42" w:history="1">
        <w:r>
          <w:rPr>
            <w:rFonts w:ascii="arial" w:eastAsia="arial" w:hAnsi="arial" w:cs="arial"/>
            <w:b w:val="0"/>
            <w:i/>
            <w:strike w:val="0"/>
            <w:noProof w:val="0"/>
            <w:color w:val="0077CC"/>
            <w:position w:val="0"/>
            <w:sz w:val="20"/>
            <w:u w:val="single"/>
            <w:vertAlign w:val="baseline"/>
          </w:rPr>
          <w:t>https://www.cms.gov/Medicare/Quality-Initiatives-Patient-Assessment-Instruments/HospitalQualityInits/Measure-Methodology.html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3-year rolling performance period would be consistent with that used for the HIQR Program (FY 2015 IPPS/LTCH final rule </w:t>
      </w:r>
      <w:hyperlink r:id="rId67" w:history="1">
        <w:r>
          <w:rPr>
            <w:rFonts w:ascii="arial" w:eastAsia="arial" w:hAnsi="arial" w:cs="arial"/>
            <w:b w:val="0"/>
            <w:i/>
            <w:strike w:val="0"/>
            <w:noProof w:val="0"/>
            <w:color w:val="0077CC"/>
            <w:position w:val="0"/>
            <w:sz w:val="20"/>
            <w:u w:val="single"/>
            <w:vertAlign w:val="baseline"/>
          </w:rPr>
          <w:t>79 FR 50227).</w:t>
        </w:r>
      </w:hyperlink>
      <w:r>
        <w:rPr>
          <w:rFonts w:ascii="arial" w:eastAsia="arial" w:hAnsi="arial" w:cs="arial"/>
          <w:b w:val="0"/>
          <w:i w:val="0"/>
          <w:strike w:val="0"/>
          <w:noProof w:val="0"/>
          <w:color w:val="000000"/>
          <w:position w:val="0"/>
          <w:sz w:val="20"/>
          <w:u w:val="none"/>
          <w:vertAlign w:val="baseline"/>
        </w:rPr>
        <w:t xml:space="preserve"> Section III.E.5.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Form, Manner, and Timing of Quality Measure Data Submission, summarizes the proposed measure performance periods for CABG model performance years 1 through 5. We note that improvement on the MORT-CABG-30 (NQF #2558) measure would be determined from the 3-year rolling performance period available for the year preceding the CABG model performance year as explained in Table 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this proposal to include Hospital-level 30-Day,All-Cause, Risk-Standardized Mortality Rate (RSMR) following CABG Surgery (NQF #0230) measure in the CABG model to assess quality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EPM episodes are structured as 90-day periods with the hospital as the primary accountable entity, because we believe 90 days is a period over which hospitals have substantial ability to influence the quality and efficiency of the care that patients receive. We believe that there could be significant benefits for the quality of patient care from using quality measures that examine patient outcomes over a period that extends at least as long as the EPM episode (that is., 90 days after discharge). In particular, we believe that this approach could help ensure that hospitals are held fully accountable for the quality of the care they deliver during the period covered by the bundle.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as discussed in section III.E.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several of the outcome measures we proposed for these EPMs (MORT-30-AMI (NQF #0230), AMI excess days, and MORT-30-CABG (NQF #2558) assess outcomes over a 30-day period following discharge. We proposed the use of these existing 30-day measures, at least initially, because they are in wide use and have gained acceptance among hospitals and because the mortality measures have been reviewed and endorsed by the National Quality Forum.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we believe that it is appropriate to seek to adapt these measures or to develop new related </w:t>
      </w:r>
      <w:r>
        <w:rPr>
          <w:rFonts w:ascii="arial" w:eastAsia="arial" w:hAnsi="arial" w:cs="arial"/>
          <w:b/>
          <w:i w:val="0"/>
          <w:strike w:val="0"/>
          <w:noProof w:val="0"/>
          <w:color w:val="000000"/>
          <w:position w:val="0"/>
          <w:sz w:val="20"/>
          <w:u w:val="none"/>
          <w:vertAlign w:val="baseline"/>
        </w:rPr>
        <w:t> [*387] </w:t>
      </w:r>
      <w:r>
        <w:rPr>
          <w:rFonts w:ascii="arial" w:eastAsia="arial" w:hAnsi="arial" w:cs="arial"/>
          <w:b w:val="0"/>
          <w:i w:val="0"/>
          <w:strike w:val="0"/>
          <w:noProof w:val="0"/>
          <w:color w:val="000000"/>
          <w:position w:val="0"/>
          <w:sz w:val="20"/>
          <w:u w:val="none"/>
          <w:vertAlign w:val="baseline"/>
        </w:rPr>
        <w:t xml:space="preserve"> measures to assess outcomes over a longer timeframe, including timeframes at least as long as the EPM episodes. In developing measures that use a longer timeframe, CMS would perform empirical analyses to ensure that such measures are scientifically robust and to identify appropriate risk-adjustment approaches. Once such measures were available, CMS would consider when and how to incorporate these measures into the EPM quality payment methodology. We invite public comment on refining the existing 30-day measures to extend the period of outcome assessment following admission for AMI or CABG surgery, including the length of the period that should be examined by an extended measure, any important considerations in developing the refined measures, and any factors CMS should consider in incorporating these measures into the EPM quality payment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suggested that the CABG mortality measure not be used in the EPM until it had been reviewed by the NQF in the context of the ongoing SDS trial period. The commenter supported the use of the CABG mortality measure if CMS includes SDS factors in the risk-adjustment because mortality is tied to community factors that are typically outside of the direct control of health care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concerns that socioeconomic factors influence patient's risk of post-discharge returns to the hospital for acute care. The CABG mortality measure currently does not include socioeconomic factors in the risk-adjustment model. We routinely monitor the impact of SDS on providers' differential performance on our outcome and payment measure.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NQF is currently conducting a 2-year trial, in which new measures and measures undergoing maintenance review will be assessed to determine if risk-adjusting for sociodemographic factors is appropriate. This trial entails temporarily allowing inclusion of sociodemographic factors in the risk-adjustment approach for some performance measures. At the conclusion of the trial, NQF is expected to issue recommendations on future permanent inclusion of sociodemographic factors. During the trial, measure developers are encouraged to submit information such as analyses and interpretations as well as performance scores with and without sociodemographic factors in the risk adjustment model. Although the CABG mortality measure was not included in the SDS trial period, several measures developed by CMS have been brought to NQF since the beginning of the trial, including several mortality. Under the guidance of NQF, we are making every effort to be proactive in examining SDS factors in quality measures by testing SDS factors in the measures' risk models and making recommendations about whether or not to include these factors in the endorsed measure. We are still awaiting final recommendations from the NQF and intend to continue engaging in the NQF process as we consider the appropriateness of adjusting for SDS factors in our outcome measures. For more detailed information about measures in the NQF SDS trial period, we refer commenters to: </w:t>
      </w:r>
      <w:hyperlink r:id="rId74" w:history="1">
        <w:r>
          <w:rPr>
            <w:rFonts w:ascii="arial" w:eastAsia="arial" w:hAnsi="arial" w:cs="arial"/>
            <w:b w:val="0"/>
            <w:i/>
            <w:strike w:val="0"/>
            <w:noProof w:val="0"/>
            <w:color w:val="0077CC"/>
            <w:position w:val="0"/>
            <w:sz w:val="20"/>
            <w:u w:val="single"/>
            <w:vertAlign w:val="baseline"/>
          </w:rPr>
          <w:t>http://www.qualityforum.org/SES_Trial_Period.aspx</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Furthermore, we are awaiting the findings of an ASPE report on SDS factors in risk-adjustment. Therefore, we are not currently changing our risk-adjustment methodology with respect to SDS factors. We will continue to consider such factors in our ongoing measure development and maintenance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Once commenter expressed agreement with the decision not to include the CABG readmission measure in this EPM stating that incentives are already in place for hospitals to lower excess readmission rates and it would be duplicative to hold hospitals accountable to these measures.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their support.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suggested alternative measures be used in the CABG EPM. One commenter suggested that CMS use the CABG Composite Score suggesting that it is more comprehensive because it is based on several outcomes, not solely mortality and is used by most cardiothoracic surgery programs. They also note that there is more variation among hospitals in the Composite Score compared with a mortality measure. Another commenter suggested that CMS use measures developed by the Society of Thoracic Surgeon (STS) for benchmarking instead of the CMS measure.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commenters that this is a comprehensive NQF-endorsed composite measure with strong potential to meaningfully improve quality. The STS CABG Composite Score measures surgical performance based on a combination of 11 NQF-endorsed process and outcomes measures, grouped into four domains. We are incorporating the use of the CABG Composite Score performance measure (NQF #0696) as a voluntary option weighted at 10 percent. By including this measure in the CABG EPM, we are reducing proposed HCAHPS and mortality weights by 5 percent each for those hospitals choosing to voluntary submit this data. We intend to address the weighting and the use of the actual measure score in the next EPM rulemaking cycle. For more information about the STS Composite Score, we refer readers here: </w:t>
      </w:r>
      <w:hyperlink r:id="rId80" w:history="1">
        <w:r>
          <w:rPr>
            <w:rFonts w:ascii="arial" w:eastAsia="arial" w:hAnsi="arial" w:cs="arial"/>
            <w:b w:val="0"/>
            <w:i/>
            <w:strike w:val="0"/>
            <w:noProof w:val="0"/>
            <w:color w:val="0077CC"/>
            <w:position w:val="0"/>
            <w:sz w:val="20"/>
            <w:u w:val="single"/>
            <w:vertAlign w:val="baseline"/>
          </w:rPr>
          <w:t>http://www.sts.org/sts-public-reporting-online/cabg-composite-score</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concern 75 percent of a hospital's quality score for CABG based upon 30-day hospital mortality places a heavy reliance on only this quality measure. This commenter was also concerned that with this weighing propose, hospitals with few CABG cases would be further disadvantaged since there will be less data used to calculate the hospital's quality score.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To ensure hospitals have enough cases to produce a valid quality score, the CABG mortality measure uses 3 years of claims data to calculate the measure. Hospitals must have at least 25 qualifying index admissions within the 3-year measurement period to calculate and publically report a measure result. We do not believe these measures disadvantage smaller volume hospitals. We have found that hospitals with few cases tend to have measure results that are close to the national average hospital rate and are therefore rarely identified as poor performing outliers.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disagreed with the proposal to use the CABG mortality measure in the CABG EPM because this measure is used in the Hospital Inpatient Quality Reporting program ("HIQR"). The commenter suggested that the CABG mortality measure would do little to characterize the quality performance beyond what is already reported through existing CMS programs. The commenter suggested that CMS develop a new measure of complications following CABG surgery.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with the suggestion that including the CABG mortality measure would do little to characterize the quality performance beyond what is already reported through the existing CMS programs. Mortality is a very serious outcome for AMI and CABG care and is one that EPM model participants should manage to avoid under the AMI and CABG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 modification, to incorporate the STS CABG Composite Score measure (NQF </w:t>
      </w:r>
      <w:r>
        <w:rPr>
          <w:rFonts w:ascii="arial" w:eastAsia="arial" w:hAnsi="arial" w:cs="arial"/>
          <w:b/>
          <w:i w:val="0"/>
          <w:strike w:val="0"/>
          <w:noProof w:val="0"/>
          <w:color w:val="000000"/>
          <w:position w:val="0"/>
          <w:sz w:val="20"/>
          <w:u w:val="none"/>
          <w:vertAlign w:val="baseline"/>
        </w:rPr>
        <w:t> [*388] </w:t>
      </w:r>
      <w:r>
        <w:rPr>
          <w:rFonts w:ascii="arial" w:eastAsia="arial" w:hAnsi="arial" w:cs="arial"/>
          <w:b w:val="0"/>
          <w:i w:val="0"/>
          <w:strike w:val="0"/>
          <w:noProof w:val="0"/>
          <w:color w:val="000000"/>
          <w:position w:val="0"/>
          <w:sz w:val="20"/>
          <w:u w:val="none"/>
          <w:vertAlign w:val="baseline"/>
        </w:rPr>
        <w:t xml:space="preserve"> #0696) from the STS Data Registry as a voluntary option weighted at 10 percent. The measures that were proposed, along with these STS CABG measures are highly relevant to the clinical conditions that are the focus of the model. To use other measures would increase administrative burden on participant hospitals which we do not believe would be appropriate for this model. Even though the measures are used in other CMS programs, we do not believe their use in this model leads to inappropriate financial risk because they are relevant measures of patient experience and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SHFFT Model-Specific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Hospital-Level Risk-Standardized Complication Rate (RSCR) Following Elective Primary Total Hip Arthroplasty (THA) and/or Total Knee Arthroplasty (TKA) (NQF #1550) (Hip/Knee Complications)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 and TKA are commonly performed procedures for the Medicare population that improve quality of life. Between 2009 and 2012, there were 337,419 total hip arthroplasty (THA) procedures and 750,569 total knee arthroplasty (TKA) procedures for Medicare FFS patients 65 years and older. n107 The post-operation complications of these procedures are high considering these are elective procedures, and usually, the complications are devastating to patients. For example, rates for periprosthetic joint infection, a rare but devastating complication, have been reported at 2.3 percent for THA/TKA patients with rheumatoid arthritis after 1 year of follow-up n108 and 1.6 percent in Medicare patients undergoing TKA after 2 years of follow up. n109 Two studies reported 90-day death rates following THA at 0.7 percent n110 and 2.7 percent, respectively. n111 Reported rates for pulmonary embolism following TKA range from 0.5 percent to 0.9 percent. n112 n113 n114 Reported rates for septicemia range from 0.1 percent, during the index admission n115 to 0.3 percent, 90-days following discharge for primary TKA. n116 Rates for bleeding and hematoma following TKA have been reported at 0.94 percent n117 to 1.7 percent. n118 Combined, THA and TKA procedures account for the largest payments for procedures under Medicare. n119 Both hip and knee arthroplasty procedures improve the function and quality of life of patients with disabling arthritis, and the volume and cost associated with these procedures are very high. We believe it is important to assess the quality of care provided to Medicare beneficiaries who undergo one or both of these procedures.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 Suter L, Grady JL, Lin Z et al.: 2013 Measure Updates and Specifications: Elective Primary Total Hip Arthroplasty (THA) And/Or Total Knee Arthroplasty (TKA) All-Cause Unplanned 30-Day Risk-Standardized Readmission Measure (Version 2.0). 2013. </w:t>
      </w:r>
      <w:hyperlink r:id="rId81" w:history="1">
        <w:r>
          <w:rPr>
            <w:rFonts w:ascii="arial" w:eastAsia="arial" w:hAnsi="arial" w:cs="arial"/>
            <w:b w:val="0"/>
            <w:i/>
            <w:strike w:val="0"/>
            <w:noProof w:val="0"/>
            <w:color w:val="0077CC"/>
            <w:position w:val="0"/>
            <w:sz w:val="20"/>
            <w:u w:val="single"/>
            <w:vertAlign w:val="baseline"/>
          </w:rPr>
          <w:t>http://www.cms.gov/Medicare/Quality-Initiatives-Patient-Assessment-Instruments/HospitalQualityInits/Measure-Methodology.html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n108 Bongartz, T, Halligan CS, Osmon D, et al. Incidence and risk factors of prosthetic joint infection after total hip or knee replacement in patients with rheumatoid arthritis. Arthritis Rheum. 2008; 59(12): 1713-1720.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n109 Kurtz S, Ong K, Lau E, Bozic K, Berry D, Parvizi J. Prosthetic joint infection risk after TKA in the Medicare population. Clin Orthop Relat Res. 2010;468:5.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n110 Cram P, Vaughan-Sarrazin MS, Wolf B, Katz JN, Rosenthal GE. A comparison of total hip and knee replacement in specialty and general hospitals. J Bone Joint Surg Am. Aug 2007;89(8):1675-1684. Soohoo NF, Farng E, Lieberman JR, Chambers L, Zingmond, DS. Factors That Predict Short-term Complication Rates After Total Hip Arthroplasty. Clin Orthop Relat Res. Sep 2010;468(9):2363-2371.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n111 Soohoo NF, Farng E, Lieberman JR, Chambers L, Zingmond, DS. Factors That Predict Short-term Complication Rates After Total Hip Arthroplasty. Clin Orthop Relat Res. Sep 2010;468(9):2363-2371. Cram P, Vaughan-Sarrazin MS, Wolf B, Katz JN, Rosenthal GE. A comparison of total hip and knee replacement in specialty and general hospitals. J Bone Joint Surg Am. Aug 2007;89(8):1675-1684.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n112 Mahomed NN, Barrett JA, Katz JN, et al. Rates and outcomes of primary and revision total hip replacement in the United States medicare population. J Bone Joint Surg Am. Jan 2003;85- A(1):27-32.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n113 Khatod M, Inacio M, Paxton EW, et al. Knee replacement: epidemiology, outcomes, and trends in Southern California: 17,080 replacements from 1995 through 2004. Acta Orthop. Dec 2008;79(6):812-819.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n114 Solomon DH, Chibnik LB, Losina E, et al. Development of a preliminary index that predicts adverse events after total knee replacement. Arthritis &amp; Rheumatism. 2006;54(5):1536-1542.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n115 Browne, JA, Cook C, Hofmann A, Bolognesi MP. Postoperative morbidity and mortality following total knee arthroplasty with computer navigation. Knee. 2010;17(2): 152-156.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n116 Cram P, Vaughan-Sarrazin MS, Wolf B, Katz JN, Rosenthal GE. A comparison of total hip and knee replacement in specialty and general hospitals. J Bone Joint Surg Am. Aug 2007;89(8):1675-1684.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n117 Browne, JA, Cook C, Hofmann A, Bolognesi MP. Postoperative morbidity and mortality following total knee arthroplasty with computer navigation. Knee. 2010;17(2): 152-156.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n118 Huddleston JI, Maloney WJ, Wang Y, Verzier N, Hunt DR, Herndon JH. Adverse Events After Total Knee Arthroplasty: A National Medicare Study. The Journal of Arthroplasty. 2009;24(6, Supplement 1): 95-100.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n119 Bozic KJ, Rubash HE, Sculco TP, Berry DJ., An analysis of Medicare payment policy for total joint arthroplasty. J Arthroplasty. Sep 2008; 23(6 Suppl 1):133-138.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measure developed by CMS, and currently implemented in the HIQR and HVBP Programs and the CJR model, assesses a hospital's risk standardized complication rate, which is the rate of complications occurring after elective primary THA and TKA surgery. The measure outcome is the rate of complications occurring after THA and TKA during a 90-day period that begins with the date of the index admission for a specific hospital; an index admission is the hospitalization to which the complications outcome is attributed. The following outcomes (either one or more) are considered complications in this measure: Acute myocardial infarction, pneumonia, or sepsis/septicemia within 7 days of admission; surgical site bleeding, pulmonary embolism or death within 30 days of admission; or mechanical complications, periprosthetic joint infection or wound infection within 90 days of admission. The data indicated that the median hospital-level risk-standardized complication rate for 2008 was 4.2 percent, with a range from 2.2 percent to 8.9 percent in hospitals. The variation in complication rates suggests that there are important differences in the quality of care delivered across hospitals, and that there is room for quality improvement.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2010, we developed the proposed measure of hospital-level risk-standardized complication rate (RSCR) following elective primary THA and TKA surgery, which was later endorsed by the NQF (NQF #1550). In its Pre-Rulemaking Report for 2012, n120 the Measure Application Partnership (MAP) also recommended the inclusion of this measure in the HIQR Program; we have not submitted this measure for use in post-acute care settings as the measure was developed for the acute care hospital setting. This measure has been publicly reported on Hospital Compare since FY 2014 and in the HIQR Program since FY 2015 (FY 2015 IPPS/LTCH final rule </w:t>
      </w:r>
      <w:hyperlink r:id="rId67" w:history="1">
        <w:r>
          <w:rPr>
            <w:rFonts w:ascii="arial" w:eastAsia="arial" w:hAnsi="arial" w:cs="arial"/>
            <w:b w:val="0"/>
            <w:i/>
            <w:strike w:val="0"/>
            <w:noProof w:val="0"/>
            <w:color w:val="0077CC"/>
            <w:position w:val="0"/>
            <w:sz w:val="20"/>
            <w:u w:val="single"/>
            <w:vertAlign w:val="baseline"/>
          </w:rPr>
          <w:t>79 FR 50062).</w:t>
        </w:r>
      </w:hyperlink>
      <w:r>
        <w:rPr>
          <w:rFonts w:ascii="arial" w:eastAsia="arial" w:hAnsi="arial" w:cs="arial"/>
          <w:b w:val="0"/>
          <w:i w:val="0"/>
          <w:strike w:val="0"/>
          <w:noProof w:val="0"/>
          <w:color w:val="000000"/>
          <w:position w:val="0"/>
          <w:sz w:val="20"/>
          <w:u w:val="none"/>
          <w:vertAlign w:val="baseline"/>
        </w:rPr>
        <w:t xml:space="preserve"> Finally, we note a comparison of the median hospital-level risk-standardized complication rates for hospitals between April 1, 2011 and March 31, 2014 illustrates a performance gap (median RSCR of 3.1 percent with a range from 1.4 percent to 6.9 percent) indicating there is still room for quality improvement. n121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n120 National Quality Forum. MAP Final Reports. Available at: </w:t>
      </w:r>
      <w:hyperlink r:id="rId82" w:history="1">
        <w:r>
          <w:rPr>
            <w:rFonts w:ascii="arial" w:eastAsia="arial" w:hAnsi="arial" w:cs="arial"/>
            <w:b w:val="0"/>
            <w:i/>
            <w:strike w:val="0"/>
            <w:noProof w:val="0"/>
            <w:color w:val="0077CC"/>
            <w:position w:val="0"/>
            <w:sz w:val="20"/>
            <w:u w:val="single"/>
            <w:vertAlign w:val="baseline"/>
          </w:rPr>
          <w:t>http://www.qualityforum.org/Publications/2012/02/MAP_Pre-Rulemaking_Report__Input_on_Measures_Under_Consideration_by_HHS_for_2012_Rulemaking.aspx</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Accessed on April 16, 2015, page 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n121 Suter L, Zang W, Parzynski C, et al. 2015 Procedure-Specific Complication Measures Update and Specifications: Elective Primary Total Hip Arthroplasty (THA) and/or Total Knee Arthroplasty (TKA) Risk-Standardized Complication Measure (Version 4.0).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Measure results are calculated using Medicare Part A and Part B FFS claims </w:t>
      </w:r>
      <w:r>
        <w:rPr>
          <w:rFonts w:ascii="arial" w:eastAsia="arial" w:hAnsi="arial" w:cs="arial"/>
          <w:b/>
          <w:i w:val="0"/>
          <w:strike w:val="0"/>
          <w:noProof w:val="0"/>
          <w:color w:val="000000"/>
          <w:position w:val="0"/>
          <w:sz w:val="20"/>
          <w:u w:val="none"/>
          <w:vertAlign w:val="baseline"/>
        </w:rPr>
        <w:t> [*389] </w:t>
      </w:r>
      <w:r>
        <w:rPr>
          <w:rFonts w:ascii="arial" w:eastAsia="arial" w:hAnsi="arial" w:cs="arial"/>
          <w:b w:val="0"/>
          <w:i w:val="0"/>
          <w:strike w:val="0"/>
          <w:noProof w:val="0"/>
          <w:color w:val="000000"/>
          <w:position w:val="0"/>
          <w:sz w:val="20"/>
          <w:u w:val="none"/>
          <w:vertAlign w:val="baseline"/>
        </w:rPr>
        <w:t xml:space="preserve"> submitted by all non-federal acute care hospitals. Index admission diagnoses and in-hospital comorbidities are assessed using Medicare Part A claims. Additional comorbidities prior to the index admission are assessed using Part A inpatient, outpatient, and Part B office visit Medicare claims in the 1 to 2 months prior to the index (initial) admission. Enrollment and post-discharge mortality status are obtained from Medicare's enrollment database which contains beneficiary demographic, benefits/coverage, and vital status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Hip/Knee Complications (NQF #1550) measure includes Medicare FFS beneficiaries, aged 65 years or older, admitted to non-federal acute care hospitals for elective primary THA or TKA. THA and TKA procedures eligible for inclusion are defined using ICD-9-CM codes 81.51 and 81.54, respectively. The following 24 codes in ICD-10 correspond to these two ICD-9-CM codes.</w:t>
      </w:r>
    </w:p>
    <w:p>
      <w:pPr>
        <w:keepNext w:val="0"/>
        <w:numPr>
          <w:numId w:val="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ICD-9 code 81.51 (Total Hip Replacement) = ICD-10 codes 0SR90J9, 0SR90JA, 0SR90JZ, 0SRB0J9, 0SRB0JA, 0SRB0JZ.</w:t>
      </w:r>
    </w:p>
    <w:p>
      <w:pPr>
        <w:keepNext w:val="0"/>
        <w:numPr>
          <w:numId w:val="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ICD-9 code 81.54 (Total Knee Replacement) = ICD-10 codes 0SRC07Z, 0SRC0JZ, 0SRC0KZ, 0SRD07Z, 0SRD0JZ, 0SRD0KZ, 0SRT07Z, 0SRT0JZ, 0SRT0KZ, 0SRU07Z, 0SRU0JZ, 0SRU0KZ, 0SRV07Z, 0SRV0JZ, 0SRV0KZ, 0SRW07Z, 0SRW0JZ, 0SRW0KZ.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measure will include index admissions to all non-federal acute care hospitals, which includes all hospitals included in the SHFFT model. Hospital performance will only be publicly reported for hospitals with 25 or more index admissions in the 3-year measurement period. The SHFFT model participant hospital cohort would differ from the hospital cohort that is currently captured in the measure through the HIQR Program. Although performance on the measure will not be publicly reported for hospitals with fewer than 25 cases, such hospital will receive information about their performance. We refer readers to section III.B.5. of this final rule for discussion of the selection of participants for the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Inclusion and Exclusion Criteria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index admission is the hospitalization to which the complication outcome is attributed. We note that for purposes of the EPMs where we need to identify episodes that are included in the EPMs, we use the term anchor hospitalization to identify hospitalizations that initiate EPM episodes for beneficiaries whose care is included in the EPMs. In describing the quality measures themselves in detail in section III.E.4.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we use the term index hospitalization to identify hospitalizations of beneficiaries whose outcomes are included in the measures. Thus, anchor hospitalizations and index hospitalizations would have varying degrees of overlap depending on the specific quality measure. The MS-DRGs for the anchor or chained hospitalizations included in the SHFFT model will identify beneficiaries that do not overlap with the index hospitalizations used in the SHFFT model measures, since the SHFFT model measures use the elective THA/TKA cases as proxies for hip or femur fracture cases. The measure includes the following index admissions for patients:</w:t>
      </w:r>
    </w:p>
    <w:p>
      <w:pPr>
        <w:keepNext w:val="0"/>
        <w:numPr>
          <w:numId w:val="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FFS.</w:t>
      </w:r>
    </w:p>
    <w:p>
      <w:pPr>
        <w:keepNext w:val="0"/>
        <w:numPr>
          <w:numId w:val="3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Aged 65 or over.</w:t>
      </w:r>
    </w:p>
    <w:p>
      <w:pPr>
        <w:keepNext w:val="0"/>
        <w:numPr>
          <w:numId w:val="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Part A and Part B Medicare for the 12 months prior to the date of index admission and during the index admission.</w:t>
      </w:r>
    </w:p>
    <w:p>
      <w:pPr>
        <w:keepNext w:val="0"/>
        <w:numPr>
          <w:numId w:val="3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a qualifying elective primary THA/TKA procedure; elective primary THA/TKA procedures are defined as those procedures without any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Femur, hip, or pelvic fractures coded in principal or secondary discharge diagnosis fields of the index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Partial hip arthroplasty (PHA) procedures with a concurrent THA/TKA.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Revision procedures with a concurrent THA/TKA.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Resurfacing procedures with a concurrent THA/TKA.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Mechanical complication coded in the principal discharge diagnosis field.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Malignant neoplasm of the pelvis, sacrum, coccyx, lower limbs, or bone/bone marrow or a disseminated malignant neoplasm coded in the principal discharge diagnosis field.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Removal of implanted devices/prostheses.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Transfer from another acute care facility for the THA/TKA.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admissions would be excluded from the measure:</w:t>
      </w:r>
    </w:p>
    <w:p>
      <w:pPr>
        <w:keepNext w:val="0"/>
        <w:numPr>
          <w:numId w:val="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Admissions for patients discharged AMA.</w:t>
      </w:r>
    </w:p>
    <w:p>
      <w:pPr>
        <w:keepNext w:val="0"/>
        <w:numPr>
          <w:numId w:val="3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Admissions for patients with more than two THA/TKA procedure codes during the index hospitalization.</w:t>
      </w:r>
    </w:p>
    <w:p>
      <w:pPr>
        <w:keepNext w:val="0"/>
        <w:numPr>
          <w:numId w:val="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Consistent with the FY 2016 IPPS/LTCH proposed rule, admissions for patients without at least 90 days post-discharge enrollment in FFS Medicare; this exclusion is an update to the measure signaled in the HIQR Program section of the FY2016 IPPS/LTCH proposed rule </w:t>
      </w:r>
      <w:hyperlink r:id="rId78" w:history="1">
        <w:r>
          <w:rPr>
            <w:rFonts w:ascii="arial" w:eastAsia="arial" w:hAnsi="arial" w:cs="arial"/>
            <w:b w:val="0"/>
            <w:i/>
            <w:strike w:val="0"/>
            <w:noProof w:val="0"/>
            <w:color w:val="0077CC"/>
            <w:position w:val="0"/>
            <w:sz w:val="20"/>
            <w:u w:val="single"/>
            <w:vertAlign w:val="baseline"/>
          </w:rPr>
          <w:t>(80 FR 24572</w:t>
        </w:r>
      </w:hyperlink>
      <w:r>
        <w:rPr>
          <w:rFonts w:ascii="arial" w:eastAsia="arial" w:hAnsi="arial" w:cs="arial"/>
          <w:b w:val="0"/>
          <w:i w:val="0"/>
          <w:strike w:val="0"/>
          <w:noProof w:val="0"/>
          <w:color w:val="000000"/>
          <w:position w:val="0"/>
          <w:sz w:val="20"/>
          <w:u w:val="none"/>
          <w:vertAlign w:val="baseline"/>
        </w:rPr>
        <w:t xml:space="preserve"> through 24574) to ensure that disproportionate Medicare FFS disenrollment does not bias the measure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applying these exclusion criteria, we randomly select one index admission for patients with multiple index admissions in a calendar year. Therefore, we exclude the other eligible index admissions in that year. Identification and use of a single index admission in a calendar year is done because this measure includes mortality as an outcome and the probability of death increases with each subsequent admission, preventing each admission from being mutually independent. Therefore only one index admission is selected to maintain measure integrity.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the Hip/Knee Complications (NQF #1550) measure does not capture patients undergoing partial hip arthroplasty procedures. We excluded partial hip arthroplasty procedures primarily because partial hip arthroplasty procedures are done for hip fractures. Therefore, they are not elective procedures. Also, partial hip arthroplasty procedures are typically performed on patients who are older, frailer, and have more comorbid conditions. Although this exclusion is not fully harmonized with MS-DRGs 469 and 470, which includes partial hip arthroplasty procedures, use of this measure will still provide strong incentives for improving and maintaining care quality across joint replacement patients as hospitals typically develop protocols for lower extremity joint arthroplasty that will address peri-operative and post-operative care for both total and partial hip arthroplasty procedures. Fiscal year 2014 claims data indicate that among inpatient claims with MS-DRG 469 or 470, partial hip arthroplasty (ICD-9-CM procedure code: 81.52) accounted for 12 percent, while Total Hip Replacement (ICD-9 code: 81.51) and total knee replacement (ICD-9 code: 81.54) accounted for 87 percent </w:t>
      </w:r>
      <w:hyperlink r:id="rId21" w:history="1">
        <w:r>
          <w:rPr>
            <w:rFonts w:ascii="arial" w:eastAsia="arial" w:hAnsi="arial" w:cs="arial"/>
            <w:b w:val="0"/>
            <w:i/>
            <w:strike w:val="0"/>
            <w:noProof w:val="0"/>
            <w:color w:val="0077CC"/>
            <w:position w:val="0"/>
            <w:sz w:val="20"/>
            <w:u w:val="single"/>
            <w:vertAlign w:val="baseline"/>
          </w:rPr>
          <w:t>(80 FR 73300 and 73474).</w:t>
        </w:r>
      </w:hyperlink>
      <w:r>
        <w:rPr>
          <w:rFonts w:ascii="arial" w:eastAsia="arial" w:hAnsi="arial" w:cs="arial"/>
          <w:b w:val="0"/>
          <w:i w:val="0"/>
          <w:strike w:val="0"/>
          <w:noProof w:val="0"/>
          <w:color w:val="000000"/>
          <w:position w:val="0"/>
          <w:sz w:val="20"/>
          <w:u w:val="none"/>
          <w:vertAlign w:val="baseline"/>
        </w:rPr>
        <w:t xml:space="preserve"> We also note that the same surgeons and care teams frequently perform both procedures. Therefore, quality improvement efforts initiated in response to the Hip/Knee Complications (NQF #1550) measure are likely to benefit patients undergoing similar elective procedures, such as partial hip arthroplasty and revision THA/TKA procedures, and possibly even non-elective lower extremity hip fracture surgery as described in section III.E.2.d.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[*390]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Risk-Adjustment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this measure is aligned with the risk-adjustment methodologies adopted for the HIQR Program and HRRP in accordance with section 1886(b)(3)(B)(viii)(VIII) of the Act (FY 2013 IPPS/LTCH final rule </w:t>
      </w:r>
      <w:hyperlink r:id="rId83" w:history="1">
        <w:r>
          <w:rPr>
            <w:rFonts w:ascii="arial" w:eastAsia="arial" w:hAnsi="arial" w:cs="arial"/>
            <w:b w:val="0"/>
            <w:i/>
            <w:strike w:val="0"/>
            <w:noProof w:val="0"/>
            <w:color w:val="0077CC"/>
            <w:position w:val="0"/>
            <w:sz w:val="20"/>
            <w:u w:val="single"/>
            <w:vertAlign w:val="baseline"/>
          </w:rPr>
          <w:t>77 FR 53516</w:t>
        </w:r>
      </w:hyperlink>
      <w:r>
        <w:rPr>
          <w:rFonts w:ascii="arial" w:eastAsia="arial" w:hAnsi="arial" w:cs="arial"/>
          <w:b w:val="0"/>
          <w:i w:val="0"/>
          <w:strike w:val="0"/>
          <w:noProof w:val="0"/>
          <w:color w:val="000000"/>
          <w:position w:val="0"/>
          <w:sz w:val="20"/>
          <w:u w:val="none"/>
          <w:vertAlign w:val="baseline"/>
        </w:rPr>
        <w:t xml:space="preserve"> through- 53518 and FY 2015 IPPS/LTCH final rule; </w:t>
      </w:r>
      <w:hyperlink r:id="rId67" w:history="1">
        <w:r>
          <w:rPr>
            <w:rFonts w:ascii="arial" w:eastAsia="arial" w:hAnsi="arial" w:cs="arial"/>
            <w:b w:val="0"/>
            <w:i/>
            <w:strike w:val="0"/>
            <w:noProof w:val="0"/>
            <w:color w:val="0077CC"/>
            <w:position w:val="0"/>
            <w:sz w:val="20"/>
            <w:u w:val="single"/>
            <w:vertAlign w:val="baseline"/>
          </w:rPr>
          <w:t>79 FR 50024, 50031, and 50202).</w:t>
        </w:r>
      </w:hyperlink>
      <w:r>
        <w:rPr>
          <w:rFonts w:ascii="arial" w:eastAsia="arial" w:hAnsi="arial" w:cs="arial"/>
          <w:b w:val="0"/>
          <w:i w:val="0"/>
          <w:strike w:val="0"/>
          <w:noProof w:val="0"/>
          <w:color w:val="000000"/>
          <w:position w:val="0"/>
          <w:sz w:val="20"/>
          <w:u w:val="none"/>
          <w:vertAlign w:val="baseline"/>
        </w:rPr>
        <w:t xml:space="preserve"> We note that the risk-adjustment takes into account the patient case-mix to assess hospital performance. The patient risk factors are defined using the HCCs. n122 The HCCs used in the risk adjustment model for this measure are provided on the CMS QualityNet Web site: (</w:t>
      </w:r>
      <w:hyperlink r:id="rId84" w:history="1">
        <w:r>
          <w:rPr>
            <w:rFonts w:ascii="arial" w:eastAsia="arial" w:hAnsi="arial" w:cs="arial"/>
            <w:b w:val="0"/>
            <w:i/>
            <w:strike w:val="0"/>
            <w:noProof w:val="0"/>
            <w:color w:val="0077CC"/>
            <w:position w:val="0"/>
            <w:sz w:val="20"/>
            <w:u w:val="single"/>
            <w:vertAlign w:val="baseline"/>
          </w:rPr>
          <w:t>https://www.qualitynet.org/dcs/ContentServer?c=Page&amp;pagename=QnetPublic%2FPage%2FQnetTier4&amp;cid=1228772782693</w:t>
        </w:r>
      </w:hyperlink>
      <w:r>
        <w:rPr>
          <w:rFonts w:ascii="arial" w:eastAsia="arial" w:hAnsi="arial" w:cs="arial"/>
          <w:b w:val="0"/>
          <w:i w:val="0"/>
          <w:strike w:val="0"/>
          <w:noProof w:val="0"/>
          <w:color w:val="000000"/>
          <w:position w:val="0"/>
          <w:sz w:val="20"/>
          <w:u w:val="none"/>
          <w:vertAlign w:val="baseline"/>
        </w:rPr>
        <w:t>). We note that the measure uses ICD-9-CM diagnosis codes on Parts A and B administrative claims for the year prior to and including the index admission. The ICD-9-CM codes are used to inform the risk prediction for each patient. Diagnostic codes from post-acute care settings are utilized for the measure calculation, but this information is only used to identify a hospital's patient case mix in order to adequately adjust for differences in case mix across hospitals. Use of the administrative claims data does not mean the measures are applicable to post-acute care settings, only that they use comprehensive data to predict the risk of the outcome and adjust for hospital patient case mix. The measure methodology defines "complications" as acute myocardial infarction (AMI); pneumonia; sepsis/septicemia; pulmonary embolism; surgical site bleeding; death; wound infection; periprosthetic joint infection; and mechanical complication within 0 to 90-days post the index date of admission, depending on the complication. The decision on the appropriate follow-up period of 0 to 90 days was based on our analysis of 90-day trends in complication rates using the 2008 Medicare FFS Part A Inpatient Data. We found that rates for mechanical complications are elevated until 90 days post the date of index admission. We found that the rates for four other complications--death, surgical site bleeding, wound infection, and pulmonary embolism--are elevated for 30 days, and that rates for AMI, pneumonia, and sepsis/septicemia level off 7 days after the date of index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n122 Pope G, Ellis R, Ash A, et al., Principal Inpatient Diagnostic Cost Group Models for Medicare Risk Adjustment. Health Care Financing Review. 2000;21(3):26.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Calculating the Risk-Standardized Complication Rate and Performance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Analogous to how we calculate hospital risk-standardized readmission rates with all readmission measures and risk-standardized mortality rates with the mortality measures used in CMS hospital quality programs, we calculate the hospital risk-standardized complication rate by producing a ratio of the number of "predicted" complications (that is, the adjusted number of complications at a specific hospital based on its patient population) to the number of "expected" complications (that is, the number of complications if an average quality hospital treated the same patients) for each hospital and then multiplying the ratio by the national raw complication rate. The 3-year rolling performance period would be consistent with that used for HIQR Program (FY 2015 IPPS/LTCH final rule </w:t>
      </w:r>
      <w:hyperlink r:id="rId67" w:history="1">
        <w:r>
          <w:rPr>
            <w:rFonts w:ascii="arial" w:eastAsia="arial" w:hAnsi="arial" w:cs="arial"/>
            <w:b w:val="0"/>
            <w:i/>
            <w:strike w:val="0"/>
            <w:noProof w:val="0"/>
            <w:color w:val="0077CC"/>
            <w:position w:val="0"/>
            <w:sz w:val="20"/>
            <w:u w:val="single"/>
            <w:vertAlign w:val="baseline"/>
          </w:rPr>
          <w:t>79 FR 50208 and 50209).</w:t>
        </w:r>
      </w:hyperlink>
      <w:r>
        <w:rPr>
          <w:rFonts w:ascii="arial" w:eastAsia="arial" w:hAnsi="arial" w:cs="arial"/>
          <w:b w:val="0"/>
          <w:i w:val="0"/>
          <w:strike w:val="0"/>
          <w:noProof w:val="0"/>
          <w:color w:val="000000"/>
          <w:position w:val="0"/>
          <w:sz w:val="20"/>
          <w:u w:val="none"/>
          <w:vertAlign w:val="baseline"/>
        </w:rPr>
        <w:t xml:space="preserve"> Section III.E.5. of this final rule summarizes measure performance periods for SHFFT model years 1 through 5. We note that improvement on the Hip/Knee Complications (NQF #1550) measure would be determined from the immediate 3-year rolling performance period available for the year preceding the SHFFT model performance year as explained in Table 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this proposal to assess quality performance for SHFFT model participants through implementation of the Hospital-level risk-standardized complication rate (RSCR) following elective primary total hip arthroplasty (THA) and/or total knee arthroplasty (TKA) (NQF #1550)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opposed the elective THA/TKA complications measure because the measure's cohort does not align with the SHFFT model cohort. Commenters noted that the measure's cohorts do not include the patients in the SHFFT model population. Commenters requested that CMS provide more justification for including the measures in the SHFFT model. Commenters suggested that because the measures exclude hip fracture patients, they would provide limited insight on the quality of care provided to the patients included in the SHFFT model. Commenters raised specific concerns about a lack of testing of the measures in non-elective procedures and the potential for the rates and types of complications to differ between elective and non-elective procedure groups. Commenters noted that patients with hip fractures have higher mortality, complication, and readmission rates and are generally sicker with multiple comorbidities. As a result, patient recovery and rehabilitation pathways may be different for hip fracture as compared to patients who have elective procedures. Additionally, commenters noted that a hospital's volume of hip fracture patients is often much smaller than the volume of elective surgery patients causing concern that the use of the measures will unfairly assess quality at those hospitals with less arthroplasty experience.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recognize that none of the proposed measures specifically target the care of SHFFT model beneficiaries, we provided the following rationale in the proposed rule. The proposed measures are the same as those used for the CJR model because SHFFT model episodes will be tested along with the LEJR episodes in the CJR model </w:t>
      </w:r>
      <w:hyperlink r:id="rId21" w:history="1">
        <w:r>
          <w:rPr>
            <w:rFonts w:ascii="arial" w:eastAsia="arial" w:hAnsi="arial" w:cs="arial"/>
            <w:b w:val="0"/>
            <w:i/>
            <w:strike w:val="0"/>
            <w:noProof w:val="0"/>
            <w:color w:val="0077CC"/>
            <w:position w:val="0"/>
            <w:sz w:val="20"/>
            <w:u w:val="single"/>
            <w:vertAlign w:val="baseline"/>
          </w:rPr>
          <w:t>(80 FR 73501 and 73507)</w:t>
        </w:r>
      </w:hyperlink>
      <w:r>
        <w:rPr>
          <w:rFonts w:ascii="arial" w:eastAsia="arial" w:hAnsi="arial" w:cs="arial"/>
          <w:b w:val="0"/>
          <w:i w:val="0"/>
          <w:strike w:val="0"/>
          <w:noProof w:val="0"/>
          <w:color w:val="000000"/>
          <w:position w:val="0"/>
          <w:sz w:val="20"/>
          <w:u w:val="none"/>
          <w:vertAlign w:val="baseline"/>
        </w:rPr>
        <w:t xml:space="preserve"> at mostly the same hospitals. These measures exclude patients with hip and pelvic fractures. However, we expect that many of the physicians and other providers collaborating with participant hospitals in the SHFFT and CJR models will be the same, such that certain care pathways and episode efficiencies may be coordinated for SHFFT and CJR model beneficiaries regardless of the model, potentially resulting in quality improvement for beneficiaries in both models. Therefore, while the quality measures do not specifically assess care for hip fracture patients, they will incentivize quality improvements that also improve care for hip fracture patients. In addition, as discussed further in III.E.3.e.(3) of this final rule, we propose to calculate a hospital-level composite quality score that would apply to episode payment for both the CJR and SHFFT models, consistent with our proposal of the same measures for the two models. We believe that due to the inclusion of beneficiaries with hip fracture in both the CJR and SHFFT models and our desire to streamline EPM participant measure reporting, as well as the focus of both models on major lower extremity orthopedic surgery, the same set of quality measures can be used for both models to incentivize quality improvement in lower extremity orthopedic surgery care and episode efficiency. We are also considering future measure development focused specifically on hip and femur fracture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considered an alternative approach to the required quality measures for the SHFFT model given </w:t>
      </w:r>
      <w:r>
        <w:rPr>
          <w:rFonts w:ascii="arial" w:eastAsia="arial" w:hAnsi="arial" w:cs="arial"/>
          <w:b/>
          <w:i w:val="0"/>
          <w:strike w:val="0"/>
          <w:noProof w:val="0"/>
          <w:color w:val="000000"/>
          <w:position w:val="0"/>
          <w:sz w:val="20"/>
          <w:u w:val="none"/>
          <w:vertAlign w:val="baseline"/>
        </w:rPr>
        <w:t> [*391] </w:t>
      </w:r>
      <w:r>
        <w:rPr>
          <w:rFonts w:ascii="arial" w:eastAsia="arial" w:hAnsi="arial" w:cs="arial"/>
          <w:b w:val="0"/>
          <w:i w:val="0"/>
          <w:strike w:val="0"/>
          <w:noProof w:val="0"/>
          <w:color w:val="000000"/>
          <w:position w:val="0"/>
          <w:sz w:val="20"/>
          <w:u w:val="none"/>
          <w:vertAlign w:val="baseline"/>
        </w:rPr>
        <w:t xml:space="preserve"> that the proposed measures do not specifically target the SHFFT model beneficiaries. This alternative approach would not account for any hip-specific measures (such as, Hospital-level RSCR following elective primary THA and/or TKA (NQF #1550) (Hip/Knee Complications) and would instead only measure patient experience through the HCAHPS Survey (NQF #0166). Although there may be some rationale for excluding measures that do not specifically target SHFFT model beneficiaries, we do not propose this approach to SHFFT model quality measures because we believe that it is critical to include a measure of both clinical and patient experience outcomes in the setting of lower extremity orthopedic surgery episodes. Additionally, we believe that using quality measures for SHFFT model episodes that do not align with those in the CJR model could generate confusion at CJR model participant hospitals where we propose that the SHFFT model be tested as discussed in III.B.4.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support for our proposed approach of using the same measures in the CJR and SHFFT models given the lack of measures specific to the hip fracture population.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their support.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suggested that we develop measures that are specific to the SHFFT model population.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this suggestion and are considering future measure development focused specifically on hip and femur fracture patients.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suggested that the measures proposed do not assess what matters most to patients, such as whether patient's or providers' goals were met by the surgery performed.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incorporated the THA/TKA patient-reported outcome-based data submission (henceforth referred to as "THA/TKA voluntary data") into the SHFFT model. The THA/TKA voluntary data would provide participant hospitals with valuable information on functional outcomes that would assist them in assessing an important patient-centered outcome, engaging other providers and suppliers in care redesign for joint replacement episodes, as well as provide them with the potential for greater financial benefit from improved episode efficiencies.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assess quality performance for SHFFT model participants through implementation of the Hospital-level risk-standardized complication rate (RSCR) following elective primary total hip arthroplasty (THA) and/or total knee arthroplasty (TKA) (NQF #1550)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Hospital-Level Performance Measure(s) of Patient-Reported Outcomes Following Elective Primary Total Hip and/or Total Knee Arthroplasty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our goal to move towards outcome measures that assess patient-reported outcomes, we have begun development on a measure to assess improvement in patient-reported outcomes following THA/TKA procedures. The Hospital-Level Performance Measure(s) of Patient-Reported Outcomes Following Elective Primary Total Hip and/or Total Knee Arthroplasty (hereinafter referred to as "THA/TKA patient-reported outcome-based measure") is currently under development. We specifically chose to focus on THA/TKA procedures since THA/TKAs are important, effective procedures performed on a broad population, and the patient outcomes for these procedures (for example, pain, mobility, and quality of life) can be measured in a scientifically sound way and are also influenced by a range of improvements in care. n123 n124 n125 We also note that THA/TKA procedures are specifically intended to improve function and reduce pain, making patient-reported outcomes the most meaningful outcome metric to assess for these common, costly procedures. Patient-reported outcomes would be assessed separately for THA and TKA procedures, though these results may be combined into a single composite measure for reporting. Therefore, we will refer to a single measure, but acknowledge the possibility of two measures, one for THA patients and one for TKA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n123 Monticone M, Ferrante S, Rocca B, et al. Home-based functional exercises aimed at managing kinesiophobia contribute to improving disability and quality of life of patients undergoing total knee arthroplasty: a randomized controlled trial. </w:t>
      </w:r>
      <w:r>
        <w:rPr>
          <w:rFonts w:ascii="arial" w:eastAsia="arial" w:hAnsi="arial" w:cs="arial"/>
          <w:b w:val="0"/>
          <w:i/>
          <w:strike w:val="0"/>
          <w:noProof w:val="0"/>
          <w:color w:val="000000"/>
          <w:position w:val="0"/>
          <w:sz w:val="20"/>
          <w:u w:val="none"/>
          <w:vertAlign w:val="baseline"/>
        </w:rPr>
        <w:t>Archives of physical medicine and rehabilitation.</w:t>
      </w:r>
      <w:r>
        <w:rPr>
          <w:rFonts w:ascii="arial" w:eastAsia="arial" w:hAnsi="arial" w:cs="arial"/>
          <w:b w:val="0"/>
          <w:i w:val="0"/>
          <w:strike w:val="0"/>
          <w:noProof w:val="0"/>
          <w:color w:val="000000"/>
          <w:position w:val="0"/>
          <w:sz w:val="20"/>
          <w:u w:val="none"/>
          <w:vertAlign w:val="baseline"/>
        </w:rPr>
        <w:t xml:space="preserve"> Feb 2013;94(2):231-239.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n124 Galea MP, Levinger P, Lythgo N, et al. A targeted home- and center-based exercise program for people after total hip replacement: a randomized clinical trial. </w:t>
      </w:r>
      <w:r>
        <w:rPr>
          <w:rFonts w:ascii="arial" w:eastAsia="arial" w:hAnsi="arial" w:cs="arial"/>
          <w:b w:val="0"/>
          <w:i/>
          <w:strike w:val="0"/>
          <w:noProof w:val="0"/>
          <w:color w:val="000000"/>
          <w:position w:val="0"/>
          <w:sz w:val="20"/>
          <w:u w:val="none"/>
          <w:vertAlign w:val="baseline"/>
        </w:rPr>
        <w:t>Archives of physical medicine and rehabilitation.</w:t>
      </w:r>
      <w:r>
        <w:rPr>
          <w:rFonts w:ascii="arial" w:eastAsia="arial" w:hAnsi="arial" w:cs="arial"/>
          <w:b w:val="0"/>
          <w:i w:val="0"/>
          <w:strike w:val="0"/>
          <w:noProof w:val="0"/>
          <w:color w:val="000000"/>
          <w:position w:val="0"/>
          <w:sz w:val="20"/>
          <w:u w:val="none"/>
          <w:vertAlign w:val="baseline"/>
        </w:rPr>
        <w:t xml:space="preserve"> Aug 2008;89(8):1442-1447.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 Moffet H, Collet JP, Shapiro SH, Paradis G, Marquis F, Roy L. Effectiveness of intensive rehabilitation on functional ability and quality of life after first total knee arthroplasty: A single blind randomized controlled trial. </w:t>
      </w:r>
      <w:r>
        <w:rPr>
          <w:rFonts w:ascii="arial" w:eastAsia="arial" w:hAnsi="arial" w:cs="arial"/>
          <w:b w:val="0"/>
          <w:i/>
          <w:strike w:val="0"/>
          <w:noProof w:val="0"/>
          <w:color w:val="000000"/>
          <w:position w:val="0"/>
          <w:sz w:val="20"/>
          <w:u w:val="none"/>
          <w:vertAlign w:val="baseline"/>
        </w:rPr>
        <w:t>Archives of physical medicine and rehabilitation.</w:t>
      </w:r>
      <w:r>
        <w:rPr>
          <w:rFonts w:ascii="arial" w:eastAsia="arial" w:hAnsi="arial" w:cs="arial"/>
          <w:b w:val="0"/>
          <w:i w:val="0"/>
          <w:strike w:val="0"/>
          <w:noProof w:val="0"/>
          <w:color w:val="000000"/>
          <w:position w:val="0"/>
          <w:sz w:val="20"/>
          <w:u w:val="none"/>
          <w:vertAlign w:val="baseline"/>
        </w:rPr>
        <w:t xml:space="preserve"> Apr 2004;85(4):546-556.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measure development, we discovered that in order to complete measure development, we would need access to a nationally representative sample of THA and TKA inpatient surgical procedure patient-reported outcome data set that is also consistently collected at the hospital-level and contains risk variables identified by orthopedists. The rationale for requesting access to a national THA and TKA inpatient surgical procedures patient-reported data source are twofold--(1) a national data source would provide us with hospital-level data representative of the total number of THA and TKA procedures performed in hospitals, as well as representative data on hospital-level case-mix; and (2) access to a national THA and TKA inpatient surgical procedures patient-reported data source would allow us to assess and identify a set of parsimonious data elements that will minimize the data collection burden by patients, physicians and hospitals. We believe access to such data would allow for completion and testing of the current measure under development that can be appropriately used for nationwide hospital performance evaluation. We implemented the initial data collection for this measure initially in the CJR model in order to test and resolve these measurement development issues through the collection of THA and TKA patient-reported outcome data. We proposed to test SHFFT model episodes in mainly the same hospitals as the CJR model as discussed in sectionIII.B.4.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We note that approximately 50 hospitals currently excluded from CJR model participation because they are testing BPCI LEJR episodes would be included in the SHFFT model. Access to this data through the SHFFT and CJR models would address the following:</w:t>
      </w:r>
    </w:p>
    <w:p>
      <w:pPr>
        <w:keepNext w:val="0"/>
        <w:numPr>
          <w:numId w:val="3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Current data sources are not consistently collected nor collected in a uniform process and in a standardized format (that is, data elements are not consistently defined across different data sources). We note that currently available data sources tend to be limited to single hospitals or regional registries which are associated with complex data access sharing requirements.</w:t>
      </w:r>
    </w:p>
    <w:p>
      <w:pPr>
        <w:keepNext w:val="0"/>
        <w:numPr>
          <w:numId w:val="3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Current lack of uniform hospital-level data that can be used in measure development.</w:t>
      </w:r>
    </w:p>
    <w:p>
      <w:pPr>
        <w:keepNext w:val="0"/>
        <w:numPr>
          <w:numId w:val="3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Lack of incentive for physicians and hospitals to collect patient-reported outcome data such as that through the model's financial incentives associated with voluntary data submission. </w:t>
      </w:r>
      <w:r>
        <w:rPr>
          <w:rFonts w:ascii="arial" w:eastAsia="arial" w:hAnsi="arial" w:cs="arial"/>
          <w:b/>
          <w:i w:val="0"/>
          <w:strike w:val="0"/>
          <w:noProof w:val="0"/>
          <w:color w:val="000000"/>
          <w:position w:val="0"/>
          <w:sz w:val="20"/>
          <w:u w:val="none"/>
          <w:vertAlign w:val="baseline"/>
        </w:rPr>
        <w:t> [*392] </w:t>
      </w:r>
    </w:p>
    <w:p>
      <w:pPr>
        <w:keepNext w:val="0"/>
        <w:numPr>
          <w:numId w:val="3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Current lack of a technically simple and feasible mechanism for hospitals to submit patient-reported data to CMS. This model would help create and optimize such a mechanism, potentially enabling future measure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the voluntary data collection that is already underway in most SHFFT model participants who are also participants in the CJR model would provide data from the patient's perspective that is necessary to finalize and test the measure specifications, including the risk model. Access to this nationally representative voluntarily submitted data would enable us to do the following:</w:t>
      </w:r>
    </w:p>
    <w:p>
      <w:pPr>
        <w:keepNext w:val="0"/>
        <w:numPr>
          <w:numId w:val="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a parsimonious set of risk factors that are statistically adequate for risk adjustment for patient-reported outcome.</w:t>
      </w:r>
    </w:p>
    <w:p>
      <w:pPr>
        <w:keepNext w:val="0"/>
        <w:numPr>
          <w:numId w:val="3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Examine the differences in hospital performance related to different components in the patient-reported outcome (such as functional status, pain, etc.) to finalize the statistical modeling methodology for risk adjustment.</w:t>
      </w:r>
    </w:p>
    <w:p>
      <w:pPr>
        <w:keepNext w:val="0"/>
        <w:numPr>
          <w:numId w:val="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Evaluate the reliability of the patient-reported outcome measure.</w:t>
      </w:r>
    </w:p>
    <w:p>
      <w:pPr>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Examine validity of the patient-reported outcome measure upon finalization of the risk adjustment model via potential testing methods such as face validity testing with national experts, comparing the measure results to similar results based on other data sources if feasible, etc.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encourage participation with voluntary data submission of patient-reported outcome data, we are proposed to seek and reward voluntary participation in submission of THA/TKA patient-reported outcome-based measure data as outlined in section III.E.4.c.(2)(viii)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We note that we would not publicly report the THA/TKA voluntary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intend to use a fully tested and completed THA/TKA patient-reported outcome-based measure in CMS models or programs when appropriate. If there is a decision to implement the fully developed THA/TKA patient-reported outcome-based measure, we would propose to adopt the measure through notice and comment rulemaking. We refer reviewers to draft measure specifications in the downloads section of the Measure Methodology Web page at </w:t>
      </w:r>
      <w:hyperlink r:id="rId81" w:history="1">
        <w:r>
          <w:rPr>
            <w:rFonts w:ascii="arial" w:eastAsia="arial" w:hAnsi="arial" w:cs="arial"/>
            <w:b w:val="0"/>
            <w:i/>
            <w:strike w:val="0"/>
            <w:noProof w:val="0"/>
            <w:color w:val="0077CC"/>
            <w:position w:val="0"/>
            <w:sz w:val="20"/>
            <w:u w:val="single"/>
            <w:vertAlign w:val="baseline"/>
          </w:rPr>
          <w:t>http://www.cms.gov/Medicare/Quality-Initiatives-Patient-Assessment-Instruments/HospitalQualityInits/Measure-Methodology.html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discussed, this measure is under development, and we proposed to reward SHFFT model participants that volunteer to submit provider- and patient-level data elements. We note that there is currently little uniformity across hospitals regarding collection of specific provider- and patient- level data elements that are used to assess patient outcomes after THA and TKA inpatient procedures. In the voluntary data submission for the THA/TKA patient-reported outcome-based measure, we are trying to identify a uniform set of provider- and patient-level data elements that are accurate, valid, and reliable pieces of information that can be used in the determination of improvement in various patient characteristics like those previously listed (that is, pain, mobility, and quality of life). Furthermore, in order to minimize provider and hospital burden associated with data collection and submission of provider- and hospital-level data elements, we proposed using a variety of data sources for measure development. We anticipate using the following data sources are:</w:t>
      </w:r>
    </w:p>
    <w:p>
      <w:pPr>
        <w:keepNext w:val="0"/>
        <w:numPr>
          <w:numId w:val="3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Patient-reported data.</w:t>
      </w:r>
    </w:p>
    <w:p>
      <w:pPr>
        <w:keepNext w:val="0"/>
        <w:numPr>
          <w:numId w:val="3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Administrative claims-based data.</w:t>
      </w:r>
    </w:p>
    <w:p>
      <w:pPr>
        <w:keepNext w:val="0"/>
        <w:numPr>
          <w:numId w:val="3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or both physician-reported and electronic health record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this voluntary data submission proposal, we hope to identify a uniform set of provider- and patient-level data elements while also identifying data sources that are the least burdensome for the patients, providers, and hospitals. We proposed to request that SHFFT model participants provide administrative claims-based data whenever possible, in order to minimize burden on patients, providers, and hospitals. Additionally, we proposed to request that SHFFT model participants submit either hospital documentation, chart abstraction, or abstraction from the electronic health records. We proposed to request submission of the following data elements as finalized in the CJR model final rule </w:t>
      </w:r>
      <w:hyperlink r:id="rId21" w:history="1">
        <w:r>
          <w:rPr>
            <w:rFonts w:ascii="arial" w:eastAsia="arial" w:hAnsi="arial" w:cs="arial"/>
            <w:b w:val="0"/>
            <w:i/>
            <w:strike w:val="0"/>
            <w:noProof w:val="0"/>
            <w:color w:val="0077CC"/>
            <w:position w:val="0"/>
            <w:sz w:val="20"/>
            <w:u w:val="single"/>
            <w:vertAlign w:val="baseline"/>
          </w:rPr>
          <w:t>(80 FR 73494</w:t>
        </w:r>
      </w:hyperlink>
      <w:r>
        <w:rPr>
          <w:rFonts w:ascii="arial" w:eastAsia="arial" w:hAnsi="arial" w:cs="arial"/>
          <w:b w:val="0"/>
          <w:i w:val="0"/>
          <w:strike w:val="0"/>
          <w:noProof w:val="0"/>
          <w:color w:val="000000"/>
          <w:position w:val="0"/>
          <w:sz w:val="20"/>
          <w:u w:val="none"/>
          <w:vertAlign w:val="baseline"/>
        </w:rPr>
        <w:t xml:space="preserve"> through 73495):</w:t>
      </w:r>
    </w:p>
    <w:p>
      <w:pPr>
        <w:keepNext w:val="0"/>
        <w:numPr>
          <w:numId w:val="3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Pre-operative Assessments (to be collected between 90 and 0 days prior to THA/TKA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 of Birth.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Race and Ethnicity.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 of admission to anchor hospitalization.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 of eligible THA/TKA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Unique Identifier (Medicare Health Insurance Claim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Hip-specific PROM Instrument for THA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Either VR-12 or PROMIS-Global [collected pre-operatively (90 to 0 days prior to the THA procedure)], the revised list of risk variables [Table 39, collected only pre-operatively (90 to 0 days prior to the THA procedure)], AND either (A) the HOOS Jr. (6 items total) [collected pre-operatively (90 to 0 days prior to the THA procedure)] or (B) the original HOOS Pain Subscale (10 items), AND the original HOOS Function, Daily Living Subscale (17 items, for a total of 27 items) [collected pre-operatively (90 to 0 days prior to the THA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Knee-specific PROM instrument for TKA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Either (A) the HOOS Jr. (6 items total) [collected both pre-operatively (90 to 0 days prior to the THA procedure) and post-operatively (270 to 365 days after the THA procedure] or (B) the original HOOS Pain Subscale (10 items), AND the original HOOS Function, Daily Living Subscale (17 items, for a total of 27 items) [collected both pre-operatively (90 to 0 days prior to the THA procedure) and post-operatively (270 to 365 days after the THA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Body Mass Index (or height in cm and weight in kg).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Pre-operative use of narcotics.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Patient-Reported Pain in Non-operative Lower Extremity Joint.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Patient-Reported Back Pain (Oswestry Index question).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Patient-Reported Health Literacy</w:t>
      </w:r>
    </w:p>
    <w:p>
      <w:pPr>
        <w:keepNext w:val="0"/>
        <w:numPr>
          <w:numId w:val="3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Post-operative Assessments (To be collected between 270 and 365 days following THA/TKA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 of admission to anchor hospitalization.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 of eligible THA/TKA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Medicare Health Insurance Claim Number (Unique Identifier).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Generic PROM Instrument for THA and TKA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Knee-Specific PROM Instrument for TKA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Either VR-12 or PROMIS-Global [collected post-operatively (270 to 365 days after the TKA procedure)], AND either (A) the KOOS Jr. (7 items total) [collected post-operatively (270 to 365 days after the TKA procedure)] OR (B) the original KOOS Stiffness Subscale (2 items), AND the original KOOS Pain Subscale (9 items) AND the original KOOS Function, Daily Living Subscale (17 items, for a total of 28 items) collected post-operatively (270 to 365 days after the TKA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Hip-Specific PROM Instrument for THA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Either VR-12 or PROMIS-Global [collected post-operatively (270 to 365 days after the THA procedure], the revised list of risk variables [Table 39, collected only pre-operatively (90 to 0 </w:t>
      </w:r>
      <w:r>
        <w:rPr>
          <w:rFonts w:ascii="arial" w:eastAsia="arial" w:hAnsi="arial" w:cs="arial"/>
          <w:b/>
          <w:i w:val="0"/>
          <w:strike w:val="0"/>
          <w:noProof w:val="0"/>
          <w:color w:val="000000"/>
          <w:position w:val="0"/>
          <w:sz w:val="20"/>
          <w:u w:val="none"/>
          <w:vertAlign w:val="baseline"/>
        </w:rPr>
        <w:t> [*393] </w:t>
      </w:r>
      <w:r>
        <w:rPr>
          <w:rFonts w:ascii="arial" w:eastAsia="arial" w:hAnsi="arial" w:cs="arial"/>
          <w:b w:val="0"/>
          <w:i w:val="0"/>
          <w:strike w:val="0"/>
          <w:noProof w:val="0"/>
          <w:color w:val="000000"/>
          <w:position w:val="0"/>
          <w:sz w:val="20"/>
          <w:u w:val="none"/>
          <w:vertAlign w:val="baseline"/>
        </w:rPr>
        <w:t xml:space="preserve"> days prior to the THA procedure)], AND either (A) the HOOS Jr. (6 items total) [collected post-operatively (270 to 365 days after the THA procedure] or (B) the original HOOS Pain Subscale (10 items), AND the original HOOS Function, Daily Living Subscale (17 items, for a total of 27 items) [collected post-operatively (270 to 365 days after the THA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note that as the measure continues to undergo development that the list of data elements may be simplified. As stated earlier in this section, we intend to identify a uniform set of provider- and patient-level data elements that are accurate, valid and reliable pieces of information that can be used in the determination of improvement in various patient-reported outcomes like those previously listed (that is, pain, mobility, and quality of life).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and to the extent permitted by, the HIPAA Privacy Rule and other applicable law, we proposed to request that participants submit the data specified in the request, which we would limit to the minimum data necessary for us to conduct quality assessment and improvement activities. Regarding the process for data collection, we proposed the THA/TKA voluntary data will be submitted to and collected by a CMS contractor in a manner and format similar to existing CMS data submission processes. For example, CMS would supply applicable hospitals with a file template and instructions for populating the file template with data and submitting the data; the hospitals will populate the template, log in to a secure portal, and transmit the file to the appropriate CMS contractor; the CMS contractor would also match the submitted data to Medicare administrative claims-based data and calculate successful submission determination for use in assigning the SHFFT composite quality score as described in section III.E.3.e.(3). of this final rule(or validated subscales or abbreviated versions of these instruments). We believe that voluntary participation in the submission of THA/TKA patient-reported outcome-based measure data will provide the minimum information we would need that would inform us on how to continuously improve the currently specified measure in development.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some of these data elements are closely aligned with data elements in e-clinical measures submitted by eligible professionals for the Medicare EHR Incentives Program for Eligible Professionals. Specifically these EHR Incentives Program measures for eligible professionals are--1) Functional Status Assessment for Knee replacement (CMS 66); and 2) Functional Status Assessment for Hip replacement (CMS 56). We refer reviewers to CMS.gov EHR Incentives Program 2014 Eligible Professional June 2015 zip file update at </w:t>
      </w:r>
      <w:hyperlink r:id="rId85" w:history="1">
        <w:r>
          <w:rPr>
            <w:rFonts w:ascii="arial" w:eastAsia="arial" w:hAnsi="arial" w:cs="arial"/>
            <w:b w:val="0"/>
            <w:i/>
            <w:strike w:val="0"/>
            <w:noProof w:val="0"/>
            <w:color w:val="0077CC"/>
            <w:position w:val="0"/>
            <w:sz w:val="20"/>
            <w:u w:val="single"/>
            <w:vertAlign w:val="baseline"/>
          </w:rPr>
          <w:t>http://cms.gov/</w:t>
        </w:r>
      </w:hyperlink>
      <w:hyperlink r:id="rId85" w:history="1">
        <w:r>
          <w:rPr>
            <w:rFonts w:ascii="arial" w:eastAsia="arial" w:hAnsi="arial" w:cs="arial"/>
            <w:b/>
            <w:i/>
            <w:strike w:val="0"/>
            <w:noProof w:val="0"/>
            <w:color w:val="0077CC"/>
            <w:position w:val="0"/>
            <w:sz w:val="20"/>
            <w:u w:val="single"/>
            <w:vertAlign w:val="baseline"/>
          </w:rPr>
          <w:t>Regulations</w:t>
        </w:r>
      </w:hyperlink>
      <w:hyperlink r:id="rId85" w:history="1">
        <w:r>
          <w:rPr>
            <w:rFonts w:ascii="arial" w:eastAsia="arial" w:hAnsi="arial" w:cs="arial"/>
            <w:b w:val="0"/>
            <w:i/>
            <w:strike w:val="0"/>
            <w:noProof w:val="0"/>
            <w:color w:val="0077CC"/>
            <w:position w:val="0"/>
            <w:sz w:val="20"/>
            <w:u w:val="single"/>
            <w:vertAlign w:val="baseline"/>
          </w:rPr>
          <w:t>-and-Guidance/Legislation/EHRIncentivePrograms/Downloads/eCQM_2014_EP_June2015.zip</w:t>
        </w:r>
      </w:hyperlink>
      <w:r>
        <w:rPr>
          <w:rFonts w:ascii="arial" w:eastAsia="arial" w:hAnsi="arial" w:cs="arial"/>
          <w:b w:val="0"/>
          <w:i w:val="0"/>
          <w:strike w:val="0"/>
          <w:noProof w:val="0"/>
          <w:color w:val="000000"/>
          <w:position w:val="0"/>
          <w:sz w:val="20"/>
          <w:u w:val="none"/>
          <w:vertAlign w:val="baseline"/>
        </w:rPr>
        <w:t xml:space="preserve"> for full measure specifications. We believe it is possible that many health IT vendors are already certified to capture, calculate and report these provider-level measures of functional status on total knee and total hip arthroplasty, and therefore we anticipate that the provider-level data elements that are identical to the THA/TKA patient-reported outcome voluntary data elements previously listed may not be as burdensome for the SHFFT model participants to voluntarily submit.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Cohort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measure cohort(s) includes Medicare FFS beneficiaries, aged 65 years or older, admitted to non-federal acute care hospitals for elective primary THA or TKA. We would exclude from the cohort patients with fractures and mechanical complications or those undergoing revision procedures. The THA/TKA patient-reported outcome-based measure cohort is harmonized with the Hip/Knee Complications (NQF #1550) measure and with the cohort definition in the CJR model final rule </w:t>
      </w:r>
      <w:hyperlink r:id="rId21" w:history="1">
        <w:r>
          <w:rPr>
            <w:rFonts w:ascii="arial" w:eastAsia="arial" w:hAnsi="arial" w:cs="arial"/>
            <w:b w:val="0"/>
            <w:i/>
            <w:strike w:val="0"/>
            <w:noProof w:val="0"/>
            <w:color w:val="0077CC"/>
            <w:position w:val="0"/>
            <w:sz w:val="20"/>
            <w:u w:val="single"/>
            <w:vertAlign w:val="baseline"/>
          </w:rPr>
          <w:t>(80 FR 73477).</w:t>
        </w:r>
      </w:hyperlink>
      <w:r>
        <w:rPr>
          <w:rFonts w:ascii="arial" w:eastAsia="arial" w:hAnsi="arial" w:cs="arial"/>
          <w:b w:val="0"/>
          <w:i w:val="0"/>
          <w:strike w:val="0"/>
          <w:noProof w:val="0"/>
          <w:color w:val="000000"/>
          <w:position w:val="0"/>
          <w:sz w:val="20"/>
          <w:u w:val="none"/>
          <w:vertAlign w:val="baseline"/>
        </w:rPr>
        <w:t xml:space="preserve"> THA and TKA patient-reported outcomes will be assessed separately but may be combined into a single composite measure for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 cohort inclusion criteria are all patients undergoing elective primary THA/TKA procedures. Exclusion criteria will consist of patients undergoing non-elective procedures (that is, patients with fractures resulting in THA/TKA), as it is infeasible to routinely capture pre-operative patient-reported assessments in these patients; patients with mechanical complications of prior hip and knee joint procedures and those undergoing revision THA/TKA will also be excluded, as their patient-reported outcomes may be influenced by prior care experiences and therefore may not adequately represent care quality of the hospital performing the revision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Outcome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 will assess change between pre- and post-operative patient-reported outcomes for THA and TKA separately or as a composite measure for both procedures. The measure will use one or more of the following patient-reported outcome instruments (or validated subscales or abbreviated versions of these instruments) to calculate the measure score: The Patient Reported Outcomes Measurement Information Systems (PROMIS)-Global or the Veterans Rand 12 Item Health Survey (VR-12), and the Hip dysfunction and Osteoarthritis Outcome Score/Knee injury and Osteoarthritis Outcome Score (HOOS/KOOS) instruments to measure pre- and postoperative improvement or both. These candidate instruments were selected by a TEP based upon their meaningfulness to patients and clinicians, performance characteristics such as reliability, responsiveness and validity, and their perceived burden to both patients and providers. The pre-operative data collection timeframe will be 90 to 0 days before surgery, and the post-operative data collection timeframe will be 270 to 365 days following surgery. The approach to calculating the improvement or worsening of patient outcomes represented by the pre- and postoperative patient-reported survey results has not yet been determined, but will use one or more surveys to define the improvement or worsening of patient-reported outcomes to reliably identify differences between hospitals of varying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Risk-Adjustment (if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the measure's risk model has yet to be developed. In order to develop the risk model, final risk variable selection for the risk model will involve empirical testing of candidate risk variables as well as consideration of the feasibility and reliability of each variable. The risk model will account for the hospital level response rate as well as measureable patient-level factors relevant to patient-reported outcomes following elective THA/TKA procedures. To the extent feasible, the risk model methodology will adhere to established statistical recommendations. n126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n126 Ash AS, Fiengerg SE., Louis TA, Normand ST, Stukel TA, Utts J. STATISTICAL ISSUES IN ASSESSING HOSPITAL PERFORMANCE, Commissioned by the Committee of Presidents of Statistical Societies. Original report submitted to CMS on November 28, 2011, Revised on January 27, 2012. Available at: </w:t>
      </w:r>
      <w:hyperlink r:id="rId86" w:history="1">
        <w:r>
          <w:rPr>
            <w:rFonts w:ascii="arial" w:eastAsia="arial" w:hAnsi="arial" w:cs="arial"/>
            <w:b w:val="0"/>
            <w:i/>
            <w:strike w:val="0"/>
            <w:noProof w:val="0"/>
            <w:color w:val="0077CC"/>
            <w:position w:val="0"/>
            <w:sz w:val="20"/>
            <w:u w:val="single"/>
            <w:vertAlign w:val="baseline"/>
          </w:rPr>
          <w:t>http://www.cms.gov/Medicare/Quality-Initiatives-Patient-Assessment-Instruments/HospitalQualityInits/Downloads/Statistical-Issues-in-Assessing-Hospital-Performance.pdf</w:t>
        </w:r>
      </w:hyperlink>
      <w:r>
        <w:rPr>
          <w:rFonts w:ascii="arial" w:eastAsia="arial" w:hAnsi="arial" w:cs="arial"/>
          <w:b w:val="0"/>
          <w:i w:val="0"/>
          <w:strike w:val="0"/>
          <w:noProof w:val="0"/>
          <w:color w:val="000000"/>
          <w:position w:val="0"/>
          <w:sz w:val="20"/>
          <w:u w:val="none"/>
          <w:vertAlign w:val="baseline"/>
        </w:rPr>
        <w:t>. Accessed on April 15,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Calculating the Risk-Standardized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the approach to reporting this measure(s) has yet to be </w:t>
      </w:r>
      <w:r>
        <w:rPr>
          <w:rFonts w:ascii="arial" w:eastAsia="arial" w:hAnsi="arial" w:cs="arial"/>
          <w:b/>
          <w:i w:val="0"/>
          <w:strike w:val="0"/>
          <w:noProof w:val="0"/>
          <w:color w:val="000000"/>
          <w:position w:val="0"/>
          <w:sz w:val="20"/>
          <w:u w:val="none"/>
          <w:vertAlign w:val="baseline"/>
        </w:rPr>
        <w:t> [*394] </w:t>
      </w:r>
      <w:r>
        <w:rPr>
          <w:rFonts w:ascii="arial" w:eastAsia="arial" w:hAnsi="arial" w:cs="arial"/>
          <w:b w:val="0"/>
          <w:i w:val="0"/>
          <w:strike w:val="0"/>
          <w:noProof w:val="0"/>
          <w:color w:val="000000"/>
          <w:position w:val="0"/>
          <w:sz w:val="20"/>
          <w:u w:val="none"/>
          <w:vertAlign w:val="baseline"/>
        </w:rPr>
        <w:t xml:space="preserve"> developed. The measure will assess change in patient-reported outcomes between the pre-operative (90 to 0 days prior to the elective primary THA/TKA procedure) and post-operative (270-365 days following the elective primary THA/TKA procedure)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Performance Period for Successful Submission of THA/TKA Patient-Reported-Outcome-Based Voluntary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defining data reporting performance periods for each performance year of the SHFFT model as outlined in Table 40. Performance periods for voluntary reporting of THA/TKA patient-reported outcome-based measure data are those timeframes in which a hospital admission occurs for an eligible THA/TKA voluntary data submission procedure. Data submitted for the first SHFFT model performance year would be for cases that fulfill the measure specifications described in section III.E.4.c.(2)(i)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and would be restricted to the pre-operative data elements on cases performed between September 1, 2016 and June 30, 2017. We note that SHFFT model participants generally would have the opportunity for voluntary data submission on cases performed in this timeframe through the hospitals' participation in the CJR model, which uses the same timeframe for voluntary submission of pre-operative data elements on cases. The proposed timing allows matching of the patient-reported data with relevant administrative claims-based data in order to accurately calculate the percent of eligible elective primary THA/TKA patients for which THA/TKA voluntary data was successfully submitted. For SHFFT model performance year 2, THA/TKA voluntary data reporting would be 10 months of post-operative data for cases performed between September 1, 2016 and June 30, 2017, and 12 months of pre-operative data for cases performed between July 1, 2017 and June 30, 2018. For SHFFT model performance year 3 and subsequent years of the model, the performance periods for submission of voluntary data will consist of 12-month time periods.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4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88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40--Duration of Performance Periods for Pre- and Post-Operative THA/TKA</w:t>
            </w:r>
          </w:p>
        </w:tc>
      </w:tr>
      <w:tr>
        <w:tblPrEx>
          <w:tblW w:w="0" w:type="auto"/>
          <w:jc w:val="center"/>
          <w:tblLayout w:type="fixed"/>
          <w:tblCellMar>
            <w:left w:w="108" w:type="dxa"/>
            <w:right w:w="108" w:type="dxa"/>
          </w:tblCellMar>
        </w:tblPrEx>
        <w:trPr>
          <w:tblHeader/>
          <w:jc w:val="center"/>
        </w:trPr>
        <w:tc>
          <w:tcPr>
            <w:tcW w:w="888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Voluntary Data Submission</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440" w:type="dxa"/>
            <w:tcBorders>
              <w:bottom w:val="nil"/>
              <w:right w:val="nil"/>
            </w:tcBorders>
          </w:tcP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SHFFT model</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Duration of</w:t>
            </w:r>
          </w:p>
        </w:tc>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Patient population</w:t>
            </w:r>
          </w:p>
        </w:tc>
        <w:tc>
          <w:tcPr>
            <w:tcW w:w="30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Requirements for</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 THA/TKA</w:t>
            </w:r>
          </w:p>
        </w:tc>
        <w:tc>
          <w:tcPr>
            <w:tcW w:w="30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successful THA/TKA</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period</w:t>
            </w:r>
          </w:p>
        </w:tc>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voluntary data</w:t>
            </w:r>
          </w:p>
        </w:tc>
        <w:tc>
          <w:tcPr>
            <w:tcW w:w="30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voluntary data</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submission</w:t>
            </w:r>
          </w:p>
        </w:tc>
        <w:tc>
          <w:tcPr>
            <w:tcW w:w="30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submission *</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 months</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 undergoing</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Submit PRE-operative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 THA/TKA</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 elective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1</w:t>
            </w: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performed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procedures for</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September 1,</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60% or &gt;/= 75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 and June 30, 2017</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performed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September 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 and June 30, 2017.</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 months</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 undergoing</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Submit POST-operative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 THA/TKA</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 elective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2</w:t>
            </w: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performed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procedures for</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September 1,</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60% or &gt;/= 75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 and June 30, 2018</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performed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September 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 and June 30, 2017.</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Submit PRE-operative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 elective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procedures for</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70% or &gt;/= 100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performed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 1, 2017 and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2018.</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 months</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 undergoing</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Submit POST-operative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 THA/TKA</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 elective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3</w:t>
            </w: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performed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procedures for</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 1, 2017 and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70% or &gt;/= 100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2019</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performed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 1, 2017 and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2018.</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Submit PRE-operative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 elective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procedures for</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 or &gt;/= 200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performed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 1, 2018 and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2019.</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 months</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 undergoing</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Submit POST-operative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 THA/TKA</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 elective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4</w:t>
            </w: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performed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procedures for</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 1, 2018 and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 or &gt;/= 200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2020</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performed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 1, 2018 and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2019.</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Submit PRE-operative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 elective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procedures for</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 or &gt;/= 200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performed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 1, 2019 and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2020.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 months</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 undergoing</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Submit POST-operative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 THA/TKA</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 elective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5</w:t>
            </w: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performed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procedures for</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 1, 2019 and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 or &gt;/= 200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2021</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performed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 1, 2019 and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2020.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Submit PRE-operative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 elective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procedures for</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 or &gt;/= 200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performed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July 1, 2020 and</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tc>
        <w:tc>
          <w:tcPr>
            <w:tcW w:w="1440" w:type="dxa"/>
            <w:tcBorders>
              <w:right w:val="nil"/>
            </w:tcBorders>
            <w:tcMar>
              <w:top w:w="20" w:type="dxa"/>
              <w:bottom w:w="20" w:type="dxa"/>
            </w:tcMar>
            <w:vAlign w:val="top"/>
          </w:tcPr>
          <w:p/>
        </w:tc>
        <w:tc>
          <w:tcPr>
            <w:tcW w:w="3000" w:type="dxa"/>
            <w:tcBorders>
              <w:right w:val="nil"/>
            </w:tcBorders>
            <w:tcMar>
              <w:top w:w="20" w:type="dxa"/>
              <w:bottom w:w="20" w:type="dxa"/>
            </w:tcMar>
            <w:vAlign w:val="top"/>
          </w:tcPr>
          <w:p/>
        </w:tc>
        <w:tc>
          <w:tcPr>
            <w:tcW w:w="30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2021.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performance periods would enable SHFFT model participants to receive points toward the SHFFT model composite quality score starting in performance year 1, even though complete pre-operative and post-operative data collection requires a minimum 9- through 12-month time period. This 9- through 12-month time period, between the procedure and post-operative data collection, was defined through clinician and stakeholder input and provides for both sufficient elapsed time for maximum clinical benefit of THA/TKA procedures on patient-reported outcomes and accommodates common clinical care patterns in which THA/TKA patients return to their surgeon 1 year after surgery. We emphasize that SHFFT model participants that are also participating </w:t>
      </w:r>
      <w:r>
        <w:rPr>
          <w:rFonts w:ascii="arial" w:eastAsia="arial" w:hAnsi="arial" w:cs="arial"/>
          <w:b/>
          <w:i w:val="0"/>
          <w:strike w:val="0"/>
          <w:noProof w:val="0"/>
          <w:color w:val="000000"/>
          <w:position w:val="0"/>
          <w:sz w:val="20"/>
          <w:u w:val="none"/>
          <w:vertAlign w:val="baseline"/>
        </w:rPr>
        <w:t> [*395] </w:t>
      </w:r>
      <w:r>
        <w:rPr>
          <w:rFonts w:ascii="arial" w:eastAsia="arial" w:hAnsi="arial" w:cs="arial"/>
          <w:b w:val="0"/>
          <w:i w:val="0"/>
          <w:strike w:val="0"/>
          <w:noProof w:val="0"/>
          <w:color w:val="000000"/>
          <w:position w:val="0"/>
          <w:sz w:val="20"/>
          <w:u w:val="none"/>
          <w:vertAlign w:val="baseline"/>
        </w:rPr>
        <w:t xml:space="preserve"> in the CJR model do not need to submit data twice to satisfy the successful submission requirements of both models. If those hospitals successfully submit voluntary data for the CJR model they will be credited with successful submission under the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proposed measure reporting periods for the performance years of the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support for our proposal to assess patient-reported functional status before surgery and again one year after surgery as a mechanism to provide insight into the effectiveness of these procedures.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their support.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the measure reporting periods for the performance years of the SHFFT model. The performance periods will enable SHFFT model participants to receive points toward the SHFFT model composite quality score starting in performance year 1, even though complete pre-operative and post-operative data collection requires a minimum 9- through 12-month time period. This 9- through 12-month time period, between the procedure and post-operative data collection, was defined through clinician and stakeholder input and provides for both sufficient elapsed time for maximum clinical benefit of THA/TKA procedures on patient-reported outcomes and accommodates common clinical care patterns in which THA/TKA patients return to their surgeon 1 year after surgery.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Requirements for Successful Submission of THA/TKA Patient-Reported-Outcome-Based Voluntary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for CMS to assign points in the SHFFT model composite quality score for successful participant submission of THA/TKA voluntary data, requirements to determine if the submitted data will inform measure development have been identified.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 following criteria should be used to determine if a participant has successfully submitted THA/TKA voluntary data. We note that successful THA/TKA voluntary data submission requires completion of all of the following:</w:t>
      </w:r>
    </w:p>
    <w:p>
      <w:pPr>
        <w:keepNext w:val="0"/>
        <w:numPr>
          <w:numId w:val="398"/>
        </w:numPr>
        <w:spacing w:before="24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Submission of the data elements listed in section III.E.4.c.(2)(ii)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p>
    <w:p>
      <w:pPr>
        <w:keepNext w:val="0"/>
        <w:numPr>
          <w:numId w:val="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elements listed in section III.E.4.c.(2)(ii) of this final rule must be submitted on at least 80 percent of their eligible elective primary THA/TKA patients.</w:t>
      </w:r>
    </w:p>
    <w:p>
      <w:pPr>
        <w:keepNext w:val="0"/>
        <w:numPr>
          <w:numId w:val="4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THA/TKA voluntary data submission must occur within 60 days of the end of the most recent data collection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successfully submit THA/TKA voluntary data for performance years 1 through 5, SHFFT model hospitals must submit both pre-operative and post-operative patient reported outcome data on an increasing proportion of eligible elective primary THA/TKA patients over the performance years as described in Table 29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Performance periods for which we proposed to have THA/TKA voluntary data submitted are displayed in Table 29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Table 29 also summarizes the performance periods for pre-operative and post-operative THA/TKA voluntary data. Finally, SHFFT model hospitals volunteering to submit THA/TKA data would be required to submit pre-operative data on all eligible patients and post-operative data elements only on those patients at least 366 days out from surgery. Therefore, hospitals are not expected to collect and submit post-operative THA/TKA voluntary data on patients who are fewer than 366 days from the date of surgery.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previously described a THA/TKA eligible patient in section III.E.4.c.(2)(iii)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This description is important as these patients are those in which we sought submission of voluntary data. We also selected the requirement of submitting an increasing percent of eligible elective primary THA/TKA patients' data starting at 60 percent in performance year 1 and reaching 80 percent by performance years 4 and 5 because this volume of cases would result in a high probability that we will have a have a national sample of THA/TKA patient data representative of each hospital's patient case mix. Having at least 80 percent of the eligible elective primary THA/TKA patients would enable an accurate and reliable assessment of patient-reported outcomes for use in measure development. We note that data used for outcome measure development must adequately represent the population that is anticipated to be measured and in this case that population would be those experiencing elective primary THA/TKA inpatient surgical procedures. Furthermore, we considered setting the requirement at 100 percent of the eligible elective primary THA/TKA patients, but concluded that a requirement of 100 percent data collection may not be feasible for all hospitals or may be excessively burdensome to achieve. Therefore we set the requirement in SHFFT model performance year 4 and beyond at 80 percent of the eligible elective primary THA/TKA patients. We believe acquisition of 80 percent of the eligible elective primary THA/TKA patients will provide representative data for measure development while decreasing patient, provider and hospital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voluntary submission of THA/TKA data is included in § 512.413(b). We sought public comment of these requirements to determine successful voluntary submission of THA/TKA data. We also sought comment specifically on the requirement for data collection on an increasing percentage of eligible patients starting with at least 60 percent in SHFFT model performance year 1 and increasing to 80 percent of the eligible elective primary THA/TKA patients by SHFFT model performance year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support of our proposal to incentivize SHFFT model participants who submit PRO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their support.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 that the instruments used for the proposed Total Hip Arthroplasty (THA)/Total Knee Arthroplasty (TKA) voluntary patient-reported outcome (PRO) measure had not been validated in hip fracture patients, specifically the Hip disability and Osteoarthritis Outcome Score (HOOS), JR.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purpose of the voluntary PRO data collection is to collect the data required to develop a future PRO-based performance measure that will assess hospital quality of care for patients undergoing elective primary THA/TKA procedures. Because only patients with elective primary THA/TKA procedures will complete these survey instruments, there is no need to assess their validity in hip fracture patients. Although we plan to develop a PRO-based measure that excludes patients with fracture-related THA/TKA, we believe quality improvement efforts initiated in response to the future measure are likely to benefit patients undergoing similar elective procedures, such as partial hip arthroplasty and revision THA/TKA procedures, and possibly even non-elective THA/TKA procedures, such as fracture-related THA.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suggested that hospitals will not be able collect PRO data on hip fracture patients </w:t>
      </w:r>
      <w:r>
        <w:rPr>
          <w:rFonts w:ascii="arial" w:eastAsia="arial" w:hAnsi="arial" w:cs="arial"/>
          <w:b/>
          <w:i w:val="0"/>
          <w:strike w:val="0"/>
          <w:noProof w:val="0"/>
          <w:color w:val="000000"/>
          <w:position w:val="0"/>
          <w:sz w:val="20"/>
          <w:u w:val="none"/>
          <w:vertAlign w:val="baseline"/>
        </w:rPr>
        <w:t> [*396] </w:t>
      </w:r>
      <w:r>
        <w:rPr>
          <w:rFonts w:ascii="arial" w:eastAsia="arial" w:hAnsi="arial" w:cs="arial"/>
          <w:b w:val="0"/>
          <w:i w:val="0"/>
          <w:strike w:val="0"/>
          <w:noProof w:val="0"/>
          <w:color w:val="000000"/>
          <w:position w:val="0"/>
          <w:sz w:val="20"/>
          <w:u w:val="none"/>
          <w:vertAlign w:val="baseline"/>
        </w:rPr>
        <w:t xml:space="preserve"> prior to the procedure because hip fractures are acute and unanticipated events.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PRO data will be collected only for patients undergoing elective THA/TKA procedures within hospitals participating in the SHFFT model and not for hip fracture patients.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concern that the proposal that hospitals seeking credit for voluntary submission of PRO data need only submit data on 80 percent of eligible elective primary THA/TKA patients could cause hospitals to report data only on those patients who had positive outcomes. The commenter requested that CMS raise the threshold.</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suggestion to increase the successful criterion based upon the concern that lowering the successful criterion (that is, the patient-reported outcome instrument response and risk variable submission rates required for successful participation) may produce biased data that are not generalizable to all patients undergoing elective primary THA/TKA procedures at a given hospital. We refer the commenter to our response to this concern in the CJR model final rule </w:t>
      </w:r>
      <w:hyperlink r:id="rId21" w:history="1">
        <w:r>
          <w:rPr>
            <w:rFonts w:ascii="arial" w:eastAsia="arial" w:hAnsi="arial" w:cs="arial"/>
            <w:b w:val="0"/>
            <w:i/>
            <w:strike w:val="0"/>
            <w:noProof w:val="0"/>
            <w:color w:val="0077CC"/>
            <w:position w:val="0"/>
            <w:sz w:val="20"/>
            <w:u w:val="single"/>
            <w:vertAlign w:val="baseline"/>
          </w:rPr>
          <w:t>(80 FR 73499-73500).</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suggested that we consider removing the Oswestry Index from the list of required variables to be submitted with pre-operative PRO data. The commenter suggested that the Oswestry Index is lengthy and burdensome to complete and is not relevant for hip and knee surgery.</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a joint statement from multiple surgical specialty societies received during the public comment of the CJR Model Proposed Rule included back pain as a prioritized risk variable for the voluntary PRO and risk variable data collection [cite final rule </w:t>
      </w:r>
      <w:hyperlink r:id="rId21" w:history="1">
        <w:r>
          <w:rPr>
            <w:rFonts w:ascii="arial" w:eastAsia="arial" w:hAnsi="arial" w:cs="arial"/>
            <w:b w:val="0"/>
            <w:i/>
            <w:strike w:val="0"/>
            <w:noProof w:val="0"/>
            <w:color w:val="0077CC"/>
            <w:position w:val="0"/>
            <w:sz w:val="20"/>
            <w:u w:val="single"/>
            <w:vertAlign w:val="baseline"/>
          </w:rPr>
          <w:t>(80 FR 73496)</w:t>
        </w:r>
      </w:hyperlink>
      <w:r>
        <w:rPr>
          <w:rFonts w:ascii="arial" w:eastAsia="arial" w:hAnsi="arial" w:cs="arial"/>
          <w:b w:val="0"/>
          <w:i w:val="0"/>
          <w:strike w:val="0"/>
          <w:noProof w:val="0"/>
          <w:color w:val="000000"/>
          <w:position w:val="0"/>
          <w:sz w:val="20"/>
          <w:u w:val="none"/>
          <w:vertAlign w:val="baseline"/>
        </w:rPr>
        <w:t xml:space="preserve"> and Ayers]. The commenter noted that the Oswestry Index requires responses to a lengthy set of questions. To minimize data collection burden, we have included a single question from the Oswestry Index to capture patient-reported back pain: My BACK PAIN at the moment is (none, very mild, moderate, fairly severe, very severe, worst imaginable). n127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n127 Fairbank JC, Pynsent PB. The Oswestry, Disability Index. Spine 2000 Nov 15;25(22):2940-52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suggested that we reduce the number of responses required to satisfy the HOOS and KOOS completion rate.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response to the commenter's concern regarding the burden of PRO data collection, we have limited the number of PRO survey data elements to a minimum of 16 or 17 questions, depending upon whether the patient is undergoing a THA or TKA procedure, plus the additional risk variable questions, which CMS believes is a reasonable burden for elective procedures intended solely for improving pain and function. In addition, comments received during the public comment of the CJR Model Proposed Rule indicate that high patient-reported outcome data collection rates are feasible. For example, a commenter shared that its institution reported a reliable 85 percent response rate for its PRO data collection </w:t>
      </w:r>
      <w:hyperlink r:id="rId21" w:history="1">
        <w:r>
          <w:rPr>
            <w:rFonts w:ascii="arial" w:eastAsia="arial" w:hAnsi="arial" w:cs="arial"/>
            <w:b w:val="0"/>
            <w:i/>
            <w:strike w:val="0"/>
            <w:noProof w:val="0"/>
            <w:color w:val="0077CC"/>
            <w:position w:val="0"/>
            <w:sz w:val="20"/>
            <w:u w:val="single"/>
            <w:vertAlign w:val="baseline"/>
          </w:rPr>
          <w:t>(80 FR 73500).</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concerns about hospitals' ability to collect post-operative PRO data one year after surgery. One concern was about the difficulty of locating patients due to the possibility of a beneficiary's death, incapacity, a move, or an unwillingness to participate in a survey. One commenter suggested CMS shorten the timeframe for assessing the PROs to 6 months and that CMS provide a file of CJR/SHFFT patients who are deceased at the start of the post-operative data collection period in order to avoid mailing reminders or surveys to the families of deceased beneficiaries. One commenter suggested extending proposed timing of PRO assessment beyond 365 days in case patients do not return to their provider within a year of surgery.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PRO data will be collected only for patients undergoing elective THA/TKA procedures within hospitals participating in the SHFFT model and not for hip fracture patients. The collection time window of 270 to 365 days for post-operative PRO data was specified in conjunction with our TEP and based on recovery trajectories for primary elective THA/TKA patients. Because experts and stakeholders have identified this window as ideal for capturing PROs, we encourage hospitals to develop strategies to collect data within the time window, such as mailing surveys to patients well before they return for their one-year follow up visit.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suggested that PRO performance measures should be used to assess quality of post-acute care services as well as acute care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their suggestion. We will consider this feedback during ongoing measure evaluation.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for voluntary submission of THA/TKA data as included in § 512.413(b). We are also finalizing these requirements for data collection on an increasing percentage of eligible patients starting with at least 60 percent in SHFFT model performance year 1 and increasing to 80 percent of the eligible elective primary THA/TKA patients by SHFFT model performance year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Measure Used for All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Hospital Consumer Assessment of Healthcare Providers and Systems (HCAHPS) Survey (NQF #0166)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HCAHPS Survey (NQF #0166) is a CMS survey and a national, standardized, publicly reported survey of patients' experience of hospital care. The HCAHPS Survey is endorsed by the NQF (#0166); CMS is the measure steward. The HCAHPS Survey, also known as CAHPS(R) Hospital Survey, is a survey instrument and data collection methodology for measuring patients' perceptions of their hospital experience. The HCAHPS Survey asks recently discharged patients 32 questions about aspects of their hospital experience that they are uniquely suited to address. The core of the survey contains 21 items that ask "how often" or whether patients experienced a critical aspect of hospital care. The survey also includes four items to direct patients to relevant questions, five items to adjust for the mix of patients across hospitals, and two items that support congressionally mandated reports </w:t>
      </w:r>
      <w:hyperlink r:id="rId83" w:history="1">
        <w:r>
          <w:rPr>
            <w:rFonts w:ascii="arial" w:eastAsia="arial" w:hAnsi="arial" w:cs="arial"/>
            <w:b w:val="0"/>
            <w:i/>
            <w:strike w:val="0"/>
            <w:noProof w:val="0"/>
            <w:color w:val="0077CC"/>
            <w:position w:val="0"/>
            <w:sz w:val="20"/>
            <w:u w:val="single"/>
            <w:vertAlign w:val="baseline"/>
          </w:rPr>
          <w:t>(77 FR 53513</w:t>
        </w:r>
      </w:hyperlink>
      <w:r>
        <w:rPr>
          <w:rFonts w:ascii="arial" w:eastAsia="arial" w:hAnsi="arial" w:cs="arial"/>
          <w:b w:val="0"/>
          <w:i w:val="0"/>
          <w:strike w:val="0"/>
          <w:noProof w:val="0"/>
          <w:color w:val="000000"/>
          <w:position w:val="0"/>
          <w:sz w:val="20"/>
          <w:u w:val="none"/>
          <w:vertAlign w:val="baseline"/>
        </w:rPr>
        <w:t xml:space="preserve"> through 53515). Eleven HCAHPS measures (seven composite measures, two individual items, and two global items) are currently publicly reported on the Hospital Compare Web site for each hospital participating in the HIQR Program </w:t>
      </w:r>
      <w:hyperlink r:id="rId67" w:history="1">
        <w:r>
          <w:rPr>
            <w:rFonts w:ascii="arial" w:eastAsia="arial" w:hAnsi="arial" w:cs="arial"/>
            <w:b w:val="0"/>
            <w:i/>
            <w:strike w:val="0"/>
            <w:noProof w:val="0"/>
            <w:color w:val="0077CC"/>
            <w:position w:val="0"/>
            <w:sz w:val="20"/>
            <w:u w:val="single"/>
            <w:vertAlign w:val="baseline"/>
          </w:rPr>
          <w:t>(79 FR 50259).</w:t>
        </w:r>
      </w:hyperlink>
      <w:r>
        <w:rPr>
          <w:rFonts w:ascii="arial" w:eastAsia="arial" w:hAnsi="arial" w:cs="arial"/>
          <w:b w:val="0"/>
          <w:i w:val="0"/>
          <w:strike w:val="0"/>
          <w:noProof w:val="0"/>
          <w:color w:val="000000"/>
          <w:position w:val="0"/>
          <w:sz w:val="20"/>
          <w:u w:val="none"/>
          <w:vertAlign w:val="baseline"/>
        </w:rPr>
        <w:t xml:space="preserve"> Each of the seven currently reported composite measures is constructed from two or three survey questions. The seven composites summarize the following:</w:t>
      </w:r>
    </w:p>
    <w:p>
      <w:pPr>
        <w:keepNext w:val="0"/>
        <w:numPr>
          <w:numId w:val="4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well doctors communicate with patients.</w:t>
      </w:r>
    </w:p>
    <w:p>
      <w:pPr>
        <w:keepNext w:val="0"/>
        <w:numPr>
          <w:numId w:val="4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well nurses communicate with patients.</w:t>
      </w:r>
    </w:p>
    <w:p>
      <w:pPr>
        <w:keepNext w:val="0"/>
        <w:numPr>
          <w:numId w:val="4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responsive hospital staff are to patients' needs.</w:t>
      </w:r>
    </w:p>
    <w:p>
      <w:pPr>
        <w:keepNext w:val="0"/>
        <w:numPr>
          <w:numId w:val="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well hospital staff helps patients manage pain.</w:t>
      </w:r>
    </w:p>
    <w:p>
      <w:pPr>
        <w:keepNext w:val="0"/>
        <w:numPr>
          <w:numId w:val="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well the staff communicates with patients about medicines.</w:t>
      </w:r>
    </w:p>
    <w:p>
      <w:pPr>
        <w:keepNext w:val="0"/>
        <w:numPr>
          <w:numId w:val="4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key information is provided at discharge.</w:t>
      </w:r>
    </w:p>
    <w:p>
      <w:pPr>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well the patient was prepared for the transition to post-hospital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Lastly, the two individual items address the cleanliness and quietness of patients' rooms, while the two global </w:t>
      </w:r>
      <w:r>
        <w:rPr>
          <w:rFonts w:ascii="arial" w:eastAsia="arial" w:hAnsi="arial" w:cs="arial"/>
          <w:b/>
          <w:i w:val="0"/>
          <w:strike w:val="0"/>
          <w:noProof w:val="0"/>
          <w:color w:val="000000"/>
          <w:position w:val="0"/>
          <w:sz w:val="20"/>
          <w:u w:val="none"/>
          <w:vertAlign w:val="baseline"/>
        </w:rPr>
        <w:t> [*397] </w:t>
      </w:r>
      <w:r>
        <w:rPr>
          <w:rFonts w:ascii="arial" w:eastAsia="arial" w:hAnsi="arial" w:cs="arial"/>
          <w:b w:val="0"/>
          <w:i w:val="0"/>
          <w:strike w:val="0"/>
          <w:noProof w:val="0"/>
          <w:color w:val="000000"/>
          <w:position w:val="0"/>
          <w:sz w:val="20"/>
          <w:u w:val="none"/>
          <w:vertAlign w:val="baseline"/>
        </w:rPr>
        <w:t xml:space="preserve"> items report patients' overall rating of the hospital, and whether they would recommend the hospital to family and friends. We proposed to adopt a measure in the EPMs that uses HCAHPS survey data to assess quality performance and capture patient experience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Sources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HCAHPS Survey is administered to a random sample of adult inpatients between 48 hours and 6 weeks after discharge. The HCAHPS survey data is collected on inpatient experience, is not limited to Medicare beneficiaries, and does not distinguish between types of Medicare beneficiaries. Patients admitted in the medical, surgical, and maternity care service lines are eligible for the survey; the survey is not restricted to Medicare beneficiaries. Hospitals may use an approved survey vendor or collect their own HCAHPS data (if approved by CMS to do so) (for a detailed discussion see </w:t>
      </w:r>
      <w:hyperlink r:id="rId67" w:history="1">
        <w:r>
          <w:rPr>
            <w:rFonts w:ascii="arial" w:eastAsia="arial" w:hAnsi="arial" w:cs="arial"/>
            <w:b w:val="0"/>
            <w:i/>
            <w:strike w:val="0"/>
            <w:noProof w:val="0"/>
            <w:color w:val="0077CC"/>
            <w:position w:val="0"/>
            <w:sz w:val="20"/>
            <w:u w:val="single"/>
            <w:vertAlign w:val="baseline"/>
          </w:rPr>
          <w:t>79 FR 50259).</w:t>
        </w:r>
      </w:hyperlink>
      <w:r>
        <w:rPr>
          <w:rFonts w:ascii="arial" w:eastAsia="arial" w:hAnsi="arial" w:cs="arial"/>
          <w:b w:val="0"/>
          <w:i w:val="0"/>
          <w:strike w:val="0"/>
          <w:noProof w:val="0"/>
          <w:color w:val="000000"/>
          <w:position w:val="0"/>
          <w:sz w:val="20"/>
          <w:u w:val="none"/>
          <w:vertAlign w:val="baseline"/>
        </w:rPr>
        <w:t xml:space="preserve"> To accommodate hospitals, the HCAHPS Survey can be implemented using one of the following four different survey modes:</w:t>
      </w:r>
    </w:p>
    <w:p>
      <w:pPr>
        <w:keepNext w:val="0"/>
        <w:numPr>
          <w:numId w:val="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Mail.</w:t>
      </w:r>
    </w:p>
    <w:p>
      <w:pPr>
        <w:keepNext w:val="0"/>
        <w:numPr>
          <w:numId w:val="4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Telephone.</w:t>
      </w:r>
    </w:p>
    <w:p>
      <w:pPr>
        <w:keepNext w:val="0"/>
        <w:numPr>
          <w:numId w:val="4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Mail with telephone follow-up.</w:t>
      </w:r>
    </w:p>
    <w:p>
      <w:pPr>
        <w:keepNext w:val="0"/>
        <w:numPr>
          <w:numId w:val="4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Active Interactive Voice Recognition (IVR).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Regardless of the mode used, hospitals are required to make multiple attempts to contact patients. Hospitals may use the HCAHPS Survey alone, or include additional questions after the 21 core items discussed previously. Hospitals must survey patients throughout each month of the year, and hospitals participating in the HIQR Program must target at least 300 completed surveys over 4 calendar quarters in order to attain the reliability criterion CMS as set for publicly reported HCAHPS scores (see </w:t>
      </w:r>
      <w:hyperlink r:id="rId67" w:history="1">
        <w:r>
          <w:rPr>
            <w:rFonts w:ascii="arial" w:eastAsia="arial" w:hAnsi="arial" w:cs="arial"/>
            <w:b w:val="0"/>
            <w:i/>
            <w:strike w:val="0"/>
            <w:noProof w:val="0"/>
            <w:color w:val="0077CC"/>
            <w:position w:val="0"/>
            <w:sz w:val="20"/>
            <w:u w:val="single"/>
            <w:vertAlign w:val="baseline"/>
          </w:rPr>
          <w:t>79 FR 50259).</w:t>
        </w:r>
      </w:hyperlink>
      <w:r>
        <w:rPr>
          <w:rFonts w:ascii="arial" w:eastAsia="arial" w:hAnsi="arial" w:cs="arial"/>
          <w:b w:val="0"/>
          <w:i w:val="0"/>
          <w:strike w:val="0"/>
          <w:noProof w:val="0"/>
          <w:color w:val="000000"/>
          <w:position w:val="0"/>
          <w:sz w:val="20"/>
          <w:u w:val="none"/>
          <w:vertAlign w:val="baseline"/>
        </w:rPr>
        <w:t xml:space="preserve"> The survey itself and the protocols for sampling, data collection, coding, and file submission can be found in the current HCAHPS Quality Assurance Guidelines manual, available on the HCAHPS Web site located at: </w:t>
      </w:r>
      <w:hyperlink r:id="rId87" w:history="1">
        <w:r>
          <w:rPr>
            <w:rFonts w:ascii="arial" w:eastAsia="arial" w:hAnsi="arial" w:cs="arial"/>
            <w:b w:val="0"/>
            <w:i/>
            <w:strike w:val="0"/>
            <w:noProof w:val="0"/>
            <w:color w:val="0077CC"/>
            <w:position w:val="0"/>
            <w:sz w:val="20"/>
            <w:u w:val="single"/>
            <w:vertAlign w:val="baseline"/>
          </w:rPr>
          <w:t>http://www.hcahpsonline.org</w:t>
        </w:r>
      </w:hyperlink>
      <w:r>
        <w:rPr>
          <w:rFonts w:ascii="arial" w:eastAsia="arial" w:hAnsi="arial" w:cs="arial"/>
          <w:b w:val="0"/>
          <w:i w:val="0"/>
          <w:strike w:val="0"/>
          <w:noProof w:val="0"/>
          <w:color w:val="000000"/>
          <w:position w:val="0"/>
          <w:sz w:val="20"/>
          <w:u w:val="none"/>
          <w:vertAlign w:val="baseline"/>
        </w:rPr>
        <w:t xml:space="preserve">. (The HCAHPS Survey is available in several languages, and all official translations of the HCAHPS Survey instrument are available in the current HCAHPS Quality Assurance Guidelines at </w:t>
      </w:r>
      <w:hyperlink r:id="rId88" w:history="1">
        <w:r>
          <w:rPr>
            <w:rFonts w:ascii="arial" w:eastAsia="arial" w:hAnsi="arial" w:cs="arial"/>
            <w:b w:val="0"/>
            <w:i/>
            <w:strike w:val="0"/>
            <w:noProof w:val="0"/>
            <w:color w:val="0077CC"/>
            <w:position w:val="0"/>
            <w:sz w:val="20"/>
            <w:u w:val="single"/>
            <w:vertAlign w:val="baseline"/>
          </w:rPr>
          <w:t>http://www.hcahpsonline.org/qaguidelines.aspx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Cohort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Hospitals, or their survey vendors, submit HCAHPS data in calendar quarters (3 months). Consistent with other quality reporting programs, we proposed that HCAHPS scores would be publicly reported on Hospital Compare based on 4 consecutive quarters of data. For each public reporting, the oldest quarter of data is rolled off, and the newest quarter is rolled on (see </w:t>
      </w:r>
      <w:hyperlink r:id="rId67" w:history="1">
        <w:r>
          <w:rPr>
            <w:rFonts w:ascii="arial" w:eastAsia="arial" w:hAnsi="arial" w:cs="arial"/>
            <w:b w:val="0"/>
            <w:i/>
            <w:strike w:val="0"/>
            <w:noProof w:val="0"/>
            <w:color w:val="0077CC"/>
            <w:position w:val="0"/>
            <w:sz w:val="20"/>
            <w:u w:val="single"/>
            <w:vertAlign w:val="baseline"/>
          </w:rPr>
          <w:t>79 FR 50259).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HCAHPS Survey is broadly intended for patients of all payer types who meet the following criteria:</w:t>
      </w:r>
    </w:p>
    <w:p>
      <w:pPr>
        <w:keepNext w:val="0"/>
        <w:numPr>
          <w:numId w:val="4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Eighteen years or older at the time of admission.</w:t>
      </w:r>
    </w:p>
    <w:p>
      <w:pPr>
        <w:keepNext w:val="0"/>
        <w:numPr>
          <w:numId w:val="4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Admission includes at least 1 overnight stay in the hospital.</w:t>
      </w:r>
    </w:p>
    <w:p>
      <w:pPr>
        <w:keepNext w:val="0"/>
        <w:numPr>
          <w:numId w:val="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Non-psychiatric MS-DRG/principal diagnosis at discharge.</w:t>
      </w:r>
    </w:p>
    <w:p>
      <w:pPr>
        <w:keepNext w:val="0"/>
        <w:numPr>
          <w:numId w:val="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Alive at the time of discharge.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few categories of otherwise eligible patients who are excluded from the sample frame as follows:</w:t>
      </w:r>
    </w:p>
    <w:p>
      <w:pPr>
        <w:keepNext w:val="0"/>
        <w:numPr>
          <w:numId w:val="4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"No-Publicity" patients--Patients who request that they not be contacted.</w:t>
      </w:r>
    </w:p>
    <w:p>
      <w:pPr>
        <w:keepNext w:val="0"/>
        <w:numPr>
          <w:numId w:val="4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Court/Law enforcement patients (that is, prisoners); patients residing in halfway houses are included.</w:t>
      </w:r>
    </w:p>
    <w:p>
      <w:pPr>
        <w:keepNext w:val="0"/>
        <w:numPr>
          <w:numId w:val="4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with a foreign home address (U.S. territories--Virgin Islands, Puerto Rico, Guam, American Samoa, and Northern Mariana Islands are not considered foreign addresses and are not excluded).</w:t>
      </w:r>
    </w:p>
    <w:p>
      <w:pPr>
        <w:keepNext w:val="0"/>
        <w:numPr>
          <w:numId w:val="4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discharged to hospice care (Hospice-home or Hospice-medical facility).</w:t>
      </w:r>
    </w:p>
    <w:p>
      <w:pPr>
        <w:keepNext w:val="0"/>
        <w:numPr>
          <w:numId w:val="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Patients who are excluded because of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discharged to nursing homes and skilled nursing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HCAHPS Survey is intended for short-term, acute care hospitals. Both IPPS and Critical Access Hospitals participate in the survey; specialty hospitals, psychiatric hospitals and children's hospitals do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Case-Mix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that HCAHPS scores allow fair and accurate comparisons among hospitals, CMS adjusts for factors that are not directly related to hospital performance but which affect how patients answer survey items. This includes the mode of survey administration and characteristics of patients that are out of a hospital's control. Patient-mix adjustments (also known as case-mix adjustment) control for patient characteristics that affect ratings and that are differentially distributed across hospitals. Most of the patient-mix items are included in the "About You" section of the survey, while others are taken from hospital administrative records. Based on the HCAHPS mode experiment, and consistent with previous studies of patient-mix adjustment in HCAHPS and in previous hospital patient surveys, we employ the following variables in the patient-mix adjustment model:</w:t>
      </w:r>
    </w:p>
    <w:p>
      <w:pPr>
        <w:keepNext w:val="0"/>
        <w:numPr>
          <w:numId w:val="4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Self-reported general health status (specified as a linear variable).</w:t>
      </w:r>
    </w:p>
    <w:p>
      <w:pPr>
        <w:keepNext w:val="0"/>
        <w:numPr>
          <w:numId w:val="4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Education (specified as a linear variable).</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Type of service (medical, surgical, or maternity care).</w:t>
      </w:r>
    </w:p>
    <w:p>
      <w:pPr>
        <w:keepNext w:val="0"/>
        <w:numPr>
          <w:numId w:val="4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 (specified as a categorical variable).</w:t>
      </w:r>
    </w:p>
    <w:p>
      <w:pPr>
        <w:keepNext w:val="0"/>
        <w:numPr>
          <w:numId w:val="4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Admission through emergency room (discontinued in 2010).</w:t>
      </w:r>
    </w:p>
    <w:p>
      <w:pPr>
        <w:keepNext w:val="0"/>
        <w:numPr>
          <w:numId w:val="4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Lag time between discharge and survey.</w:t>
      </w:r>
    </w:p>
    <w:p>
      <w:pPr>
        <w:keepNext w:val="0"/>
        <w:numPr>
          <w:numId w:val="4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 by service line interaction.</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Language other than English spoken at home.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the data are adjusted for patient mix, there is a fixed adjustment for the mode of survey administration (mail, telephone, mail with telephone follow-up, and active Interactive Voice Response). Information on patient-mix adjustment (risk adjustment) and survey mode adjustment of HCAHPS scores can be found at </w:t>
      </w:r>
      <w:hyperlink r:id="rId89" w:history="1">
        <w:r>
          <w:rPr>
            <w:rFonts w:ascii="arial" w:eastAsia="arial" w:hAnsi="arial" w:cs="arial"/>
            <w:b w:val="0"/>
            <w:i/>
            <w:strike w:val="0"/>
            <w:noProof w:val="0"/>
            <w:color w:val="0077CC"/>
            <w:position w:val="0"/>
            <w:sz w:val="20"/>
            <w:u w:val="single"/>
            <w:vertAlign w:val="baseline"/>
          </w:rPr>
          <w:t>http://www.hcahpsonline.org/modeadjustment.aspx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HCAHPS Scoring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HCAHPS Survey (NQF #0166) measure, we identified the methodology used to assess hospitals in the HIQR Program as reasonable for use in the EPMs since this is a survey that many hospitals and patients are familiar with. In determining HCAHPS performance, we proposed to utilize the HCAHPS Linear Mean Roll-up (HLMR) score. The HLMR summarizes performance across 10 of the 11 publicly reported HCAHPS measures for IPPS hospitals with 100 or more completed HCAHPS surveys in a 4-quarter period. All of the publicly reported measures are included except for how well hospital staff helps patients manage pain since revisions are under consideration for that measure. The HLMR is calculated by taking the average of the linear mean scores (LMS) for each of the 10 publicly reported HCAHPS measures. We note that the HLMR is not current publicly reported but may be calculated using the LMS, which are publicly reported in the Patient Survey Results in the Hospital Compare downloadable database found on Data.Medicare.gov at </w:t>
      </w:r>
      <w:hyperlink r:id="rId90" w:history="1">
        <w:r>
          <w:rPr>
            <w:rFonts w:ascii="arial" w:eastAsia="arial" w:hAnsi="arial" w:cs="arial"/>
            <w:b w:val="0"/>
            <w:i/>
            <w:strike w:val="0"/>
            <w:noProof w:val="0"/>
            <w:color w:val="0077CC"/>
            <w:position w:val="0"/>
            <w:sz w:val="20"/>
            <w:u w:val="single"/>
            <w:vertAlign w:val="baseline"/>
          </w:rPr>
          <w:t>https://data.medicare.gov/data/hospital-compare?sort=relevance&amp;tag=patient%20survey%20results</w:t>
        </w:r>
      </w:hyperlink>
      <w:r>
        <w:rPr>
          <w:rFonts w:ascii="arial" w:eastAsia="arial" w:hAnsi="arial" w:cs="arial"/>
          <w:b w:val="0"/>
          <w:i w:val="0"/>
          <w:strike w:val="0"/>
          <w:noProof w:val="0"/>
          <w:color w:val="000000"/>
          <w:position w:val="0"/>
          <w:sz w:val="20"/>
          <w:u w:val="none"/>
          <w:vertAlign w:val="baseline"/>
        </w:rPr>
        <w:t xml:space="preserve">. The LMS, which was created for the calculation of HCAHPS Star Ratings, summarizes all survey responses for each HCAHPS measure; a detailed description of LMS can be found in HCAHPS Star Rating </w:t>
      </w:r>
      <w:r>
        <w:rPr>
          <w:rFonts w:ascii="arial" w:eastAsia="arial" w:hAnsi="arial" w:cs="arial"/>
          <w:b/>
          <w:i w:val="0"/>
          <w:strike w:val="0"/>
          <w:noProof w:val="0"/>
          <w:color w:val="000000"/>
          <w:position w:val="0"/>
          <w:sz w:val="20"/>
          <w:u w:val="none"/>
          <w:vertAlign w:val="baseline"/>
        </w:rPr>
        <w:t> [*398] </w:t>
      </w:r>
      <w:r>
        <w:rPr>
          <w:rFonts w:ascii="arial" w:eastAsia="arial" w:hAnsi="arial" w:cs="arial"/>
          <w:b w:val="0"/>
          <w:i w:val="0"/>
          <w:strike w:val="0"/>
          <w:noProof w:val="0"/>
          <w:color w:val="000000"/>
          <w:position w:val="0"/>
          <w:sz w:val="20"/>
          <w:u w:val="none"/>
          <w:vertAlign w:val="baseline"/>
        </w:rPr>
        <w:t xml:space="preserve"> Technical Notes, at </w:t>
      </w:r>
      <w:hyperlink r:id="rId91" w:history="1">
        <w:r>
          <w:rPr>
            <w:rFonts w:ascii="arial" w:eastAsia="arial" w:hAnsi="arial" w:cs="arial"/>
            <w:b w:val="0"/>
            <w:i/>
            <w:strike w:val="0"/>
            <w:noProof w:val="0"/>
            <w:color w:val="0077CC"/>
            <w:position w:val="0"/>
            <w:sz w:val="20"/>
            <w:u w:val="single"/>
            <w:vertAlign w:val="baseline"/>
          </w:rPr>
          <w:t>http://www.hcahpsonline.org/StarRatings.aspx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EPM participants must have at least 100 completed HCAHPS surveys over a given 4-quarter period to be evaluated on HCAHPS for the EPMs. The responses to the survey items used in each of the 10 HCAHPS measures described previously are combined and converted to a 0 to 100 linear-scaled score as follows:</w:t>
      </w:r>
    </w:p>
    <w:p>
      <w:pPr>
        <w:keepNext w:val="0"/>
        <w:numPr>
          <w:numId w:val="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"Never" = 0; "Sometimes" = 331/3; "Usually" = 662/3; and "Always" = 100 (For HCAHPS Survey items 1-9, 11, and 16-17).</w:t>
      </w:r>
    </w:p>
    <w:p>
      <w:pPr>
        <w:keepNext w:val="0"/>
        <w:numPr>
          <w:numId w:val="4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 0; and "Yes" = 100 (For items 19 and 20).</w:t>
      </w:r>
    </w:p>
    <w:p>
      <w:pPr>
        <w:keepNext w:val="0"/>
        <w:numPr>
          <w:numId w:val="4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Overall Rating "0" = 0; Overall Rating "1" = 10; Overall Rating "2" = 20; . . .; Overall Rating "10" = 100 item 21).</w:t>
      </w:r>
    </w:p>
    <w:p>
      <w:pPr>
        <w:keepNext w:val="0"/>
        <w:numPr>
          <w:numId w:val="4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"Definitely No" = 0; "Probably No" = 331/3; "Probably Yes" = 662/3; and "Definitely Yes" = 100 (For item 22).</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"Strongly Disagree" = 0; "Disagree" = 331/3; "Agree" = 662/3; and "Strongly Agree" = 100 (For items 23, 24, and 25).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linear-scaled scores are then adjusted for patient mix, survey mode, and quarterly weighting to create the LMS, see </w:t>
      </w:r>
      <w:hyperlink r:id="rId92" w:history="1">
        <w:r>
          <w:rPr>
            <w:rFonts w:ascii="arial" w:eastAsia="arial" w:hAnsi="arial" w:cs="arial"/>
            <w:b w:val="0"/>
            <w:i/>
            <w:strike w:val="0"/>
            <w:noProof w:val="0"/>
            <w:color w:val="0077CC"/>
            <w:position w:val="0"/>
            <w:sz w:val="20"/>
            <w:u w:val="single"/>
            <w:vertAlign w:val="baseline"/>
          </w:rPr>
          <w:t>http://www.hcahpsonline.org/files/HCAHPS_Stars_Tech_Notes_Apr2015.pdf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HLMR summarizes performance across the 10 HCAHPS measures by taking an average of each of the LMS of the 10 HCAHPS measures, using a weight of 1.0 for each of the 6 HCAHPS composite measures, and a weight of 0.5 for each of the single item measures (Cleanliness, Quietness, Overall Hospital Rating and Recommend the Hospital). The HLMR is calculated to the second decimal place. Once the HLMR score is determined for an EPM participant, the hospital's percentile of performance can be determined by applying the aforementioned methods to the linear mean scores for all IPPS hospitals with 100 or more completed surveys in a 4-quarter period. As previously noted, linear mean scores are publicly reported, but HLMRs are not. An EPM model participant can estimate the national distribution of HLMRs and the performance percentiles by using the Patient Survey Results in the Hospital Compare downloadable database found on </w:t>
      </w:r>
      <w:r>
        <w:rPr>
          <w:rFonts w:ascii="arial" w:eastAsia="arial" w:hAnsi="arial" w:cs="arial"/>
          <w:b w:val="0"/>
          <w:i/>
          <w:strike w:val="0"/>
          <w:noProof w:val="0"/>
          <w:color w:val="000000"/>
          <w:position w:val="0"/>
          <w:sz w:val="20"/>
          <w:u w:val="none"/>
          <w:vertAlign w:val="baseline"/>
        </w:rPr>
        <w:t>Data.Medicare.gov</w:t>
      </w:r>
      <w:r>
        <w:rPr>
          <w:rFonts w:ascii="arial" w:eastAsia="arial" w:hAnsi="arial" w:cs="arial"/>
          <w:b w:val="0"/>
          <w:i w:val="0"/>
          <w:strike w:val="0"/>
          <w:noProof w:val="0"/>
          <w:color w:val="000000"/>
          <w:position w:val="0"/>
          <w:sz w:val="20"/>
          <w:u w:val="none"/>
          <w:vertAlign w:val="baseline"/>
        </w:rPr>
        <w:t xml:space="preserve">, </w:t>
      </w:r>
      <w:hyperlink r:id="rId90" w:history="1">
        <w:r>
          <w:rPr>
            <w:rFonts w:ascii="arial" w:eastAsia="arial" w:hAnsi="arial" w:cs="arial"/>
            <w:b w:val="0"/>
            <w:i/>
            <w:strike w:val="0"/>
            <w:noProof w:val="0"/>
            <w:color w:val="0077CC"/>
            <w:position w:val="0"/>
            <w:sz w:val="20"/>
            <w:u w:val="single"/>
            <w:vertAlign w:val="baseline"/>
          </w:rPr>
          <w:t>https://data.medicare.gov/data/hospital-compare?sort=relevance&amp;tag=patient%20survey%20results</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to calculate the HLMRs for all IPPS hospitals with 100 or more completed surveys in a 4-quarter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Calculating the Rate and Performance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be consistent with the HIQR Program, which uses 4 quarters of data for HCAHPS </w:t>
      </w:r>
      <w:hyperlink r:id="rId67" w:history="1">
        <w:r>
          <w:rPr>
            <w:rFonts w:ascii="arial" w:eastAsia="arial" w:hAnsi="arial" w:cs="arial"/>
            <w:b w:val="0"/>
            <w:i/>
            <w:strike w:val="0"/>
            <w:noProof w:val="0"/>
            <w:color w:val="0077CC"/>
            <w:position w:val="0"/>
            <w:sz w:val="20"/>
            <w:u w:val="single"/>
            <w:vertAlign w:val="baseline"/>
          </w:rPr>
          <w:t>(79 FR 50259).</w:t>
        </w:r>
      </w:hyperlink>
      <w:r>
        <w:rPr>
          <w:rFonts w:ascii="arial" w:eastAsia="arial" w:hAnsi="arial" w:cs="arial"/>
          <w:b w:val="0"/>
          <w:i w:val="0"/>
          <w:strike w:val="0"/>
          <w:noProof w:val="0"/>
          <w:color w:val="000000"/>
          <w:position w:val="0"/>
          <w:sz w:val="20"/>
          <w:u w:val="none"/>
          <w:vertAlign w:val="baseline"/>
        </w:rPr>
        <w:t xml:space="preserve"> For the EPMs, we proposed to use the most recently available HCAHPS 4-quarter roll-up to calculate the HLMR score for the initial year of the EPMs. The proposed measure performance period is discussed in section III.E.5.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and summarizes measure performance periods for performance years 1 through 5 of the EPM performance years. We note that improvement on the HCAHPS Survey (#0166) measure would be determined from the measure performance period available for the year immediately preceding the EPM model performance year. We sought comment on this proposal to include the HCAHPS Survey (NQF #0166) measure in the EPMs to assess quality performance and capture patient experience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did not support or were skeptical of the inclusion of HCAHPS because it is an overall measure of all patients receiving hospital services that is not specific to heart attacks, bypass surgery, or joint replacements. Therefore, HCAHPS does not reflect quality for targeted episodes of care. In addition, the measure is too narrow because it only encompasses patient experience during the inpatient hospital stay and does not capture information about patients' experience later in the episode of care. For these reasons, commenters did not believe that the measure captures the correct information, and it will be of limited value to clinicians for quality improvement.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concerns from the commenters about the broad patient population covered by this measure. Although the HCAHPS Survey encompasses a broader range of patients than the model episode definitions, we are not aware of evidence that such patients' experience of care differs markedly from those of the larger group of eligible patients after patient-mix adjustment for service line (surgery) and age have been applied. Having all patients responding to the survey helps to inform hospitals on areas for improvement. From a survey implementation standpoint, it is not feasible to target only Medicare beneficiaries who had a specific surgery, or to calculate the HCAHPS Linear Mean Roll-up score on the basis of particular surgical patients. In addition to complicating the administration of the survey, the number of completed surveys from such a narrow set of patients would be, for many hospitals, too small to support reliable measurement or comparison. The inclusion of the HCAHPS Survey measure (NQF #0166) as currently implemented and the HLMR derived from it in these models will present participating hospitals with a further incentive to improve experience of care for all patients. HCAHPS, which was launched in 2006 and has been continuously administered ever since, is familiar to over 4,000 hospitals. Modifications to the standardized implementation protocols would be disruptive to the other programs that employ HCAHPS data, such as the HIQR Program and Hospital Value-Based Purchasing program. We believe through the HCAHPS Survey measure (NQF #0166), CMS programs continue to highlight the importance of assessing patient experience of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recognized patient satisfaction as an important component of quality and supported the use of HCAHPS as a way to measure patient feedback. One commenter appreciated CMS not creating a bar that is too high for the quality measures included in the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commenters for their support.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were concerned about compounding penalties for the CJR participants that are also selected for participation in the SHFFT model. Commenters further noted that the HCAHPS survey is already a significant part of quality measurement through its inclusion in the Hospital Value Based Purchasing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concerns regarding the inclusion of HCAHPS in multiple CMS programs. However, this measure aligns with our priorities to reduce AMI and CABG mortality and complications while improving patient experience, as well as our priorities to reduce major LEJR surgery complications while improving patient experience for SHFFT model beneficiaries, like those in the CJR model. Through HCAHPS, CMS programs continue to highlight the importance of assessing patient experience of care. Furthermore, this approach allows hospitals to align with other CMS hospital quality programs, including programs that tie payment to performance such as the HVBP Program, and streamlines EPM measures for EPM participants testing more than one EPM.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reduce the </w:t>
      </w:r>
      <w:r>
        <w:rPr>
          <w:rFonts w:ascii="arial" w:eastAsia="arial" w:hAnsi="arial" w:cs="arial"/>
          <w:b/>
          <w:i w:val="0"/>
          <w:strike w:val="0"/>
          <w:noProof w:val="0"/>
          <w:color w:val="000000"/>
          <w:position w:val="0"/>
          <w:sz w:val="20"/>
          <w:u w:val="none"/>
          <w:vertAlign w:val="baseline"/>
        </w:rPr>
        <w:t> [*399] </w:t>
      </w:r>
      <w:r>
        <w:rPr>
          <w:rFonts w:ascii="arial" w:eastAsia="arial" w:hAnsi="arial" w:cs="arial"/>
          <w:b w:val="0"/>
          <w:i w:val="0"/>
          <w:strike w:val="0"/>
          <w:noProof w:val="0"/>
          <w:color w:val="000000"/>
          <w:position w:val="0"/>
          <w:sz w:val="20"/>
          <w:u w:val="none"/>
          <w:vertAlign w:val="baseline"/>
        </w:rPr>
        <w:t xml:space="preserve"> weight percentage assigned to HCAHPS. One commenter suggested that HCAHPS should only be 15 percent of the overall quality score, whereas another commenter recommended a reduced, phased-in weighting at least for years 1 and 2.</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that the proposed weight percentage assigned to HCAHPS is appropriate and a phased-in weighting is not necessary. Hospitals participating in these models have had several years of experience with the HCAHPS survey. Since July 2007, hospitals subject to the IPPS annual payment update provisions have been required to collect and submit HCAHPS data in order to receive their full annual payment update </w:t>
      </w:r>
      <w:r>
        <w:rPr>
          <w:rFonts w:ascii="arial" w:eastAsia="arial" w:hAnsi="arial" w:cs="arial"/>
          <w:b w:val="0"/>
          <w:i/>
          <w:strike w:val="0"/>
          <w:noProof w:val="0"/>
          <w:color w:val="000000"/>
          <w:position w:val="0"/>
          <w:sz w:val="20"/>
          <w:u w:val="none"/>
          <w:vertAlign w:val="baseline"/>
        </w:rPr>
        <w:t>(71 FR 48037).</w:t>
      </w:r>
      <w:r>
        <w:rPr>
          <w:rFonts w:ascii="arial" w:eastAsia="arial" w:hAnsi="arial" w:cs="arial"/>
          <w:b w:val="0"/>
          <w:i w:val="0"/>
          <w:strike w:val="0"/>
          <w:noProof w:val="0"/>
          <w:color w:val="000000"/>
          <w:position w:val="0"/>
          <w:sz w:val="20"/>
          <w:u w:val="none"/>
          <w:vertAlign w:val="baseline"/>
        </w:rPr>
        <w:t xml:space="preserve"> Non-IPPS hospitals, such as CAHs, may voluntarily participate in HCAHPS. The incentive for IPPS hospitals to improve patient experience was further strengthened by the Patient Protection and Affordable Care Act of 2010 (</w:t>
      </w:r>
      <w:r>
        <w:rPr>
          <w:rFonts w:ascii="arial" w:eastAsia="arial" w:hAnsi="arial" w:cs="arial"/>
          <w:b w:val="0"/>
          <w:i/>
          <w:strike w:val="0"/>
          <w:noProof w:val="0"/>
          <w:color w:val="000000"/>
          <w:position w:val="0"/>
          <w:sz w:val="20"/>
          <w:u w:val="none"/>
          <w:vertAlign w:val="baseline"/>
        </w:rPr>
        <w:t>Pub. L. 111-148</w:t>
      </w:r>
      <w:r>
        <w:rPr>
          <w:rFonts w:ascii="arial" w:eastAsia="arial" w:hAnsi="arial" w:cs="arial"/>
          <w:b w:val="0"/>
          <w:i w:val="0"/>
          <w:strike w:val="0"/>
          <w:noProof w:val="0"/>
          <w:color w:val="000000"/>
          <w:position w:val="0"/>
          <w:sz w:val="20"/>
          <w:u w:val="none"/>
          <w:vertAlign w:val="baseline"/>
        </w:rPr>
        <w:t xml:space="preserve">), which specifically included HCAHPS performance in the calculation of the value-based incentive payment in the Hospital Value-Based Purchasing program beginning with October 2012 discharges. With respect to the HCAHPS Linear Mean Roll-up score measure that we proposed for the model, hospitals began receiving HCAHPS Summary Star Rating in their December 2014 </w:t>
      </w:r>
      <w:r>
        <w:rPr>
          <w:rFonts w:ascii="arial" w:eastAsia="arial" w:hAnsi="arial" w:cs="arial"/>
          <w:b w:val="0"/>
          <w:i/>
          <w:strike w:val="0"/>
          <w:noProof w:val="0"/>
          <w:color w:val="000000"/>
          <w:position w:val="0"/>
          <w:sz w:val="20"/>
          <w:u w:val="none"/>
          <w:vertAlign w:val="baseline"/>
        </w:rPr>
        <w:t>Hospital Compare</w:t>
      </w:r>
      <w:r>
        <w:rPr>
          <w:rFonts w:ascii="arial" w:eastAsia="arial" w:hAnsi="arial" w:cs="arial"/>
          <w:b w:val="0"/>
          <w:i w:val="0"/>
          <w:strike w:val="0"/>
          <w:noProof w:val="0"/>
          <w:color w:val="000000"/>
          <w:position w:val="0"/>
          <w:sz w:val="20"/>
          <w:u w:val="none"/>
          <w:vertAlign w:val="baseline"/>
        </w:rPr>
        <w:t xml:space="preserve"> Preview Report. The HLMR is the basis for the HCAHPS Summary Star Rating; see HCAHPS Star Rating Technical Notes at </w:t>
      </w:r>
      <w:hyperlink r:id="rId91" w:history="1">
        <w:r>
          <w:rPr>
            <w:rFonts w:ascii="arial" w:eastAsia="arial" w:hAnsi="arial" w:cs="arial"/>
            <w:b w:val="0"/>
            <w:i/>
            <w:strike w:val="0"/>
            <w:noProof w:val="0"/>
            <w:color w:val="0077CC"/>
            <w:position w:val="0"/>
            <w:sz w:val="20"/>
            <w:u w:val="single"/>
            <w:vertAlign w:val="baseline"/>
          </w:rPr>
          <w:t>http://www.hcahpsonline.org/StarRatings.aspx</w:t>
        </w:r>
      </w:hyperlink>
      <w:r>
        <w:rPr>
          <w:rFonts w:ascii="arial" w:eastAsia="arial" w:hAnsi="arial" w:cs="arial"/>
          <w:b w:val="0"/>
          <w:i w:val="0"/>
          <w:strike w:val="0"/>
          <w:noProof w:val="0"/>
          <w:color w:val="000000"/>
          <w:position w:val="0"/>
          <w:sz w:val="20"/>
          <w:u w:val="none"/>
          <w:vertAlign w:val="baseline"/>
        </w:rPr>
        <w:t>. While the HLMR is a relatively new calculation from the existing measures, hospitals have been using the HCAHPS survey for many years and have had time to become familiar with it, with their results, and with their standing relative to other hospitals through information presented on the HCAHPS On-Line Web site such as the HCAHPS Percentiles tables (</w:t>
      </w:r>
      <w:hyperlink r:id="rId93" w:history="1">
        <w:r>
          <w:rPr>
            <w:rFonts w:ascii="arial" w:eastAsia="arial" w:hAnsi="arial" w:cs="arial"/>
            <w:b w:val="0"/>
            <w:i/>
            <w:strike w:val="0"/>
            <w:noProof w:val="0"/>
            <w:color w:val="0077CC"/>
            <w:position w:val="0"/>
            <w:sz w:val="20"/>
            <w:u w:val="single"/>
            <w:vertAlign w:val="baseline"/>
          </w:rPr>
          <w:t>http://www.hcahpsonline.org/SummaryAnalyses.aspx</w:t>
        </w:r>
      </w:hyperlink>
      <w:r>
        <w:rPr>
          <w:rFonts w:ascii="arial" w:eastAsia="arial" w:hAnsi="arial" w:cs="arial"/>
          <w:b w:val="0"/>
          <w:i w:val="0"/>
          <w:strike w:val="0"/>
          <w:noProof w:val="0"/>
          <w:color w:val="000000"/>
          <w:position w:val="0"/>
          <w:sz w:val="20"/>
          <w:u w:val="none"/>
          <w:vertAlign w:val="baseline"/>
        </w:rPr>
        <w:t>). IPPS hospitals have available their HCAHPS scores' relative rank compared to other hospitals participating in the HVBP program. As such, we believe that hospitals are familiar with their individual and relative performance on the HCAHPS Survey measure (NQF #0166).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concern that inclusion of HCAHPS in the EPMs could negatively affect essential hospitals if used as part of the quality composite score used to determine hospital eligibility to receive reconciliation payments. The commenter stated that patients admitted through the ED report lower HCAHPS scores, thus essential hospitals with higher ED volumes might score lower despite the fact that their quality could be the same or better than other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examined the performance of "safety net" hospitals, sometimes referred to as "essential" hospitals, on the HCAHPS component of the HVBP program. Although we do not have an official definition or designation of "safety net" hospital, we understand that a safety net status typically entails one or more of three criteria: High Medicaid share; high proportion of uncompensated patients; and high county-associated poverty rate. In general, after all HCAHPS adjustments are applied (patient mix and survey mode), we believe that so-called safety net hospitals, as we understand the term, perform similarly to other hospitals. The current adjustment approach that CMS employs is both well-validated and necessary to ensure fair comparisons of HCAHPS scores across hospitals. When these adjustments are applied according to the rules currently in place, the performance of safety net hospitals for the HCAHPS portion of HVBP is typical of hospitals in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HCAHPS scores of patients admitted through hospital emergency departments, CMS is investigating whether participating hospitals could submit a valid and standardized administrative record regarding ED admission. When HCAHPS was developed, such an indicator was available and was employed in HCAHPS patient-mix adjustment, where it had a small, negative effect on HCAHPS scores. However, collection of this measure ceased several years ago due to misgivings about its validity.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that the Pain Management scores be included in the HCAHPS measure for CJR Performance Year 1. The commenter believed that removing the Pain Management scores diminish the importance of the role pain management plays in the recovery and sustained well-being of patients.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remain dedicated to improving the quality of care provided to patients, including the appropriate management of pain and communication between patients and their providers regarding pain. We continue to believe that pain control is an appropriate part of routine patient care that hospitals should manage and is an important concern for patients, their families, and their caregivers. Furthermore, we are unaware of any empirical evidence demonstrating that failing to prescribe opioids lowers a hospital's HCAHPS Survey scores. However, we believe the potential confusion about the appropriate use of the Pain Management dimension questions, coupled with the public health concern about the opioid epidemic, warrants removing these questions from Hospital VBP Program scoring calculations until alternative pain management questions are available. In response to possible confusion about the Pain Management measure, we have finalized our proposal to remove this dimension from the Hospital Value-Based Purchasing payment formula beginning in FY 2018. However, CMS will continue publicly report the Pain Management measure on the Hospital Compare Web site because we continue to believe that pain control is an appropriate part of routine patient care that hospitals should manage and is an important concern for patients, their families, and their caregivers.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was concerned about the use of HCAHPS for PAC/LTC based practices as there are no current requirements to use skilled nursing facility patient satisfaction surveys. The commenter believed that the measure is not appropriate for PAC-based clinicians because in many situations the information source is not reliable due to the cognitive status of the patients being surveyed.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Patients discharged to nursing homes and SNFs are excluded from HCAHPS survey administration because of the difficulty contacting such patients and consistently surveying them in a timely manner. We are not aware of evidence that patients discharged to a nursing home or SNF have different experience of care than other inpatients in the hospital. Only acute-care hospitals participate in the HCAHPS Survey, not long term care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that CMS make the HCAHPS Linear Mean Roll-up (HLMR) score publicly available in order to allow hospitals to not only know their HLMR score, but that of other hospitals in order to understand their percentile levels. The commenter further recommended that this data be released automatically and at least quarterly to facilitate hospitals' ability to improve performance and assess financial risk.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concerns from the commenters about the broad patient population covered by this measure. Although the HCAHPS Survey encompasses a broader range of patients than the model episode definitions, we are not aware of evidence that such patients' experience of care differs </w:t>
      </w:r>
      <w:r>
        <w:rPr>
          <w:rFonts w:ascii="arial" w:eastAsia="arial" w:hAnsi="arial" w:cs="arial"/>
          <w:b/>
          <w:i w:val="0"/>
          <w:strike w:val="0"/>
          <w:noProof w:val="0"/>
          <w:color w:val="000000"/>
          <w:position w:val="0"/>
          <w:sz w:val="20"/>
          <w:u w:val="none"/>
          <w:vertAlign w:val="baseline"/>
        </w:rPr>
        <w:t> [*400] </w:t>
      </w:r>
      <w:r>
        <w:rPr>
          <w:rFonts w:ascii="arial" w:eastAsia="arial" w:hAnsi="arial" w:cs="arial"/>
          <w:b w:val="0"/>
          <w:i w:val="0"/>
          <w:strike w:val="0"/>
          <w:noProof w:val="0"/>
          <w:color w:val="000000"/>
          <w:position w:val="0"/>
          <w:sz w:val="20"/>
          <w:u w:val="none"/>
          <w:vertAlign w:val="baseline"/>
        </w:rPr>
        <w:t xml:space="preserve"> markedly from those of the larger group of eligible patients after patient-mix adjustment for service line (surgery) and age have been applied. Having all patients responding to the survey helps to inform hospitals on areas for improvement. From a survey implementation standpoint, it is not feasible to target only Medicare beneficiaries who had a specific surgery, or to calculate the HCAHPS Linear Mean Roll-up score on the basis of particular surgical patients. In addition to complicating the administration of the survey, the number of completed surveys from such a narrow set of patients would be, for many hospitals, too small to support reliable measurement or comparison. The inclusion of the HCAHPS Survey measure (NQF #0166) as currently implemented and the HLMR derived from it in these models will present participating hospitals with a further incentive to improve experience of care for all patients. HCAHPS, which was launched in 2006 and has been continuously administered ever since, is familiar to over 4,000 hospitals. Modifications to the standardized implementation protocols would be disruptive to the other programs that employ HCAHPS data, such as the HIQR Program and Hospital Value-Based Purchasing program. We believe through the HCAHPS Survey measure (NQF #0166), CMS programs continue to highlight the importance of assessing patient experience of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include the HCAHPS Survey (NQF #0166) measure in the EPMs to assess quality performance and capture patient experience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Potential Future Measures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CMS recognizes that there remain gaps in quality measures targeting AMI, CABG, and hip fracture care. Specifically with regard to hip fracture care, examples of potential measures suitable for consideration for inclusion in the SHFFT model in future performance years include: (1) Claims-based or hybrid risk-standardized hospital-level mortality, complication, and/or readmission measures intended for assessing hospital or provider performance for patients with hip fracture; and (2) patient-reported outcome data-based measures of functional status, symptom burden, number of days at home and/or return to home and/or independent living suitable for patients with hip fractures and/or patients undergoing total hip or knee arthroplasty as referred to in </w:t>
      </w:r>
      <w:hyperlink r:id="rId67" w:history="1">
        <w:r>
          <w:rPr>
            <w:rFonts w:ascii="arial" w:eastAsia="arial" w:hAnsi="arial" w:cs="arial"/>
            <w:b w:val="0"/>
            <w:i/>
            <w:strike w:val="0"/>
            <w:noProof w:val="0"/>
            <w:color w:val="0077CC"/>
            <w:position w:val="0"/>
            <w:sz w:val="20"/>
            <w:u w:val="single"/>
            <w:vertAlign w:val="baseline"/>
          </w:rPr>
          <w:t>79 FR 50259.</w:t>
        </w:r>
      </w:hyperlink>
      <w:r>
        <w:rPr>
          <w:rFonts w:ascii="arial" w:eastAsia="arial" w:hAnsi="arial" w:cs="arial"/>
          <w:b w:val="0"/>
          <w:i w:val="0"/>
          <w:strike w:val="0"/>
          <w:noProof w:val="0"/>
          <w:color w:val="000000"/>
          <w:position w:val="0"/>
          <w:sz w:val="20"/>
          <w:u w:val="none"/>
          <w:vertAlign w:val="baseline"/>
        </w:rPr>
        <w:t xml:space="preserve"> Additionally, we would consider including measures of all--cause harm across the models in future years and appropriateness of procedures. CMS also recognizes that care for patients with AMI, CABG, and hip fractures extends across care settings and providers, and includes care provided by a multitude of clinicians and possible post-acute care facilities (for example, inpatient rehabilitation facilities, intermediate care facilities, and/or home health services). CMS welcomed comments on measure concepts for future measures that potentially could be included in the AMI, CABG, and SHFFT models, including measures that are attributable to acute care and post-acute care facilities and clinicians. CMS also welcomed information about existing patient-centered outcomes measures that address quality gaps relevant to the AMI, CABG, and SHFFT models. Any changes to the measures included in the AMI, CABG, and SHFFT models would be subject to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implementing quality measures across the care continuum, including post-acute care (PAC) and measures that address providers beyond the hospital that provides the surgery, such as Independence at Home, FQHCs, PCMHs, and ACOs.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for the suggestion to implement quality measures across the care continuum. We recognize that there are some gaps in the current proposed measures relative to other settings in which patients receive care post-hospital discharge during EPM episodes. We will take these recommendations into consideration in our measure development and testing efforts, as well as in our ongoing efforts to identify and propose appropriate measures for the payment models in the future.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the use of registries to report data for new measures. Commenters suggested measures from the Core Quality Measure Collaborative (CQMC) Cardiovascular and Orthopedic core quality measures set, National Cardiovascular Data Registry (NCDR) measures, and the STS CABG Composite Score.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commenters for their recommendations. We believe that registries may facilitate valuable quality improvement feedback to hospitals. However, we note that many registry measures are proprietary. With that said, we agree with commenters that the STS CABG Composite Score is a comprehensive NQF-endorsed measure with strong potential to meaningfully improve quality. The STS CABG Composite Score measures surgical performance based on a combination of 11 NQF-endorsed process and outcomes measures. We also note that 7 of the 11 NQF-endorsed process and outcomes measures are used for the Physician Quality Reporting Program (PQRS) which promotes alignment of measurement across programs. We are incorporating the STS CABG composite measure (NQF #0696) data submission as a voluntary option weighted at 10 percent. By including this composite measure in the CABG EPM, we are reducing proposed HCAHPS and mortality weights by 5 percent each for those hospitals that voluntarily report the STS measure. We intend to address the weighting and the use of the actual measure score in the next EPM rulemaking cycle. For more information about the STS Composite Score, we refer readers here: </w:t>
      </w:r>
      <w:hyperlink r:id="rId80" w:history="1">
        <w:r>
          <w:rPr>
            <w:rFonts w:ascii="arial" w:eastAsia="arial" w:hAnsi="arial" w:cs="arial"/>
            <w:b w:val="0"/>
            <w:i/>
            <w:strike w:val="0"/>
            <w:noProof w:val="0"/>
            <w:color w:val="0077CC"/>
            <w:position w:val="0"/>
            <w:sz w:val="20"/>
            <w:u w:val="single"/>
            <w:vertAlign w:val="baseline"/>
          </w:rPr>
          <w:t>http://www.sts.org/sts-public-reporting-online/cabg-composite-score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explore the opportunity to develop and implement quality of life and patient reported outcome measures (PROMs). Commenters identified PROMIS Global, VR12, SAQ-7, PHQ-2, Rose Dyspnea Score, and International Consortium for Health Outcomes Measurement (ICHOM) recommended measures as candidates for future inclusion in the EPMs. Furthermore, two commenters supported the inclusion of PROMs in the SHFFT model and encouraged CMS to mandate the PROMs for the SHFFT model as soon as possible.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commenters for their recommendations. We will take these into consideration as candidates for future inclusion in the EPMs and in our measure development and testing efforts.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encouraged CMS to include other CAHPS measures, such as CG-CAHPS and S-CAHPS.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their recommendations.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supported holding hospitals financially responsible for quality and encouraged CMS to maintain the proposed measures.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their support.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including functional status measures, such as functional status improvement from admission to discharge, Functional status change for </w:t>
      </w:r>
      <w:r>
        <w:rPr>
          <w:rFonts w:ascii="arial" w:eastAsia="arial" w:hAnsi="arial" w:cs="arial"/>
          <w:b/>
          <w:i w:val="0"/>
          <w:strike w:val="0"/>
          <w:noProof w:val="0"/>
          <w:color w:val="000000"/>
          <w:position w:val="0"/>
          <w:sz w:val="20"/>
          <w:u w:val="none"/>
          <w:vertAlign w:val="baseline"/>
        </w:rPr>
        <w:t> [*401] </w:t>
      </w:r>
      <w:r>
        <w:rPr>
          <w:rFonts w:ascii="arial" w:eastAsia="arial" w:hAnsi="arial" w:cs="arial"/>
          <w:b w:val="0"/>
          <w:i w:val="0"/>
          <w:strike w:val="0"/>
          <w:noProof w:val="0"/>
          <w:color w:val="000000"/>
          <w:position w:val="0"/>
          <w:sz w:val="20"/>
          <w:u w:val="none"/>
          <w:vertAlign w:val="baseline"/>
        </w:rPr>
        <w:t xml:space="preserve"> patients with Hip impairments (NQF #0423), and other NQF-endorsed functional outcome measures in the EPM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commenters for their recommendations. We will take these into consideration as candidates for future inclusion in the EPMs and in our measure development and testing efforts.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that CMS consider 90-day measures and measures for high-impact areas including medication errors, hospital-acquired infections, and hospital-related injuries, such as surgical site infection (SSI) following hip fracture, complications rate following hip fracture, 90-day reoperations rate following hip fracture, percent of patients returning to pre-fracture ambulatory status at 90 days, length of stay following hip fracture, arrival to surgical procedure, and 30-day readmissions following hip fracture.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these comments, including the suggestions for priority areas for further measure development. CMS acknowledges that outcomes measures addressing a longer timeframe, such as 90 days, should be pursued. In developing measures that use a longer timeframe, CMS will conduct empirical analyses to ensure that such measures are scientifically robust and to identify appropriate risk-adjustment approaches. CMS will begin initial exploration of the suggested priority areas as well as review condition specific and procedure specific measure concepts. The timeline for this to occur is dependent upon several factors including expert panel review and comment periods, reliability, and validity testing, thus is varied and subject to change. This timeline ranges between 24-36 months, pending no major setbacks or delays outside of CMS control. Once such measures are fully developed, submitted for NQF endorsement and available, CMS will consider the most appropriate time frame to incorporate these measures into the EPM quality payment methodology through future notice and comment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supported the use of shared decision-making measures. The commenter believed that patients and their family caregivers should have the opportunity to receive all relevant information, review all options, weigh the benefits and potential drawbacks, and make a decision.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their comment and agree that patients, families and caregivers should have the opportunity to receive relevant information, review all options, weigh the benefits and potential drawbacks, to make the best decision. We will take this measure concept into consideration in our ongoing measure development and testing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Form, Manner, and Timing of Quality Measure Data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it is important to be transparent and to outline the form, manner and timing of quality measure data submission so that accurate measure results are provided to hospitals, and that timely and accurate calculation of measure results are consistently produced to determine annual reconciliation payment. We proposed that data submission for Hospital 30-Day, All-Cause, Risk-Standardized Mortality Rate Following Acute Myocardial Infarction (AMI) Hospitalization (NQF #0230)(MORT-30-AMI); Excess Days in Acute Care after Hospitalization for an Acute Myocardial Infarction (AMI Excess Days); Hospital 30-Day, All-Cause, Risk-Standardized Mortality Rate (RSMR) Following Coronary Artery Bypass Graft (CABG) Surgery (NQF# 2558)(MORT-30-CABG); and Hospital-Level Risk-Standardized Complication Rate (RSCR) Following Elective Primary Total Hip Arthroplasty (THA) and/or Total Knee Arthroplasty (TKA) (NQF #1550)(Hip/Knee Complications) be accomplished through the existing HIQR Program processes. Since these measures are claims-based measures, hospitals will not need to submit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the same mechanisms used in the HIQR Program to collect HCAHPS Survey (NQF #0166) measure data also be used in the AMI, CABG, and SHFFT models </w:t>
      </w:r>
      <w:hyperlink r:id="rId67" w:history="1">
        <w:r>
          <w:rPr>
            <w:rFonts w:ascii="arial" w:eastAsia="arial" w:hAnsi="arial" w:cs="arial"/>
            <w:b w:val="0"/>
            <w:i/>
            <w:strike w:val="0"/>
            <w:noProof w:val="0"/>
            <w:color w:val="0077CC"/>
            <w:position w:val="0"/>
            <w:sz w:val="20"/>
            <w:u w:val="single"/>
            <w:vertAlign w:val="baseline"/>
          </w:rPr>
          <w:t>(79 FR 50259).</w:t>
        </w:r>
      </w:hyperlink>
      <w:r>
        <w:rPr>
          <w:rFonts w:ascii="arial" w:eastAsia="arial" w:hAnsi="arial" w:cs="arial"/>
          <w:b w:val="0"/>
          <w:i w:val="0"/>
          <w:strike w:val="0"/>
          <w:noProof w:val="0"/>
          <w:color w:val="000000"/>
          <w:position w:val="0"/>
          <w:sz w:val="20"/>
          <w:u w:val="none"/>
          <w:vertAlign w:val="baseline"/>
        </w:rPr>
        <w:t xml:space="preserve"> For the hospitals that voluntarily submit data for the Hybrid AMI mortality measure, we anticipate, if it is technically feasible, for data submission processes to be broadly similar to those summarized for the HIQR Program for electronic clinical quality measures. We proposed to allow hospitals to submit the data elements using either QRDA-I or to submit to data elements using a simpler spreadsheet in performance year 1. We proposed to require hospitals to submit data elements using only QRDA-I in performance years 2 through 5. We would create a template for data reporting, provide a secure portal for data submission, and provide education and outreach on how to use these mechanisms for data collection and where to submit the hybrid AMI voluntary data. We describe processes for voluntary data collection in section III.E.4.c.(2)(ii) of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The use of QRDA for reporting of EHR data is aligned with requirements used by the HIQR Program for electronic clinical quality measures. We sought comment on the proposal to collect EHR data through either QRDA-I or through a simple spreadsheet in performance year 1 and to collect EHR data through only QRDA-I in performance years 2 through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was concerned that it will be difficult to link episode data from all of the various sources, such as hospitals, skilled nursing facilities, and clinical practices. The NPRM proposes to use a simple spreadsheet in year 1 and QRDA-I files in subsequent years, whereas participants submitting AMI voluntary data will receive hospital-specific reports that detail submission results from the most recent performance period. The commenter believes this scenario requires extra work and puts burden on providers for two different implementation solutions. The commenter requests additional information on how standardized the spreadsheets will be, as well as who will specify the format.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suggestion to align standards across our programs. We agree that it is important to align these data collection requirements to reduce burden on hospitals and improve interoperability. We will take this feedback into consideration as we shape future proposals for hybrid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main tenets of the 2015 Edition Health IT Certification Criteria final rule </w:t>
      </w:r>
      <w:hyperlink r:id="rId77" w:history="1">
        <w:r>
          <w:rPr>
            <w:rFonts w:ascii="arial" w:eastAsia="arial" w:hAnsi="arial" w:cs="arial"/>
            <w:b w:val="0"/>
            <w:i/>
            <w:strike w:val="0"/>
            <w:noProof w:val="0"/>
            <w:color w:val="0077CC"/>
            <w:position w:val="0"/>
            <w:sz w:val="20"/>
            <w:u w:val="single"/>
            <w:vertAlign w:val="baseline"/>
          </w:rPr>
          <w:t>(80 FR 62601)</w:t>
        </w:r>
      </w:hyperlink>
      <w:r>
        <w:rPr>
          <w:rFonts w:ascii="arial" w:eastAsia="arial" w:hAnsi="arial" w:cs="arial"/>
          <w:b w:val="0"/>
          <w:i w:val="0"/>
          <w:strike w:val="0"/>
          <w:noProof w:val="0"/>
          <w:color w:val="000000"/>
          <w:position w:val="0"/>
          <w:sz w:val="20"/>
          <w:u w:val="none"/>
          <w:vertAlign w:val="baseline"/>
        </w:rPr>
        <w:t xml:space="preserve"> is to facilitate greater interoperability for several clinical health information purposes and enable health information exchange through new and enhanced certification criteria, standards, and implementation specifications. We note that we have worked closely with ONC to enhance testing and validation of certified technology's ability to capture, exchange, and report electronic patient data, such as through improved testing and certification through the Cypress CQM testing and certification tool. As another example, we note that ONC proposed a 2015 Edition "CQM-- report" certification criterion in the FY 2016 IPPS/LTCH PPS proposed rule that sought stakeholder input on the standards for representing and reporting CQM data in certified health IT to improve the reliability and consistency of such data reporting </w:t>
      </w:r>
      <w:hyperlink r:id="rId78" w:history="1">
        <w:r>
          <w:rPr>
            <w:rFonts w:ascii="arial" w:eastAsia="arial" w:hAnsi="arial" w:cs="arial"/>
            <w:b w:val="0"/>
            <w:i/>
            <w:strike w:val="0"/>
            <w:noProof w:val="0"/>
            <w:color w:val="0077CC"/>
            <w:position w:val="0"/>
            <w:sz w:val="20"/>
            <w:u w:val="single"/>
            <w:vertAlign w:val="baseline"/>
          </w:rPr>
          <w:t>(80 FR 24613</w:t>
        </w:r>
      </w:hyperlink>
      <w:r>
        <w:rPr>
          <w:rFonts w:ascii="arial" w:eastAsia="arial" w:hAnsi="arial" w:cs="arial"/>
          <w:b w:val="0"/>
          <w:i w:val="0"/>
          <w:strike w:val="0"/>
          <w:noProof w:val="0"/>
          <w:color w:val="000000"/>
          <w:position w:val="0"/>
          <w:sz w:val="20"/>
          <w:u w:val="none"/>
          <w:vertAlign w:val="baseline"/>
        </w:rPr>
        <w:t xml:space="preserve"> through 24614). Furthermore, the 2015 Edition criteria related to eCQMs offer increased data portability and user </w:t>
      </w:r>
      <w:r>
        <w:rPr>
          <w:rFonts w:ascii="arial" w:eastAsia="arial" w:hAnsi="arial" w:cs="arial"/>
          <w:b/>
          <w:i w:val="0"/>
          <w:strike w:val="0"/>
          <w:noProof w:val="0"/>
          <w:color w:val="000000"/>
          <w:position w:val="0"/>
          <w:sz w:val="20"/>
          <w:u w:val="none"/>
          <w:vertAlign w:val="baseline"/>
        </w:rPr>
        <w:t> [*402] </w:t>
      </w:r>
      <w:r>
        <w:rPr>
          <w:rFonts w:ascii="arial" w:eastAsia="arial" w:hAnsi="arial" w:cs="arial"/>
          <w:b w:val="0"/>
          <w:i w:val="0"/>
          <w:strike w:val="0"/>
          <w:noProof w:val="0"/>
          <w:color w:val="000000"/>
          <w:position w:val="0"/>
          <w:sz w:val="20"/>
          <w:u w:val="none"/>
          <w:vertAlign w:val="baseline"/>
        </w:rPr>
        <w:t xml:space="preserve"> access using the established QRDA standards. Because of the support for testing and certification offered by ONC and their certification tools and programs, the widespread deployment of the QRDA standard and CMS' own recent experience that QRDA can provide superior clinical data for assessing quality and performance, we will finalize our selection of QRDA-I as the primary reporting standard for the EPM Model Rule for program years 1-3. If QRDA-I cannot be available to all participants for year 1, we will make a transitional submission format available to systems using a spreadsheet-based approach that will allow these sites additional time to meet the QRDA-based reporting requirements. We thank commenters for their continued support of improving the electronic reporting process and plan to continue to make improvements as standards evolve.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that CMS conduct an analysis of any performance differences resulting from the transition to ICD-10 for the measures used in the EPMs, and for CMS to make these analyses publicly 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AMI EDAC, AMI and CABG 30-day mortality measures all have 3-year measurement periods. Because ICD-10 implementation began in October 2015, measure results calculated for program years 1 through 5 of the EMPs will be based on a combination of ICD-9 and ICD-10 coded claims. Therefore, CMS cannot provide hospitals with any meaningful comparison of measure results with ICD-9 claims alone or ICD-10 claims alone. CMS continues to test ICD-10-based measure specifications to ensure ongoing validity of the measures. CMS provides analysis of claims data for each new performance year added to the 3-year period in the measures' Annual Updates and Specifications Reports posted on QualityNet each April during the IPPS notice of proposed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 regarding the administrative burden imposed by the proposed data submission. One commenter stated that the current submission process is highly manual, as data must be entered for each patient separately into the CMS spreadsheet. The commenter suggested a portal in which data can be uploaded and validated monthly with greater efficiency than the spreadsheet. Another commenter encouraged the use of measurement instruments which can be administered electronically to reduce burden.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concern, however, as stated in </w:t>
      </w:r>
      <w:hyperlink r:id="rId9" w:history="1">
        <w:r>
          <w:rPr>
            <w:rFonts w:ascii="arial" w:eastAsia="arial" w:hAnsi="arial" w:cs="arial"/>
            <w:b w:val="0"/>
            <w:i/>
            <w:strike w:val="0"/>
            <w:noProof w:val="0"/>
            <w:color w:val="0077CC"/>
            <w:position w:val="0"/>
            <w:sz w:val="20"/>
            <w:u w:val="single"/>
            <w:vertAlign w:val="baseline"/>
          </w:rPr>
          <w:t>81 FR 50910,</w:t>
        </w:r>
      </w:hyperlink>
      <w:r>
        <w:rPr>
          <w:rFonts w:ascii="arial" w:eastAsia="arial" w:hAnsi="arial" w:cs="arial"/>
          <w:b w:val="0"/>
          <w:i w:val="0"/>
          <w:strike w:val="0"/>
          <w:noProof w:val="0"/>
          <w:color w:val="000000"/>
          <w:position w:val="0"/>
          <w:sz w:val="20"/>
          <w:u w:val="none"/>
          <w:vertAlign w:val="baseline"/>
        </w:rPr>
        <w:t xml:space="preserve"> for the Hybrid AMI mortality measure, we proposed to allow to submit the data elements using either QRDA-I or to submit data elements using a simpler spreadsheet in performance year 1. We proposed requiring the hospitals to submit data elements using only QRDA-I in performance years 2 through 5. We disagree that increased burden is placed on providers in that there are options to use either QRDA-I or simpler spreadsheet in performance year 1. The purpose of the option to use a simpler reporting format (spreadsheet) is to allow hospitals to perfect data extraction with the 2017 data and postpone mastery of reporting in the QRDA format to the following year. CMS would create a template for data reporting, provide a secure portal for data submission, and provide education and outreach on how to use these mechanisms for data collection and where to submit the hybrid AMI voluntary data. We proposed the same mechanisms used in the HIQR Program to collect HCAHPS Survey measure data also be used in the AMI, CABG, and SHFFT models </w:t>
      </w:r>
      <w:hyperlink r:id="rId67" w:history="1">
        <w:r>
          <w:rPr>
            <w:rFonts w:ascii="arial" w:eastAsia="arial" w:hAnsi="arial" w:cs="arial"/>
            <w:b w:val="0"/>
            <w:i/>
            <w:strike w:val="0"/>
            <w:noProof w:val="0"/>
            <w:color w:val="0077CC"/>
            <w:position w:val="0"/>
            <w:sz w:val="20"/>
            <w:u w:val="single"/>
            <w:vertAlign w:val="baseline"/>
          </w:rPr>
          <w:t>(79 FR 50259).</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concern about collecting quality data that may not yield meaningful results. The commenter recommended a delay in collecting and reporting quality data for the EPMs until CJR data can be examined to ascertain its utility and determine whether it provides robust quality information.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we currently have broad experience with pay-for-performance in Medicare programs, including the HRRP, HVBP Program, HAC Reduction Program, and the Shared Savings Program. These pay-for-performance programs have improved the quality of care for Medicare beneficiaries. For example, since the implementation of HRRP in 2012, readmission and complications rates for various medical conditions such as elective THA/TKA have been significantly reduced, thereby resulting in improvements in the quality of care for Medicare beneficiaries undergoing joint replacement procedures. Furthermore, pay-for-performance is a feature of a number of Innovation Center models currently in testing. We refer readers to section III.D.5. of the CJR Final Rule </w:t>
      </w:r>
      <w:hyperlink r:id="rId21" w:history="1">
        <w:r>
          <w:rPr>
            <w:rFonts w:ascii="arial" w:eastAsia="arial" w:hAnsi="arial" w:cs="arial"/>
            <w:b w:val="0"/>
            <w:i/>
            <w:strike w:val="0"/>
            <w:noProof w:val="0"/>
            <w:color w:val="0077CC"/>
            <w:position w:val="0"/>
            <w:sz w:val="20"/>
            <w:u w:val="single"/>
            <w:vertAlign w:val="baseline"/>
          </w:rPr>
          <w:t>(80 FR 73473)</w:t>
        </w:r>
      </w:hyperlink>
      <w:r>
        <w:rPr>
          <w:rFonts w:ascii="arial" w:eastAsia="arial" w:hAnsi="arial" w:cs="arial"/>
          <w:b w:val="0"/>
          <w:i w:val="0"/>
          <w:strike w:val="0"/>
          <w:noProof w:val="0"/>
          <w:color w:val="000000"/>
          <w:position w:val="0"/>
          <w:sz w:val="20"/>
          <w:u w:val="none"/>
          <w:vertAlign w:val="baseline"/>
        </w:rPr>
        <w:t xml:space="preserve"> for further discussion of public reporting of pay-for-performance data during performance year 1 of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developed and adopted a variety of new quality measures in programs and models since 2011, as well as gained experience with pay-for-reporting and pay-for-performance in a variety of models and programs involving a wide range of health care providers and clinical conditions. Given our extensive experience over the past several years with pay-for-performance approaches, the availability of existing measures that reflect the quality of care for AMI, CABG, and SHFFT episodes, and the breadth of the EPMs, which reaches substantially all IPPS hospitals in the selected MSAs, including those hospitals who otherwise would not participate in a voluntary payment model, we believe that a pay-for performance approach is necessary and appropriate beginning in the model's first performance year. IPPS hospitals have substantial experience over multiple years with CMS programs that include pay-for-performance and we believe, given the proposed quality measures for the EPMs, that AMI, CABG, and SHFFT pay-for-performance in episode payment models is a natural extension to bundled payment of pay-for-performance measures used in current CMS programs. While we acknowledge that pay-for-performance is not the only way for a model to heighten a focus on maintaining or improving the quality of care, we believe that the EPMs, like other Innovation Center models, should target both improved quality and reduced costs. Based on our experience in other programs and models, we believe that pay-for-performance under the EPMs shows great promise in moving participant hospitals toward greater efficiency and higher quality care. In view of successful implementation of pay-for-performance in other CMS hospital programs using similar quality measures that has resulted in significant improvements in the quality of care, we believe IPPS hospitals have sufficient experience to be ready for pay-for-performance under the AMI, CABG, and SHFFT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expect that other features of the model design, including our plans for data sharing, will help participant hospitals committed to care redesign toward these goals achieve success on both quality and cost performance for episodes. We note that the quality measures finalized for the model as discussed in section III.E.2 of this final rule rely upon data that hospitals are already submitting and which are already analyzed by CMS for other programs, so we see no reason to adopt a period of pay-for-reporting for the first performance year of the model or longer. In the proposed rule, we considered a similar policy that would not penalize hospitals with regard to their eligibility for reconciliation </w:t>
      </w:r>
      <w:r>
        <w:rPr>
          <w:rFonts w:ascii="arial" w:eastAsia="arial" w:hAnsi="arial" w:cs="arial"/>
          <w:b/>
          <w:i w:val="0"/>
          <w:strike w:val="0"/>
          <w:noProof w:val="0"/>
          <w:color w:val="000000"/>
          <w:position w:val="0"/>
          <w:sz w:val="20"/>
          <w:u w:val="none"/>
          <w:vertAlign w:val="baseline"/>
        </w:rPr>
        <w:t> [*403] </w:t>
      </w:r>
      <w:r>
        <w:rPr>
          <w:rFonts w:ascii="arial" w:eastAsia="arial" w:hAnsi="arial" w:cs="arial"/>
          <w:b w:val="0"/>
          <w:i w:val="0"/>
          <w:strike w:val="0"/>
          <w:noProof w:val="0"/>
          <w:color w:val="000000"/>
          <w:position w:val="0"/>
          <w:sz w:val="20"/>
          <w:u w:val="none"/>
          <w:vertAlign w:val="baseline"/>
        </w:rPr>
        <w:t xml:space="preserve"> payments for failure to meet the proposed quality measure thresholds in performance year 1. However, we continue to believe that adopting pay-for- reporting and not pay-for-performance in performance year 1 or longer would be inappropriate given that two of the proposed quality measures are administrative claims based measures and impose no additional reporting burden on hospitals, the proposed measures are all established measures in existing CMS quality programs, and a central goal of the EMPs is improving care for Medicare beneficiaries. In this regard, the EPMs are different from some other CMS value-based initiatives where the data for some measures were newly submitted by providers or newly analyzed by CMS early in the initiative. Furthermore, we do not believe that participant hospitals need a year of pay-for-reporting to develop systems for analyzing episode claims under the model, as we expect hospitals to already be focused on improving their performance on these measures. The measures finalized for the EPMs are aligned with the goals of the models, are familiar to hospitals based on their use in other CMS hospital programs, and are aligned with CMS priorities to reduce mortality and complications while improving the patient experience. Because the measures reflect these goals and accurately measure hospitals' level of achievement and improvement on quality outcomes that are important to beneficiaries, we are finalizing our proposal to implement a pay-for-performance approach in the AMI, CABG, and SHFFT models in the first performance year by using quality performance in the episode payment methodology.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clarification on the PROM, specifically the Veterans RAND 12 Item Health Survey (VR-12) data submission requirement to accommodate for the handling of missing data elements consistent with proven methods in the scientific literature as it determines if a hospital has successfully met its reporting threshold.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their suggestion. One of the generic health-related quality of life assessment survey that hospitals can use is the Veterans RAND 12 Item Health Survey (VR-12). Hospitals who elect to use this survey instrument must report patient responses to all of the questions; that is, all 14 questions from this survey. Twelve questions or items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question groups 1-7) in the survey are used to calculate two scores, a "Physical Health Summary Measure (PCS-physical component score)" and a "Mental Health Summary Measure (MCS-mental component score)." Two additional questions are included as anchor questions that CMS will use to gauge the clinical significance of a (physical and/or mental health) change following an intervention. Likewise, hospitals who elect to use the other generic health-related quality of life assessment, the PROMIS-Global, must also report patient responses to all of the questions to be considered for the successful voluntary reporting of the PRO and risk variable data component of the SHFFT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believed that measures should be collected at intervals more immediately post-surgery and more routinely afterward throughout the 6 month post-discharge duration. One commenter further noted that a participant hospital's quality performance must be considered in parallel with its financial performance and these components be compared, in tandem, to a pre-EPM baseline.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measures proposed for the AMI, CABG, and SHFFT models use a 3-year reporting period and are updated annually. The 3-year reporting period ensures that hospitals have a sufficient number of cases for a reliable and valid estimate of their risk-adjusted outcome rate. The measures are not designed for more frequent reporting of results. CMS does assess trends in hospitals' performance on the proposed measures to identify potential unintended consequences in the HIQR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were supportive of the proposed approach to reporting and data collection. Commenters stated that it demonstrates CMS' effort to minimize administrative burden on providers when implementing new care models. One commenter appreciated that many of the proposed quality measures are currently being reported for the Inpatient Quality Reporting Program (IQR), thereby reducing additional reporting burden for hospital staff. Another commenter commended CMS for treating and separately bundling services for patients who fall under the SHFFT model rather than including them in CJR.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commenters for their support.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raised concerns about the proposed timeline for voluntary data submission in the SHFFT model. Specifically commenters were concerned that the data submission timeline did not align with the model performance years. The commenters suggested that the data submission deadline closely align with the start date of the model so CMS can receive relevant data and have time to analyze initial CJR changes to make necessary changes before implementation of SHFFT data collection.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intent of the proposed timeline for voluntary data submission for the SHFFT model is to reduce confusion by proposing to use the same 3-year rolling time periods for calculating readmissions and complications performance that are used in the hospital IQR program and to align the data collection timeline with the CJR model timeline starting in program year 1. CMS will assess data submitted for the CJR model and will consider any necessary changes in future rulemaking cycles for the CJR and SHFFT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that CMS allow hospitals to submit using either the QRDA-I or QRDA-III approach for the first performance period to allow maximum flexibility and to assess which approach is most feasible.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For the Hybrid AMI Mortality measure, CMS is seeking to risk adjust individual patients, thus we have specified QRDA-I, which describes patient level data, as the appropriate standard. The QRDA-III standard, which describes aggregate data, would not be appropriate for this purpose. One of the main tenets of the 2015 Edition Health IT Certification Criteria final rule </w:t>
      </w:r>
      <w:hyperlink r:id="rId77" w:history="1">
        <w:r>
          <w:rPr>
            <w:rFonts w:ascii="arial" w:eastAsia="arial" w:hAnsi="arial" w:cs="arial"/>
            <w:b w:val="0"/>
            <w:i/>
            <w:strike w:val="0"/>
            <w:noProof w:val="0"/>
            <w:color w:val="0077CC"/>
            <w:position w:val="0"/>
            <w:sz w:val="20"/>
            <w:u w:val="single"/>
            <w:vertAlign w:val="baseline"/>
          </w:rPr>
          <w:t>(80 FR 62601)</w:t>
        </w:r>
      </w:hyperlink>
      <w:r>
        <w:rPr>
          <w:rFonts w:ascii="arial" w:eastAsia="arial" w:hAnsi="arial" w:cs="arial"/>
          <w:b w:val="0"/>
          <w:i w:val="0"/>
          <w:strike w:val="0"/>
          <w:noProof w:val="0"/>
          <w:color w:val="000000"/>
          <w:position w:val="0"/>
          <w:sz w:val="20"/>
          <w:u w:val="none"/>
          <w:vertAlign w:val="baseline"/>
        </w:rPr>
        <w:t xml:space="preserve"> is to facilitate greater interoperability for several clinical health information purposes and enable health information exchange through new and enhanced certification criteria, standards, and implementation specifications. We note that we have worked closely with ONC to enhance testing and validation of certified technology's ability to capture, exchange, and report electronic patient data, such as through improved testing and certification through the Cypress CQM testing and certification tool. As another example, we note that ONC proposed a 2015 Edition "CQM-- report" certification criterion in the FY 2016 IPPS/LTCH PPS proposed rule that sought stakeholder input on the standards for representing and reporting CQM data in certified health IT to improve the reliability and consistency of such data reporting </w:t>
      </w:r>
      <w:hyperlink r:id="rId78" w:history="1">
        <w:r>
          <w:rPr>
            <w:rFonts w:ascii="arial" w:eastAsia="arial" w:hAnsi="arial" w:cs="arial"/>
            <w:b w:val="0"/>
            <w:i/>
            <w:strike w:val="0"/>
            <w:noProof w:val="0"/>
            <w:color w:val="0077CC"/>
            <w:position w:val="0"/>
            <w:sz w:val="20"/>
            <w:u w:val="single"/>
            <w:vertAlign w:val="baseline"/>
          </w:rPr>
          <w:t>(80 FR 24613</w:t>
        </w:r>
      </w:hyperlink>
      <w:r>
        <w:rPr>
          <w:rFonts w:ascii="arial" w:eastAsia="arial" w:hAnsi="arial" w:cs="arial"/>
          <w:b w:val="0"/>
          <w:i w:val="0"/>
          <w:strike w:val="0"/>
          <w:noProof w:val="0"/>
          <w:color w:val="000000"/>
          <w:position w:val="0"/>
          <w:sz w:val="20"/>
          <w:u w:val="none"/>
          <w:vertAlign w:val="baseline"/>
        </w:rPr>
        <w:t xml:space="preserve"> through 24614). Furthermore, the 2015 Edition criteria related to eCQMs offer increased data portability and user access using the established QRDA standards. Because of the support for testing and certification offered by ONC </w:t>
      </w:r>
      <w:r>
        <w:rPr>
          <w:rFonts w:ascii="arial" w:eastAsia="arial" w:hAnsi="arial" w:cs="arial"/>
          <w:b/>
          <w:i w:val="0"/>
          <w:strike w:val="0"/>
          <w:noProof w:val="0"/>
          <w:color w:val="000000"/>
          <w:position w:val="0"/>
          <w:sz w:val="20"/>
          <w:u w:val="none"/>
          <w:vertAlign w:val="baseline"/>
        </w:rPr>
        <w:t> [*404] </w:t>
      </w:r>
      <w:r>
        <w:rPr>
          <w:rFonts w:ascii="arial" w:eastAsia="arial" w:hAnsi="arial" w:cs="arial"/>
          <w:b w:val="0"/>
          <w:i w:val="0"/>
          <w:strike w:val="0"/>
          <w:noProof w:val="0"/>
          <w:color w:val="000000"/>
          <w:position w:val="0"/>
          <w:sz w:val="20"/>
          <w:u w:val="none"/>
          <w:vertAlign w:val="baseline"/>
        </w:rPr>
        <w:t xml:space="preserve"> and their certification tools and programs, the widespread deployment of the QRDA standard and CMS' own recent experience that QRDA can provide superior clinical data for assessing quality and performance, we will finalize our selection of QRDA-I as the primary reporting standard for the EPM Model Rule for program years 1-3. If QRDA-I cannot be available to all participants for year 1, we will make a transitional submission format available to systems using a spreadsheet-based approach that will allow these sites additional time to meet the QRDA-based reporting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raised concerns about the proposed timeline for voluntary data submission in the SHFFT model. Specifically commenters were concerned that the data submission timeline did not align with the model performance years. The commenters suggested that the data submission deadline closely align with the start date of the model so CMS can receive relevant data and have time to analyze initial CJR changes to make necessary changes before implementation of SHFFT data collection.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intent of the proposed timeline for voluntary data submission for the SHFFT model is to reduce confusion by proposing to use the same 3-year rolling time periods for calculating readmissions and complications performance that are used in the hospital IQR program and to align the data collection timeline with the CJR model timeline starting in program year 1. CMS will assess data submitted for the CJR model and will consider any necessary changes in future rulemaking cycles for the CJR and SHFFT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collect EHR data through either QRDA-I or through a simple spreadsheet in performance year 1 and to collect EHR data through only QRDA-I in performance years 2 through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quality measure performance periods for required and voluntary reporting measures by the performance year of the AMI, CABG, and SHFFT models are displayed in Tables 41, 42, 43, 44, and 45.</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88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41--Summary of Quality Measure Performance Periods by Year of the AMI</w:t>
            </w:r>
          </w:p>
        </w:tc>
      </w:tr>
      <w:tr>
        <w:tblPrEx>
          <w:tblW w:w="0" w:type="auto"/>
          <w:jc w:val="center"/>
          <w:tblLayout w:type="fixed"/>
          <w:tblCellMar>
            <w:left w:w="108" w:type="dxa"/>
            <w:right w:w="108" w:type="dxa"/>
          </w:tblCellMar>
        </w:tblPrEx>
        <w:trPr>
          <w:tblHeader/>
          <w:jc w:val="center"/>
        </w:trPr>
        <w:tc>
          <w:tcPr>
            <w:tcW w:w="888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66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 performance year</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 title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1st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2nd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3rd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4th</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5th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MORT-30-AMI *</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2014-June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2017-June</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2018-June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30, 2017</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30, 2018</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30, 2019</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AMI Excess Days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2014-June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2017-June</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2018-June</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30, 2017</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30, 2018</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30, 2019</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30, 2020</w:t>
            </w:r>
          </w:p>
        </w:tc>
        <w:tc>
          <w:tcPr>
            <w:tcW w:w="13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Hospital 30-Day, All-Cause, Risk-Standardized Mortality Rate Following Acute Myocardial Infarction (AMI) Hospitalization (NQF #0230) (MORT-30-AMI).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Excess Days in Acute Care after Hospitalization for Acute Myocardial Infarction (AMI Excess Days).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88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42--Summary of Quality Measure Performance Periods by Year of the CABG</w:t>
            </w:r>
          </w:p>
        </w:tc>
      </w:tr>
      <w:tr>
        <w:tblPrEx>
          <w:tblW w:w="0" w:type="auto"/>
          <w:jc w:val="center"/>
          <w:tblLayout w:type="fixed"/>
          <w:tblCellMar>
            <w:left w:w="108" w:type="dxa"/>
            <w:right w:w="108" w:type="dxa"/>
          </w:tblCellMar>
        </w:tblPrEx>
        <w:trPr>
          <w:tblHeader/>
          <w:jc w:val="center"/>
        </w:trPr>
        <w:tc>
          <w:tcPr>
            <w:tcW w:w="888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66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 year</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 l</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1st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2nd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3rd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4th</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5th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MORT-30-CABG *</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2014-June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2017-June</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2018-June</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30, 2017</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30, 2018</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30, 2019</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30, 2020</w:t>
            </w:r>
          </w:p>
        </w:tc>
        <w:tc>
          <w:tcPr>
            <w:tcW w:w="13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Hospital 30-Day, All-Cause, Risk-Standardized Mortality Rate (RSMR) Following Coronary Artery Bypass Graft (CABG) Surgery (NQF# 2558) (MORT-30-CABG).</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144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43--Summary of Quality Measure Performance Periods by Year of the</w:t>
            </w:r>
          </w:p>
        </w:tc>
      </w:tr>
      <w:tr>
        <w:tblPrEx>
          <w:tblW w:w="0" w:type="auto"/>
          <w:jc w:val="center"/>
          <w:tblLayout w:type="fixed"/>
          <w:tblCellMar>
            <w:left w:w="108" w:type="dxa"/>
            <w:right w:w="108" w:type="dxa"/>
          </w:tblCellMar>
        </w:tblPrEx>
        <w:trPr>
          <w:tblHeader/>
          <w:jc w:val="center"/>
        </w:trPr>
        <w:tc>
          <w:tcPr>
            <w:tcW w:w="900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Voluntary Data Submission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44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672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 performance year</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44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1st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2nd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3rd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4th</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5th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Submission of EHR</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September</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elements for</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2017-August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2019-June</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2020-June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Hybrid AMI</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31, 2017</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30, 2019</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Mortality Measure</w:t>
            </w:r>
          </w:p>
        </w:tc>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30, 2018</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Submission of STS</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September</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Composite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2017-August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2019-June</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2020 -June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 data</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31, 2017</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30, 2019</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30, 2018</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Submission of</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September</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functional status</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2019-June</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2020-June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for elective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30, 2018</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30, 2019</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 THA/TKA</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30, 2017</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1440" w:type="dxa"/>
            <w:tcBorders>
              <w:right w:val="nil"/>
            </w:tcBorders>
          </w:tcPr>
          <w:p/>
        </w:tc>
        <w:tc>
          <w:tcPr>
            <w:tcW w:w="1320" w:type="dxa"/>
            <w:tcBorders>
              <w:right w:val="nil"/>
            </w:tcBorders>
          </w:tcPr>
          <w:p/>
        </w:tc>
        <w:tc>
          <w:tcPr>
            <w:tcW w:w="1320" w:type="dxa"/>
            <w:tcBorders>
              <w:right w:val="nil"/>
            </w:tcBorders>
          </w:tcPr>
          <w:p/>
        </w:tc>
        <w:tc>
          <w:tcPr>
            <w:tcW w:w="1320" w:type="dxa"/>
            <w:tcBorders>
              <w:right w:val="nil"/>
            </w:tcBorders>
          </w:tcPr>
          <w:p/>
        </w:tc>
        <w:tc>
          <w:tcPr>
            <w:tcW w:w="13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[*405]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44--Summary of Quality Measure Performance Periods by Year of the SHFFT</w:t>
            </w:r>
          </w:p>
        </w:tc>
      </w:tr>
      <w:tr>
        <w:tblPrEx>
          <w:tblW w:w="0" w:type="auto"/>
          <w:jc w:val="center"/>
          <w:tblLayout w:type="fixed"/>
          <w:tblCellMar>
            <w:left w:w="108" w:type="dxa"/>
            <w:right w:w="108" w:type="dxa"/>
          </w:tblCellMar>
        </w:tblPrEx>
        <w:trPr>
          <w:tblHeader/>
          <w:jc w:val="center"/>
        </w:trPr>
        <w:tc>
          <w:tcPr>
            <w:tcW w:w="900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72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 performance year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 title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1st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2nd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3rd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4th</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5th</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Hip/Knee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Complications</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2014-March</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2015-March</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2016-March</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 March</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2018-March</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31, 2017</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31, 2018</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31, 2019</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31, 2020</w:t>
            </w:r>
          </w:p>
        </w:tc>
        <w:tc>
          <w:tcPr>
            <w:tcW w:w="14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31, 2021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Hospital-Level Risk-Standardized Complication Rate (RSCR) Following Elective Primary Total Hip Arthroplasty (THA) and/or Total Knee Arthroplasty (TKA) (NQF #1550) (Hip/Knee Complications).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45--Summary of Quality Measure Performance Periods by Year for Required</w:t>
            </w:r>
          </w:p>
        </w:tc>
      </w:tr>
      <w:tr>
        <w:tblPrEx>
          <w:tblW w:w="0" w:type="auto"/>
          <w:jc w:val="center"/>
          <w:tblLayout w:type="fixed"/>
          <w:tblCellMar>
            <w:left w:w="108" w:type="dxa"/>
            <w:right w:w="108" w:type="dxa"/>
          </w:tblCellMar>
        </w:tblPrEx>
        <w:trPr>
          <w:tblHeader/>
          <w:jc w:val="center"/>
        </w:trPr>
        <w:tc>
          <w:tcPr>
            <w:tcW w:w="900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Meaures for All EPMS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72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 performance year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 title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1st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2nd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3rd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4th</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5th</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HCAHPS *</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2016-June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2017-June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2018-June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2019-June</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2020-June</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30, 2017</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30, 2018</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30, 2019</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30, 2020</w:t>
            </w:r>
          </w:p>
        </w:tc>
        <w:tc>
          <w:tcPr>
            <w:tcW w:w="14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Hospital Consumer Assessment of Healthcare Providers and Systems (HCAHPS) Survey (NQF #0166).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Display of Quality Measures and Availability of Information for the Public From the AMI, CABG, and SHFFT Models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 display of measure results is an important way to educate the public on hospital performance and increase the transparency of the model. We proposed to display quality measure results on the Hospital Compare Web site (</w:t>
      </w:r>
      <w:hyperlink r:id="rId94" w:history="1">
        <w:r>
          <w:rPr>
            <w:rFonts w:ascii="arial" w:eastAsia="arial" w:hAnsi="arial" w:cs="arial"/>
            <w:b w:val="0"/>
            <w:i/>
            <w:strike w:val="0"/>
            <w:noProof w:val="0"/>
            <w:color w:val="0077CC"/>
            <w:position w:val="0"/>
            <w:sz w:val="20"/>
            <w:u w:val="single"/>
            <w:vertAlign w:val="baseline"/>
          </w:rPr>
          <w:t>http://www.hospitalcompare.hhs.gov</w:t>
        </w:r>
      </w:hyperlink>
      <w:r>
        <w:rPr>
          <w:rFonts w:ascii="arial" w:eastAsia="arial" w:hAnsi="arial" w:cs="arial"/>
          <w:b w:val="0"/>
          <w:i w:val="0"/>
          <w:strike w:val="0"/>
          <w:noProof w:val="0"/>
          <w:color w:val="000000"/>
          <w:position w:val="0"/>
          <w:sz w:val="20"/>
          <w:u w:val="none"/>
          <w:vertAlign w:val="baseline"/>
        </w:rPr>
        <w:t>). We believe that the public and hospitals are familiar with this Web site and how the information is displayed. The proposed measures have been displayed on Hospital Compare over the past few years. Finally, we believe that the public and hospitals' familiarity with the Hospital Compare Web site will make it simpler to access data. We sought comment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supported the proposal to publicly report hospitals' EPM quality performance data on Hospital Compare.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commenters for their support.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 that the description of data publicly displayed on Hospital Compare should accurately reflect performance. Rather than placing hospitals with insufficient volume on a quality measure at the 50th percentile in the "Good" category, it should be placed in a separate category noting that there was insufficient volume to determine a performance score. One commenter further suggested that hospitals be provided an opportunity to preview and offer corrections to data provided by CMS before reporting on Hospital Compare.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understand the concerns of the commenter that we have no actual outcome measure results for certain hospitals, we continue to believe it would be unfair to disadvantage a participant hospital in the pay-for-performance methodology of this model based on insufficient number or no applicable cases alone and, therefore, we will assign these hospitals to the 50th performance percentile, which is the middle of the national measure performance distribution, and assign quality performance points to the participant hospital accordingly based on the performance percentile scale identified in Table 41.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the Hospital Compare Web site is the vehicle that provides public reporting and within this Web site we indicate that this Web site fulfills section 1886(b)(3)(B)(viii)(VII) of the Act, as amended by section 3001(a)(2) of the Affordable Care Act, which requires the Secretary to establish procedures for making information regarding measures submitted available to the public after ensuring that a hospital has the opportunity to review its data before they are made public. Prior to the release of data on Hospital Compare, hospitals are given the opportunity to review data during a 30-day preview period via the QualityNet Secure Portal (</w:t>
      </w:r>
      <w:hyperlink r:id="rId95" w:history="1">
        <w:r>
          <w:rPr>
            <w:rFonts w:ascii="arial" w:eastAsia="arial" w:hAnsi="arial" w:cs="arial"/>
            <w:b w:val="0"/>
            <w:i/>
            <w:strike w:val="0"/>
            <w:noProof w:val="0"/>
            <w:color w:val="0077CC"/>
            <w:position w:val="0"/>
            <w:sz w:val="20"/>
            <w:u w:val="single"/>
            <w:vertAlign w:val="baseline"/>
          </w:rPr>
          <w:t>http://www.qualityreportingcenter.com/wpcontent/uploads/2015/07/IQR_FY-2017_Hospital-IQR-Program-ReferenceChecklist_Tool_7.21.2015_FINAL508.pdf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With respect to the HCAHPS Survey measure (NQF #0166), CMS similarly provides hospitals with their confidential preview reports on a quarterly basis, before the results are publicly reported on Hospital Compare Web site (</w:t>
      </w:r>
      <w:hyperlink r:id="rId96" w:history="1">
        <w:r>
          <w:rPr>
            <w:rFonts w:ascii="arial" w:eastAsia="arial" w:hAnsi="arial" w:cs="arial"/>
            <w:b w:val="0"/>
            <w:i/>
            <w:strike w:val="0"/>
            <w:noProof w:val="0"/>
            <w:color w:val="0077CC"/>
            <w:position w:val="0"/>
            <w:sz w:val="20"/>
            <w:u w:val="single"/>
            <w:vertAlign w:val="baseline"/>
          </w:rPr>
          <w:t>http://www.hospitalcompare.hhs.gov/</w:t>
        </w:r>
      </w:hyperlink>
      <w:r>
        <w:rPr>
          <w:rFonts w:ascii="arial" w:eastAsia="arial" w:hAnsi="arial" w:cs="arial"/>
          <w:b w:val="0"/>
          <w:i w:val="0"/>
          <w:strike w:val="0"/>
          <w:noProof w:val="0"/>
          <w:color w:val="000000"/>
          <w:position w:val="0"/>
          <w:sz w:val="20"/>
          <w:u w:val="none"/>
          <w:vertAlign w:val="baseline"/>
        </w:rPr>
        <w:t xml:space="preserve">) </w:t>
      </w:r>
      <w:hyperlink r:id="rId97" w:history="1">
        <w:r>
          <w:rPr>
            <w:rFonts w:ascii="arial" w:eastAsia="arial" w:hAnsi="arial" w:cs="arial"/>
            <w:b w:val="0"/>
            <w:i/>
            <w:strike w:val="0"/>
            <w:noProof w:val="0"/>
            <w:color w:val="0077CC"/>
            <w:position w:val="0"/>
            <w:sz w:val="20"/>
            <w:u w:val="single"/>
            <w:vertAlign w:val="baseline"/>
          </w:rPr>
          <w:t>(78 FR 50778).</w:t>
        </w:r>
      </w:hyperlink>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display quality measure results on the Hospital Compare Web site (</w:t>
      </w:r>
      <w:hyperlink r:id="rId94" w:history="1">
        <w:r>
          <w:rPr>
            <w:rFonts w:ascii="arial" w:eastAsia="arial" w:hAnsi="arial" w:cs="arial"/>
            <w:b w:val="0"/>
            <w:i/>
            <w:strike w:val="0"/>
            <w:noProof w:val="0"/>
            <w:color w:val="0077CC"/>
            <w:position w:val="0"/>
            <w:sz w:val="20"/>
            <w:u w:val="single"/>
            <w:vertAlign w:val="baseline"/>
          </w:rPr>
          <w:t>http://www.hospitalcompare.hhs.gov</w:t>
        </w:r>
      </w:hyperlink>
      <w:r>
        <w:rPr>
          <w:rFonts w:ascii="arial" w:eastAsia="arial" w:hAnsi="arial" w:cs="arial"/>
          <w:b w:val="0"/>
          <w:i w:val="0"/>
          <w:strike w:val="0"/>
          <w:noProof w:val="0"/>
          <w:color w:val="000000"/>
          <w:position w:val="0"/>
          <w:sz w:val="20"/>
          <w:u w:val="none"/>
          <w:vertAlign w:val="baseline"/>
        </w:rPr>
        <w:t>). Regarding the voluntary PRO data collection, because we are collecting the data required to develop a future PRO-based performance measure that will assess hospital quality of care for patients undergoing elective primary THA/TKA procedures, we do not plan to publicly report on Hospital Compare. For the STS CABG Composite measure, which is voluntary for year one, we intend to publicly report if operationally feasible. We plan to utilize notice and comment rulemaking if CMS decides to require this measure in the future and will thus discuss plans for public reporting.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Compliance Enforcement and Termination of an Episode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Overview and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discussion details the enforcement mechanisms we proposed to make available to CMS for the EPM when an EPM participant or certain other individuals or entities fails to comply with the requirements of the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510.410 established that CMS will enforce the CJR model requirements against CJR participant hospitals, and will hold each participant hospital responsible for its own and its CJR collaborators' compliance with CJR model requirements. Given that CJR participant hospitals may receive reconciliation payments, and may choose to distribute or share those </w:t>
      </w:r>
      <w:r>
        <w:rPr>
          <w:rFonts w:ascii="arial" w:eastAsia="arial" w:hAnsi="arial" w:cs="arial"/>
          <w:b/>
          <w:i w:val="0"/>
          <w:strike w:val="0"/>
          <w:noProof w:val="0"/>
          <w:color w:val="000000"/>
          <w:position w:val="0"/>
          <w:sz w:val="20"/>
          <w:u w:val="none"/>
          <w:vertAlign w:val="baseline"/>
        </w:rPr>
        <w:t> [*406] </w:t>
      </w:r>
      <w:r>
        <w:rPr>
          <w:rFonts w:ascii="arial" w:eastAsia="arial" w:hAnsi="arial" w:cs="arial"/>
          <w:b w:val="0"/>
          <w:i w:val="0"/>
          <w:strike w:val="0"/>
          <w:noProof w:val="0"/>
          <w:color w:val="000000"/>
          <w:position w:val="0"/>
          <w:sz w:val="20"/>
          <w:u w:val="none"/>
          <w:vertAlign w:val="baseline"/>
        </w:rPr>
        <w:t xml:space="preserve"> payments with their CJR collaborators, CMS believes that enhanced scrutiny and monitoring of CJR participant hospitals was necessary and appropriate. We also noted in the CJR Final Rule </w:t>
      </w:r>
      <w:hyperlink r:id="rId21" w:history="1">
        <w:r>
          <w:rPr>
            <w:rFonts w:ascii="arial" w:eastAsia="arial" w:hAnsi="arial" w:cs="arial"/>
            <w:b w:val="0"/>
            <w:i/>
            <w:strike w:val="0"/>
            <w:noProof w:val="0"/>
            <w:color w:val="0077CC"/>
            <w:position w:val="0"/>
            <w:sz w:val="20"/>
            <w:u w:val="single"/>
            <w:vertAlign w:val="baseline"/>
          </w:rPr>
          <w:t>(80 FR 73464)</w:t>
        </w:r>
      </w:hyperlink>
      <w:r>
        <w:rPr>
          <w:rFonts w:ascii="arial" w:eastAsia="arial" w:hAnsi="arial" w:cs="arial"/>
          <w:b w:val="0"/>
          <w:i w:val="0"/>
          <w:strike w:val="0"/>
          <w:noProof w:val="0"/>
          <w:color w:val="000000"/>
          <w:position w:val="0"/>
          <w:sz w:val="20"/>
          <w:u w:val="none"/>
          <w:vertAlign w:val="baseline"/>
        </w:rPr>
        <w:t xml:space="preserve"> that by making the CJR participant hospitals responsible for compliance with the model, CMS indirectly will be accounting for CJR collaborators' compliance, in addition to any direct monitoring of such CJR collaborators that HHS (including CMS and OIG) conducts. Furthermore, § 510.410 established that upon discovering an instance of CJR collaborator noncompliance with the CJR model, CMS, HHS, or a respective designee may take remedial action against the CJR participant hospital, including requiring the participant hospital to terminate a sharing arrangement with a CJR collaborator and to prohibit further engagement in the CJR model by that collaborator, and CMS may also increase a participant hospital's repayment. Section 510.410 as well as section 1115A of the Social Security Act authorizes CMS to reduce or eliminate a participant hospital's reconciliation payment as well as increase a participant hospital's repayment amount. We proposed an enforcement structure for the EPM that will be consistent with the CJR model, as we believe the CJR model and the EPM share many of the same policy characteristics.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Compliance Enforcement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CMS will have the remedial actions detailed in § 512.460(b)(2) available for use against any EPM participant where the EPM participant or its EPM collaborator, collaboration agent, or downstream collaboration agent is not compliant with the applicable requirements as set forth in § 512.460(b)(1). These compliance tools will support CMS' objectives for the EPM to maintain or improve quality of care, reduce program expenditures, safeguard program integrity, protect against fraud and abuse, and deter noncompliance with EPM requirements. Furthermore, preventing EPM participants from engaging in avoiding high-cost and high-severity patients or from targeting low-cost and low-severity patients will further CMS' goals under the CR incentive payment model to reduce cardiovascular mortality, improve health-related quality of life, and reduce the risk of hospital admission. Additionally, these compliance tools will support CMS' aim under the EPM that beneficiaries receive complete and accurate information, including notices which promote increasing consumer engagement and freedom of choice. Given that EPM participants may choose to enter into sharing arrangements with EPM collaborators, those EPM collaborators may have distribution arrangements with collaboration agents, and those collaboration agents may have downstream distribution arrangements with downstream collaboration agents, we believe that enhanced scrutiny and monitoring of EPM participants and their EPM collaborators, collaboration agents, and downstream collaboration agents is necessary and appropriate in order to mitigate program integrity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the CJR model, we proposed to hold the EPM participant responsible for its own and its EPM collaborators' compliance with the EPM requirements. Additionally, in the EPM proposed rule we proposed to add EPM participant responsibility for the other individuals and entities with financial arrangements under the EPM. This was based in part on the proposed addition of ACOs and hospitals, including CAHs, as EPM collaborators. Specifically, because we proposed to allow additional entities and individuals to be EPM collaborators, collaboration agents, or downstream collaboration agents, we must have tools to address noncompliance with the requirements of the EPM by these entities and individuals as well. Overall, we concluded in the proposed rule that EPM participants should ensure that any entity or individual with a financial arrangement under the EPM complies with model requirements in order to safeguard program integrity.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CMS have authority to take remedial action against an EPM participant if its related EPM collaborator, collaboration agent, or downstream collaboration agent fails to comply with the requirements of the EPM; has signed a sharing arrangement, distribution arrangement, or downstream distribution arrangement that is noncompliant with the requirements of the EPM; takes any action that threatens the health or safety of patients; avoids at-risk beneficiaries; avoids patients on the basis of payer status; is subject to sanctions or final actions of an accrediting organization or federal, state, or local government that could lead to the inability to comply with the requirements of the EPM; takes any action that CMS determines for program integrity reasons is not in the best interests of the applicable EPM, or fails to take any action that CMS determines for program integrity reasons should have been taken to further the best interests of the EPM; is subject to action to redress an allegation of fraud or significant misconduct; or is subject to action involving violations of certain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relevant to the EPM. Moreover, we proposed that for purposes of this provision, "failure to comply with the requirements of the EPM" would specifically include, but not be limited to, avoiding potentially high-cost or high-severity patients; targeting potentially low-cost or low-severity patients; failing to provide medically appropriate services or systematically engaging in the over- or under-delivery of appropriate care; failing to provide beneficiaries with complete and accurate information, including required notices; failing to allow beneficiary choice of medically necessary options, including non-surgical options; or failing to follow the requirements related to sharing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remedial actions included issuing a warning letter to the EPM participant; requiring the EPM participant to develop a corrective action plan; reducing or eliminating the EPM participant's reconciliation payment; reducing or eliminating the EPM participant's CR incentive payment; requiring the EPM participant to terminate a sharing arrangement with an EPM collaborator and prohibit further engagement by the EPM participant in sharing arrangements with the EPM collaborator; and terminating the EPM participant's participation in the EPM. Where a participant is terminated from the EPM, we proposed that the EPM participant would remain liable to CMS for all negative NPRA generated from episodes of care that occurred prior to termination. In addition, we noted that any information collected by CMS in relation to termination of a participant from the EPM would be shared with our program integrity colleagues at HHS, the Department of Justice, and their respective designees. We noted further that should an EPM participant, or one of its related EPM collaborators, collaboration agents, or downstream collaboration agents, be noncompliant with the requirements of the EPM or engage in unlawful behavior related to participation in the EPM, such information could be used in proceedings unrelated to the administrative enforcement mechanisms in this section. We believe these remedial actions are necessary tools to safeguard program integrity, including protecting against fraud and abuse and deterring noncompliance with EPM requirements. </w:t>
      </w:r>
      <w:r>
        <w:rPr>
          <w:rFonts w:ascii="arial" w:eastAsia="arial" w:hAnsi="arial" w:cs="arial"/>
          <w:b/>
          <w:i w:val="0"/>
          <w:strike w:val="0"/>
          <w:noProof w:val="0"/>
          <w:color w:val="000000"/>
          <w:position w:val="0"/>
          <w:sz w:val="20"/>
          <w:u w:val="none"/>
          <w:vertAlign w:val="baseline"/>
        </w:rPr>
        <w:t> [*407]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summary, we set forth in proposed § 512.460 that EPM participants must comply with all requirements outlined in part 512. We specified that, except as specifically noted in this part,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this part must not be construed to affect the applicable payment, coverage, program integrity, or other requirements under this chapter (such as those in parts 412 and 482).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we proposed in § 512.460 that CMS may take remedial actions if an EPM participant or its related EPM collaborators, collaboration agents, or downstream collaboration agents--</w:t>
      </w:r>
    </w:p>
    <w:p>
      <w:pPr>
        <w:keepNext w:val="0"/>
        <w:numPr>
          <w:numId w:val="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Fails to comply with any applicable requirements of this part or is identified as noncompliant through monitoring by HHS (including CMS and OIG) of the EPM, including but not limited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Avoiding potentially high-cost or high-severity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Targeting potentially low-cost or low-severity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Failing to provide medically appropriate services or systematically engaging in the over- or under-delivery of appropriate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Failing to provide beneficiaries with complete and accurate information, including required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Failing to allow beneficiary choice of medically-necessary options, including non-surgical options;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Failing to follow the requirements related to sharing arrangements.</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signed a sharing arrangement, distribution arrangement, or downstream distribution arrangement that is noncompliant with the requirements of this part;</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Takes any action that threatens the health or safety of patients;</w:t>
      </w:r>
    </w:p>
    <w:p>
      <w:pPr>
        <w:keepNext w:val="0"/>
        <w:numPr>
          <w:numId w:val="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Avoids at risk Medicare beneficiaries, as this term is defined in § 425.20 of this part;</w:t>
      </w:r>
    </w:p>
    <w:p>
      <w:pPr>
        <w:keepNext w:val="0"/>
        <w:numPr>
          <w:numId w:val="4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Avoids patients on the basis of payer status;</w:t>
      </w:r>
    </w:p>
    <w:p>
      <w:pPr>
        <w:keepNext w:val="0"/>
        <w:numPr>
          <w:numId w:val="4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subject to sanctions or final actions of an accrediting organization or federal, state, or local government agency that could lead to the inability to comply with the requirements of this part;</w:t>
      </w:r>
    </w:p>
    <w:p>
      <w:pPr>
        <w:keepNext w:val="0"/>
        <w:numPr>
          <w:numId w:val="4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Takes any action that CMS determines for program integrity reasons is not in the best interests of the EPM, or fails to take any action that CMS determines for program integrity reasons should have been taken to further the best interests of the EPM;</w:t>
      </w:r>
    </w:p>
    <w:p>
      <w:pPr>
        <w:keepNext w:val="0"/>
        <w:numPr>
          <w:numId w:val="4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subject to action by HHS (including OIG and CMS) or the Department of Justice to redress an allegation of fraud or significant misconduct, including intervening in a False Claims Act qui tam matter, issuing a pre demand or demand letter under a civil sanction authority, or similar actions; or</w:t>
      </w:r>
    </w:p>
    <w:p>
      <w:pPr>
        <w:keepNext w:val="0"/>
        <w:numPr>
          <w:numId w:val="4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Is subject to action involving violations of the physician self-referral law, civil monetary penalties law, Federal anti-kickback statute,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or any other applicable Medicare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relevant to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remedial actions to include the following:</w:t>
      </w:r>
    </w:p>
    <w:p>
      <w:pPr>
        <w:keepNext w:val="0"/>
        <w:numPr>
          <w:numId w:val="4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Issuing a warning letter to the EPM participant.</w:t>
      </w:r>
    </w:p>
    <w:p>
      <w:pPr>
        <w:keepNext w:val="0"/>
        <w:numPr>
          <w:numId w:val="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Requiring the EPM participant to develop a corrective action plan, commonly referred to as a CAP.</w:t>
      </w:r>
    </w:p>
    <w:p>
      <w:pPr>
        <w:keepNext w:val="0"/>
        <w:numPr>
          <w:numId w:val="4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Reducing or eliminating the EPM participant's reconciliation payment.</w:t>
      </w:r>
    </w:p>
    <w:p>
      <w:pPr>
        <w:keepNext w:val="0"/>
        <w:numPr>
          <w:numId w:val="4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Reducing or eliminating the EPM participant's CR incentive payment.</w:t>
      </w:r>
    </w:p>
    <w:p>
      <w:pPr>
        <w:keepNext w:val="0"/>
        <w:numPr>
          <w:numId w:val="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Requiring the EPM participant to terminate a sharing arrangement with an EPM collaborator and prohibit further engagement by the EPM participant in sharing arrangements with the EPM collaborator.</w:t>
      </w:r>
    </w:p>
    <w:p>
      <w:pPr>
        <w:keepNext w:val="0"/>
        <w:numPr>
          <w:numId w:val="4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Terminating the EPM participant's participation in the EPM. Where a participant is terminated from an EPM, the EPM participant will remain liable for all negative NPRA generated from EPM episodes that occurred prior to 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we proposed that CMS may add 25 percent to a repayment amount on the EPM participant's reconciliation report if all of the following conditions are met:</w:t>
      </w:r>
    </w:p>
    <w:p>
      <w:pPr>
        <w:keepNext w:val="0"/>
        <w:numPr>
          <w:numId w:val="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has required a corrective action plan from the EPM participant.</w:t>
      </w:r>
    </w:p>
    <w:p>
      <w:pPr>
        <w:keepNext w:val="0"/>
        <w:numPr>
          <w:numId w:val="4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owes a repayment amount to CMS.</w:t>
      </w:r>
    </w:p>
    <w:p>
      <w:pPr>
        <w:keepNext w:val="0"/>
        <w:numPr>
          <w:numId w:val="4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fails to timely comply with the corrective action plan or is noncompliant with the EPM's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compliance enforcement were included in proposed § 512.460. We sought comment on our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acknowledged the need for remedial actions proposed by CMS under the EPM to address EPM participant noncompliance with EPM requirements. However, some commenters expressed concern about CMS' proposal that EPM participants would be held responsible for the compliance of their related EPM collaborators, collaboration agents, and downstream collaboration agents. The commenters claimed that such an expansive accountability for the conduct of others would create a large regulatory and legal burden for the EPM participant, especially regarding collaboration agents and downstream collaboration agents with which EPM participants do not have direct contractual relationships. One commenter stated their belief that while EPM participants can and should validate that each EPM collaborator, collaboration agent, and downstream collaboration agent has a compliance program, EPM participants should not be responsible for the compliance of these individuals and entities with the requirements of the EPM. The commenter asserted that the compliance of these parties is essentially out of the EPM participant's control when the individual or entity with a financial arrangement under the EPM is not owned or operated by the EPM participant. The commenter urged CMS to instead hold each EPM collaborator, collaboration agent, and downstream collaboration agent accountable for its own compliance with the requirements of the EPM or, at a minimum, to identify specific elements for which the EPM participant would be responsible for the compliance of its related EPM collaborators, collaboration agents, and downstream collaboration agents.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concerns of some of the commenters regarding the potential burdens on EPM participants associated with accountability for the conduct of other individuals and entities, especially for those individuals and entities that do not have direct contractual relationships with the EPM participant. With regard to the commenter's belief that EPM participants can and should validate that each EPM collaborator, collaboration agent, and downstream collaboration agent has a compliance program, we want to clarify that our proposal for financial arrangements would only require that an EPM collaborator have a compliance program that includes oversight of the sharing arrangement as proposed in § 512.500(b)(4). We did not propose to require that collaboration agents or downstream collaboration agents have a compliance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under the EPM, the EPM participant is the sole entity that is financially accountable to CMS. It is only through an EPM participant that the opportunity exists for EPM collaborators, collaboration agents, and downstream collaboration agents to have financial arrangements under the EPM. In addition, because only EPM participants can generate internal cost savings and receive reconciliation payments and then choose to distribute those funds through gainsharing payments to EPM collaborators, we believe a focus on EPM participants is necessary and appropriate. Therefore, </w:t>
      </w:r>
      <w:r>
        <w:rPr>
          <w:rFonts w:ascii="arial" w:eastAsia="arial" w:hAnsi="arial" w:cs="arial"/>
          <w:b/>
          <w:i w:val="0"/>
          <w:strike w:val="0"/>
          <w:noProof w:val="0"/>
          <w:color w:val="000000"/>
          <w:position w:val="0"/>
          <w:sz w:val="20"/>
          <w:u w:val="none"/>
          <w:vertAlign w:val="baseline"/>
        </w:rPr>
        <w:t> [*408] </w:t>
      </w:r>
      <w:r>
        <w:rPr>
          <w:rFonts w:ascii="arial" w:eastAsia="arial" w:hAnsi="arial" w:cs="arial"/>
          <w:b w:val="0"/>
          <w:i w:val="0"/>
          <w:strike w:val="0"/>
          <w:noProof w:val="0"/>
          <w:color w:val="000000"/>
          <w:position w:val="0"/>
          <w:sz w:val="20"/>
          <w:u w:val="none"/>
          <w:vertAlign w:val="baseline"/>
        </w:rPr>
        <w:t xml:space="preserve"> the enforcement authority over the EPM participant is key to successfully implementing these models and ensuring program integrity.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the Shared Savings Program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425.210(b) and § 425.218 similarly permit CMS to hold ACOs accountable for not only the noncompliance of their ACO participants and ACO providers/suppliers but also for the noncompliance of any other individuals or entities performing functions or services related to ACO activities. Furthermore, CMS may terminate the participation agreement with an ACO when an ACO, ACO participants, ACO providers/suppliers, or other individuals or entities performing functions or services related to ACO activities fail to comply with any of the requirements of the Shared Savings Program under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scope of the compliance enforcement authority in the Shared Savings Program is similar to our proposal to hold the EPM participant accountable for the noncompliance of its related EPM collaborators, collaboration agents, and downstream distribution agents.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EPM proposed rule and in this final rule, we provide our rationale for the EPM requirements that we proposed and are finalizing, which we believe are necessary to advance the goals of the EPM, protect beneficiaries from potential adverse consequences of the EPM, and provide program integrity safeguards for the Medicare program. We believe it is important that EPM participants, EPM collaborators, collaboration agents, and downstream collaboration agents consider these requirements holistically and determine how to best to achieve compliance. Thus, we will not identify only a subset of EPM requirements or the other proposed provisions to identify noncompliance specified in § 512.460(b)(1)(i) through (ix) for which we will hold the EPM participant responsible with respect to its related EPM collaborators, collaboration agents, or downstream collaboration agents.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emphasize that entering into sharing arrangements is a choice that EPM participants may make, and EPM participants also have the choice as to whom to select as an EPM collaborator based on selection criteria developed by the EPM participant as specified in § 512.500(a)(3) and finalized in this final rule. In addition, EPM participants have the authority through their contracts with their EPM collaborators to address the conduct of collaboration agents and downstream collaboration agents.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asserted that the compliance enforcement provisions that CMS proposed will not protect EPM beneficiaries in a timely manner. The commenter observed that CMS specifically proposed to allow for termination of an EPM participant's participation in the EPM or termination of a sharing arrangement when an EPM participant or its related EPM collaborator, collaboration agents, or downstream collaboration agent discriminates against at-risk Medicare beneficiaries by avoiding caring for them or takes an action that threatens patients' health or safety. However, the commenter expressed concern that CMS did not appear to allow the termination of an EPM participant or termination of a sharing arrangement for an EPM participant or EPM collaborator, respectively, found to have purposefully steered a patient to a particular provider which it knew, or should have known, would fail to provide needed care. The commenter claimed that CMS' proposal also did not address the termination of providers found to have deliberately administered substandard care. The commenter stated that termination or exclusion of poorly performing providers from the EPM is important because participants cannot ultimately control patient choice and where beneficiaries choose to go post-discharge. The commenter urged CMS to expressly allow for remedial action in the case of an EPM participant or an EPM collaborator who repeatedly withholds care as referenced in other parts of the proposed rule, or steers patients to particular providers which it knew, or should have known, would fail to provide needed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concern about protecting beneficiaries under the EPM from the potentially harmful consequences of withholding care, providing substandard care, or steering beneficiaries to particular providers who fail to provide needed care. These are serious concerns, and we believe that our proposal for compliance enforcement under the EPM allows CMS to take remedial action if any of these circumstances are discovered. We proposed in § 512.460(b)(1)(iii) that CMS may take remedial action against any EPM participant when the EPM participant or its related EPM collaborator, collaboration agent, or downstream collaboration agent takes any action that threatens the health or safety of patients. If an EPM participant, EPM collaborator, collaboration agent, or downstream collaboration agent is found to have taken any action that threatens the health or safety of patients, including but not limited to, withholding care, providing substandard care, or steering beneficiaries to certain providers or suppliers who will fail to provide needed care,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adopted in this final rule allow CMS to take remedial action. Moreover, CMS may take remedial action in response to actions that threaten health and safety that include the types of actions the commenter requested, including issuing a warning letter to the EPM participant; requiring the EPM participant to develop a corrective action plan; reducing or eliminating the EPM participant's reconciliation payment; increasing the EPM participant's repayment amount; reducing or eliminating the EPM participant's CR incentive payment; requiring the EPM participant to terminate a sharing arrangement with an EPM collaborator and prohibit further engagement by the EPM participating in sharing arrangements with the EPM collaborator; or terminating the EPM participant's participation in the EPM.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that CMS address how a patient's clinical outcome may be considered when determining noncompliance with the requirements of the EPM. The commenter stated there could be scenarios where health care that may not be in the best interest of an EPM participant's cost performance under the EPM may be clinically in the best interest of the patient.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concern that compliance enforcement take into account what is clinically in the best interest of the patient. We note that the types of noncompliance we identified in our proposal in § 512.460(b)(1)(i) included failing to provide medically appropriate services or systematically engaging in the over- or under-delivery of appropriate care or failing to allow beneficiary choice of medically necessary options, including non-surgical options. Each case of noncompliance determined based on the provisions in § 512.460(b)(1) will be considered on a case-by-case basis, and CMS will weigh both the financial interests of the Medicare program and the clinical needs of beneficiaries when determining the appropriate remedial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encouraged CMS to clarify the proposal in § 512.460(b)(1)(vii) that CMS may take remedial action if an EPM participant or its related EPM collaborator, collaboration agent, or downstream collaboration agent "takes </w:t>
      </w:r>
      <w:r>
        <w:rPr>
          <w:rFonts w:ascii="arial" w:eastAsia="arial" w:hAnsi="arial" w:cs="arial"/>
          <w:b/>
          <w:i w:val="0"/>
          <w:strike w:val="0"/>
          <w:noProof w:val="0"/>
          <w:color w:val="000000"/>
          <w:position w:val="0"/>
          <w:sz w:val="20"/>
          <w:u w:val="none"/>
          <w:vertAlign w:val="baseline"/>
        </w:rPr>
        <w:t> [*409] </w:t>
      </w:r>
      <w:r>
        <w:rPr>
          <w:rFonts w:ascii="arial" w:eastAsia="arial" w:hAnsi="arial" w:cs="arial"/>
          <w:b w:val="0"/>
          <w:i w:val="0"/>
          <w:strike w:val="0"/>
          <w:noProof w:val="0"/>
          <w:color w:val="000000"/>
          <w:position w:val="0"/>
          <w:sz w:val="20"/>
          <w:u w:val="none"/>
          <w:vertAlign w:val="baseline"/>
        </w:rPr>
        <w:t xml:space="preserve"> any action that CMS determines for program integrity reasons is not in the best interests of the applicable episode payment model, or fails to take any action that CMS determines for reasons of program integrity should have been taken to further the best interests of the EPM." The commenter requested that in the final rule, CMS provide examples of actions that are not clear violations of existing fraud and abuse statutes that would fall into this category of noncompliance.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proposed provision in § 512.460(b)(1)(vii) where the commenter requested that CMS provide examples would allow CMS the flexibility to take remedial action where the EPM participant or its related EPM collaborator, collaboration agent, or downstream collaboration agent takes any action that CMS determines is not in the best interests of the EPM, or fails to take any action that CMS determines for program integrity reasons should have been taken to further the best interests of the EPM. This provision is purposefully structured to include noncompliance that is not a clear violation of existing fraud and abuse statutes. For example, an EPM participant could fail to respond to a request from CMS for records to enable the investigation into concerns about the potential selection of EPM collaborators based on the volume and value of referrals. In this scenario, CMS could determine that the EPM participant was noncompliant based on this proposed provision because the EPM participant failed to provide access to records so that the potential program integrity concerns could be assessed. Thus, CMS could take remedial action in this example by issuing a warning letter to the EPM participant regarding the need to supply the requested records. In another example, if an audit of claims for physicians' services furnished to EPM beneficiaries by a collaboration agent found a high error rate in payment due to incorrect coding, CMS could determine for program integrity reasons that the coding errors of the collaboration agent are not in the best interests of the EPM. CMS could then take remedial action by requiring the EPM participant to develop a corrective action plan to address the coding errors.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concern about the proposal in § 512.460(b)(1)(ix) that CMS may take remedial action when the EPM participant or its related EPM collaborator, collaboration agent, or downstream collaboration is subject to action involving violations of the physician self-referral law, civil monetary penalties law, Federal anti-kickback statute,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or any other applicable Medicare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relevant to the EPM. The commenter stated specifically that violations "of any other applicable Medicare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relevant to EPM" is overly broad so that CMS should apply a reasonable knowledge standard to the EPM participant's awareness of a collaborator's involvement in such matters.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interest in the standard that CMS will apply for purposes of the proposed provision in § 512.460(b)(1)(ix) in identifying circumstances when an EPM participant or its related EPM collaborator, collaboration agent, or downstream collaboration agent is subject to action for violations of the specified laws, or any other applicable Medicare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relevant to the EPM. However, we disagree with the commenter's suggestion that CMS apply a reasonable knowledge standard to the EPM participant's awareness of a collaborator's involvement in such matters. We believe the information regarding whether an individual or entity is "subject to action" should be readily available to the EPM participant. EPM participants can also include provisions in their contracts to require that they be notified when such circumstances exist. Accordingly, we believe it is reasonable to expect that the EPM participant will be aware of all such circumstances when its related EPM collaborator, collaboration agent, or downstream collaboration agent is specifically subject to action involving violations of the physician self-referral law, civil monetary penalties law, Federal anti-kickback statute,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or any other applicable Medicare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relevant to the EPM. Therefore, we believe that use of a bright-line standard is more appropriate to determine compliance with this provision, regardless of what specific individual or entity is subject to action for a violation.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that CMS strengthen the accountability for EPM participants that are found to withhold or delay care by imposing a separate financial penalty that is independent of repayment responsibility. The commenter reasoned that an EPM participant that has already had to repay CMS the maximum percentage permitted under the EPM, that is, met the stop-loss limit, will have little incentive to refrain from other potentially harmful cost-cutting strategies unless the EPM participant could be subject to a separate financial penalty that is not subject to the EPM stop-loss limit.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Given the proposed compliance tools for the EPM, as well as the existing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prohibit care stinting, provision of substandard care, or denial of medically necessary care, we believe that it is unnecessary to implement a process for a separate financial penalty outside of the compliance tools that we proposed. When an EPM participant or its related EPM collaborator, collaboration agent, or downstream collaboration agent engages in these noncompliant behaviors, CMS may take remedial action, including reducing or eliminating the EPM participant's reconciliation payment or reducing or eliminating the EPM participant's CR incentive payment amount. In addition, under circumstances where CMS has required a corrective action plan, the EPM participant owes a repayment amount to CMS, and the EPM participant fails to timely comply with the corrective action plan or is noncompliant with the EPM's requirements, we proposed that CMS may add 25 percent to a repayment amount on an EPM participant's reconciliation report. We are clarifying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this final rule that the 25 percent is a penalty.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we note that in accordance with the provisions finalized in § 512.305(d) for determination of the reconciliation payment or repayment amount, we first calculate the NPRA for a performance year that is adjusted, if applicable, for the stop-loss or stop-gain percentage that applies. Next, we add in the results from the post-episode spending and ACO overlap calculations, if applicable, for the prior performance year. Finally, we adjust the reconciliation or repayment amount as described in §§ 512.460(b) and (c). Thus, the potential financial penalty of up to 25 percent of the repayment amount on an EPM participant's reconciliation report if certain conditions are met is not subject to the EPM stop-loss limitation. Therefore, the EPM participant has a continuing financial incentive to refrain from other potentially harmful cost-cutting strategies that could lead CMS to apply this financial penalty even if that EPM participant already has to repay CMS the maximum percentage permitted under the stop-loss limitation under the EPM. We believe this structure for the financial penalty is consistent with the request of the commenter.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512.460 for </w:t>
      </w:r>
      <w:r>
        <w:rPr>
          <w:rFonts w:ascii="arial" w:eastAsia="arial" w:hAnsi="arial" w:cs="arial"/>
          <w:b/>
          <w:i w:val="0"/>
          <w:strike w:val="0"/>
          <w:noProof w:val="0"/>
          <w:color w:val="000000"/>
          <w:position w:val="0"/>
          <w:sz w:val="20"/>
          <w:u w:val="none"/>
          <w:vertAlign w:val="baseline"/>
        </w:rPr>
        <w:t> [*410] </w:t>
      </w:r>
      <w:r>
        <w:rPr>
          <w:rFonts w:ascii="arial" w:eastAsia="arial" w:hAnsi="arial" w:cs="arial"/>
          <w:b w:val="0"/>
          <w:i w:val="0"/>
          <w:strike w:val="0"/>
          <w:noProof w:val="0"/>
          <w:color w:val="000000"/>
          <w:position w:val="0"/>
          <w:sz w:val="20"/>
          <w:u w:val="none"/>
          <w:vertAlign w:val="baseline"/>
        </w:rPr>
        <w:t xml:space="preserve"> compliance enforcement, with modification to clarify that the 25 percent that CMS may add to the repayment amount under certain conditions is a penalty. The compliance enforcement provisions for the EPM are:</w:t>
      </w:r>
    </w:p>
    <w:p>
      <w:pPr>
        <w:keepNext w:val="0"/>
        <w:numPr>
          <w:numId w:val="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EPM participants must comply with all of the requirements outlined in this part. Except as specifically noted in this part,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this part must not be construed to affect the applicable payment, coverage, program integrity, or other requirements under this chapter (such as those in parts 412 and 482 of this chapter).</w:t>
      </w:r>
    </w:p>
    <w:p>
      <w:pPr>
        <w:keepNext w:val="0"/>
        <w:numPr>
          <w:numId w:val="4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may take one or more of the remedial actions set forth in this section if an EPM participant or its related EPM collaborator, collaboration agent, or downstream collaboration agent does any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Fails to comply with any requirements of this part or is identified as noncompliant through monitoring by HHS (including CMS and OIG) of the EPM, including but not limited to any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--Avoiding potentially high-cost or high-severity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--Targeting potentially low-cost or low-severity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--Failing to provide medically appropriate services or systematically engaging in the over- or under-delivery of appropriate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--Failing to provide beneficiaries with complete and accurate information, including required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--Failing to allow beneficiary choice of medically necessary options, including non-surgical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--Failing to follow the requirements related to sharing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Has signed a sharing arrangement, distribution arrangement, or downstream distribution arrangement that is noncompliant with the requirements of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Takes any action that threatens the health or safety of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Avoids at-risk Medicare beneficiaries, as this term is defined in § 425.20 of this chapter.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Avoids patients on the basis of payer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Is subject to sanctions or final actions of an accrediting organization or Federal, state, or local government agency that could lead to the inability to comply with the requirements and provisions of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Takes any action that CMS determines for program integrity reasons is not in the best interests of the EPM, or fails to take any action that CMS determines for program integrity reasons should have been taken to further the best interests of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Is subject to action by HHS (including OIG and CMS) or the Department of Justice to redress an allegation of fraud or significant misconduct, including intervening in a False Claims Act qui tam matter, issuing a pre-demand or demand letter under a civil sanction authority, or similar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 subject to action involving violations of the physician self-referral law, civil monetary penalties law, Federal anti-kickback statute,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or any other applicable Medicare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relevant to the EPM.</w:t>
      </w:r>
    </w:p>
    <w:p>
      <w:pPr>
        <w:keepNext w:val="0"/>
        <w:numPr>
          <w:numId w:val="4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Remedial actions include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Issuing a warning letter to the EPM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Requiring the EPM participant to develop a corrective action plan, commonly referred to as a CAP.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Reducing or eliminating the EPM participant's reconciliation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Reducing or eliminating the EPM participant's CR incentive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Requiring the EPM participant to terminate a sharing arrangement with an EPM collaborator and prohibit further engagement by the EPM participant in sharing arrangements with the EPM collaborator.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Terminating the EPM participant's participation in the EPM. Where a participant is terminated from an EPM, the EPM participant will remain liable for all negative NPRA generated from EPM episodes that ended prior to termination.</w:t>
      </w:r>
    </w:p>
    <w:p>
      <w:pPr>
        <w:keepNext w:val="0"/>
        <w:numPr>
          <w:numId w:val="4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may add a 25 percent penalty to a repayment amount on the EPM participant's reconciliation report if all of the following conditions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CMS has required a corrective action plan from the EPM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EPM participant owes a repayment amount to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EPM participant fails to timely comply with the corrective action plan or is noncompliant with the EPM's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Termination of an Episode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set forth in proposed § 512.900 that CMS may terminate any EPM for reasons including, but not limited to, the following:</w:t>
      </w:r>
    </w:p>
    <w:p>
      <w:pPr>
        <w:keepNext w:val="0"/>
        <w:numPr>
          <w:numId w:val="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no longer has the funds to support the applicable model.</w:t>
      </w:r>
    </w:p>
    <w:p>
      <w:pPr>
        <w:keepNext w:val="0"/>
        <w:numPr>
          <w:numId w:val="4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terminates the applicable model in accordance with section 1115A(b)(3)(B) of the Act. As provided by section 1115A(d)(2) of the Act, termination of the model is not subject to administrative or judicial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any comments on these proposals.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the proposals in § 512.900 for termination of an EPM, with editorial modifications. CMS may terminate any EPM for reasons including, but not limited to, one of the following:</w:t>
      </w:r>
    </w:p>
    <w:p>
      <w:pPr>
        <w:keepNext w:val="0"/>
        <w:numPr>
          <w:numId w:val="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no longer has the funds to support the EPM; or</w:t>
      </w:r>
    </w:p>
    <w:p>
      <w:pPr>
        <w:keepNext w:val="0"/>
        <w:numPr>
          <w:numId w:val="4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terminates the EPM in accordance with section 1115A(b)(3)(B) of the Act. As provided by section 1115A(d)(2) of the Act, termination of the model is not subject to administrative or judicial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Monitoring and Beneficiary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 and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AMI, CABG, and SHFFT models, we proposed to complement the CJR model implemented in 2016, as we believe the proposed EPMs represented additional opportunities to improve beneficiary access, patient outcomes, and overall quality of care across a broader spectrum of clinical conditions. The proposed EPM policies were intended to support making care more easily accessible to beneficiaries when and where they need it, increasing beneficiary engagement and thereby informing beneficiary choices.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we stated our belief that the proposed EPMs would improve beneficiary access and outcomes, but we further noted that these same opportunities could be used to try to steer beneficiaries into lower cost services without an appropriate emphasis on maintaining or increasing quality. We refer to section III.E.3 of the proposed rule </w:t>
      </w:r>
      <w:hyperlink r:id="rId9" w:history="1">
        <w:r>
          <w:rPr>
            <w:rFonts w:ascii="arial" w:eastAsia="arial" w:hAnsi="arial" w:cs="arial"/>
            <w:b w:val="0"/>
            <w:i/>
            <w:strike w:val="0"/>
            <w:noProof w:val="0"/>
            <w:color w:val="0077CC"/>
            <w:position w:val="0"/>
            <w:sz w:val="20"/>
            <w:u w:val="single"/>
            <w:vertAlign w:val="baseline"/>
          </w:rPr>
          <w:t>(81 FR 50881</w:t>
        </w:r>
      </w:hyperlink>
      <w:r>
        <w:rPr>
          <w:rFonts w:ascii="arial" w:eastAsia="arial" w:hAnsi="arial" w:cs="arial"/>
          <w:b w:val="0"/>
          <w:i w:val="0"/>
          <w:strike w:val="0"/>
          <w:noProof w:val="0"/>
          <w:color w:val="000000"/>
          <w:position w:val="0"/>
          <w:sz w:val="20"/>
          <w:u w:val="none"/>
          <w:vertAlign w:val="baseline"/>
        </w:rPr>
        <w:t xml:space="preserve"> through 50893) for discussion of the methodology for incorporating quality into the payment structure and the measures utilized for these models, which we believe could help identify and mitigate these possibilities.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Beneficiary Choice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with the CJR model, we proposed that all hospitals (with some limited exceptions) in the selected geographic areas for each EPM would participate in the proposed EPMs. An individual beneficiary will retain full choice of providers as they do currently, but upon agreeing to be admitted to an EPM participant that results in discharge from an MS-DRG that initiates an EPM episode, the beneficiary will not be able to opt out of his or her care being included in an EPM episode under the responsibility of that EPM participant. We do not believe that it is appropriate or consistent with other Medicare programs to allow a patient to opt out of a payment system that is unique to </w:t>
      </w:r>
      <w:r>
        <w:rPr>
          <w:rFonts w:ascii="arial" w:eastAsia="arial" w:hAnsi="arial" w:cs="arial"/>
          <w:b/>
          <w:i w:val="0"/>
          <w:strike w:val="0"/>
          <w:noProof w:val="0"/>
          <w:color w:val="000000"/>
          <w:position w:val="0"/>
          <w:sz w:val="20"/>
          <w:u w:val="none"/>
          <w:vertAlign w:val="baseline"/>
        </w:rPr>
        <w:t> [*411] </w:t>
      </w:r>
      <w:r>
        <w:rPr>
          <w:rFonts w:ascii="arial" w:eastAsia="arial" w:hAnsi="arial" w:cs="arial"/>
          <w:b w:val="0"/>
          <w:i w:val="0"/>
          <w:strike w:val="0"/>
          <w:noProof w:val="0"/>
          <w:color w:val="000000"/>
          <w:position w:val="0"/>
          <w:sz w:val="20"/>
          <w:u w:val="none"/>
          <w:vertAlign w:val="baseline"/>
        </w:rPr>
        <w:t xml:space="preserve"> a particular geographic area. For example, the state of Maryland has a unique payment system under Medicare, but that payment system does not create an alternative care delivery system, nor does it in any way impact beneficiary decisions. Moreover, we do not believe that an ability to opt out of a payment system is a factor in upholding beneficiary choice or is otherwise advantageous to beneficiaries or even germane to beneficiary decisions, given that the proposed EPMs will not increase beneficiary cost-sharing. However, we also believe that full notification and disclosure of the EPMs and their possible implications is critical for beneficiary understanding and protection. Further, it is important to create safeguards for beneficiaries to ensure that care recommendations are based on clinical needs and not inappropriate cost savings. This is particularly important when one entity is held accountable for payments across multiple provider settings as in the design of the proposed EPMs. It also is important for beneficiaries to know that they can raise any concerns with their physicians, with the 1-800-MEDICARE helpline, or with their local Quality Improvement Organizations (QIOs).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with the CJR model and other episode-based payment models, the proposed EPMs will not limit a beneficiary's ability to choose among Medicare providers or the range of services that will be available to them. Beneficiaries will continue to choose any Medicare participating provider, or any provider that has opted out of Medicare, with the same costs, copayments and responsibilities as they have for other Medicare services that are not included in an EPM episode. Although the proposed EPMs will allow EPM participants to enter into sharing arrangements with certain providers, suppliers, and ACOs and allow EPM participants to recommend to beneficiaries preferred providers and suppliers, within the constraints of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EPM participants may not restrict beneficiaries to a list of preferred or recommended providers or suppliers that surpass any restrictions that already exist under current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Moreover, an EPM participant may not charge any EPM collaborator a fee to be included on a list of preferred providers or suppliers, nor may the EPM participant accept such payments, which would be considered to be outside the realm of sharing arrangements. Although the emergent nature of some of the clinical conditions that are the focus of the proposed EPMs may limit beneficiaries' abilities to plan the hospital where they will be treated for these conditions, such constraint should be no different than it will be in the absence of the EPMs. Thus, the proposed EPMs will not create any new restriction of beneficiary freedom to choose providers, including surgeons, hospitals, post-acute care providers, or any other providers or suppliers.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specifically safeguard beneficiary freedom of choice in decision-making about care following hospital discharge, we proposed to require that, similar to CJR participant hospitals, EPM participants must, as part of discharge planning, account for potential financial bias by providing each patient with a complete list of all available post-acute care options in the applicable service area consistent with medical need, including beneficiary cost-sharing and quality information (where available and as applicable). We stated our expectation that the treating physician, as well as all other treating practitioners, would continue to identify and discuss all medically appropriate options with the beneficiary, and that the EPM participant will discuss the various facilities and providers available to meet the clinically identified needs. These proposed requirements for EPM participants would supplement the discharge planning requirements under existing CoPs. We also specifically note that neither the CoPs nor this proposed transparency requirement preclude EPM participants from recommending preferred providers and suppliers within the constraints created by current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coordination of care and optimization of care are important factors for successful participation in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comment on these proposals, including additional opportunities to ensure high quality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that beneficiaries be permitted to opt out of the EPMs. One commenter was concerned that a beneficiary may try to "opt out" by driving to another hospital that is not an EPM participant, thus restricting the beneficiary's freedom of choice.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proposing that beneficiaries are not able to opt out of the EPMs, we meant that beneficiaries are not able to opt out of having their care, when furnished in an EPM episode, paid for under the EPM methodology. Once a beneficiary initiates an episode through admission to an EPM participant for a clinical condition that results in discharge from an MS-DRG that begins an EPM episode, their care is automatically included in the EPM and they are unable to opt out of having their care included in an EPM episode. In the geographic region of that EPM participant, the EPM is how Medicare pays for care for the clinical condition that is the focus of that EPM episode. Beneficiaries do have the choice to avoid their care being paid for under the EPM by choosing to be admitted to a hospital that is not an EPM participant, which would require that the hospital be in a different MSA that has not been selected for EPM participation. In some cases, such as elective CABG, a beneficiary may choose to travel to a hospital that is not a CABG model participant for surgery that is planned in advance if the beneficiary does not want his or her care to be paid for under the CABG model. However, in most cases under the proposed EPMs this choice is infeasible because beneficiaries with AMI or hip fracture are often transported to hospitals by emergency medical services that use transport protocols to determine the hospital that will receive the beneficiary. In other cases of AMI, even though beneficiaries may travel themselves to an emergency department, it is likely that the severity of AMI symptoms will lead them to go to the nearest hospital emergency department. Once the treatment plan for the hip fracture or AMI is established in the emergency department, to the extent that plan may include immediate admission for surgery or medical management, it is infeasible and unsafe for the beneficiary to choose to travel to another hospital at that point to avoid their care being included in an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not allowing beneficiaries to opt out of having their care paid for under the EPM, this does not mean that their right to choose or decline otherwise covered Medicare items and services is limited. EPM beneficiaries retain their right to choose or decline items and services that are covered by Medicare. The EPMs are testing changes to how Medicare pays for care but, like Medicare payment systems, they neither define nor limit coverage, nor limit beneficiary choices to any specific covered services. In both the EPMs and other Medicare payment methodologies, providers are expected to not treat Medicare beneficiaries differently from other patients based on differences in Medicare payment. Moreover, the beneficiary safeguards adopted in this final rule ensure that the EPM payment structure does not disadvantage </w:t>
      </w:r>
      <w:r>
        <w:rPr>
          <w:rFonts w:ascii="arial" w:eastAsia="arial" w:hAnsi="arial" w:cs="arial"/>
          <w:b/>
          <w:i w:val="0"/>
          <w:strike w:val="0"/>
          <w:noProof w:val="0"/>
          <w:color w:val="000000"/>
          <w:position w:val="0"/>
          <w:sz w:val="20"/>
          <w:u w:val="none"/>
          <w:vertAlign w:val="baseline"/>
        </w:rPr>
        <w:t> [*412] </w:t>
      </w:r>
      <w:r>
        <w:rPr>
          <w:rFonts w:ascii="arial" w:eastAsia="arial" w:hAnsi="arial" w:cs="arial"/>
          <w:b w:val="0"/>
          <w:i w:val="0"/>
          <w:strike w:val="0"/>
          <w:noProof w:val="0"/>
          <w:color w:val="000000"/>
          <w:position w:val="0"/>
          <w:sz w:val="20"/>
          <w:u w:val="none"/>
          <w:vertAlign w:val="baseline"/>
        </w:rPr>
        <w:t xml:space="preserve"> Medicare beneficiaries. We note that within traditional FFS Medicare we do not allow beneficiaries to opt out of any Medicare payment systems as payment systems exist to ensure appropriate payment for similar services across beneficiaries and across providers. Furthermore, because beneficiary cost-sharing is unchanged under the EPMs, it does not have a direct financial effect on beneficiaries and, therefore, minimizes any impacts on beneficiary freedom of choice.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discuss in the next section our requirement for beneficiary notification under the EPMs that must contain an explanation of the model and how it may or may not impact their care; notification that the beneficiary retains freedom of choice to choose providers and services for the EPM episode (where those choices are especially relevant during the 90 days following hospital discharge); explanation of how patients can access care records and claims data through an available patient portal, and how they can share access to their Blue Button(R) electronic health information with caregivers; a statement that all existing Medicare beneficiary protections continue to be available to the beneficiary, including the ability to report concerns of substandard care to the QIOs and the 1-800-MEDICARE helpline; and a list of the providers and suppliers with whom the EPM participant has a sharing arrangement. We also require that individuals and entities with financial arrangements under the EPMs furnishing care to EPM beneficiaries provide notice to the beneficiary of the EPM's structure and the existence of the financial arrangement. Even if the clinical condition of a beneficiary makes it unrealistic for the beneficiary to make an active choice about whether or not his or her care is included in an EPM episode, we believe the notification policies provide important safeguards to protect beneficiary freedom of choice and access to care throughout EPM episodes which continue for 90 days following discharge from the anchor hospitalization. Notification allows beneficiaries to understand the potential impact of the EPMs on their care and gives them the opportunity to understand the interests of all parties when they are presented with care recommendations that may lead to less costly care under the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commended CMS for providing beneficiaries with the ability to choose among Medicare providers and the range of services that would be available to them under the EPM. Some commenters were pleased that EPM participants may not limit beneficiaries upon hospital discharge to receiving services only from preferred or recommended providers. Other commenters believe that changes to beneficiary care patterns under the EPMs may result in beneficiaries not being given true choice to continue to receive care within their home community and advocated for stronger protections to ensure that this choice is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provided suggestions about strategies CMS could employ to ensure that beneficiary freedom of choice is not being compromised under the EPMs. They encouraged CMS to monitor EPM episode claims data and publish these findings as part of the EPM evaluation to promote transparency and an understanding of the EPM's effects. The commenters supported CMS' proposal to review and audit hospitals if CMS has reason to believe an EPM participant is compromising beneficiary access to care. The commenters also recommended that CMS explore both the retrospective monitoring reviews discussed in the proposal rule, as well as the potential for real-time monitoring to provide more immediate information about EPM beneficiary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of the commenters for our proposal that beneficiaries retain their freedom to choose providers and suppliers, as well services, under the EPMs, in the context of the EPMs that encourage increased care coordination and clinical pathways that may improve the quality and efficiency of EPM episodes. We understand and share the interest of the commenters in ensuring that this freedom of choice is realized in practice in the experience of EPM beneficiaries, when the financial incentives under the EPMs may lead EPM participants and treating providers and suppliers to make specific treatment recommendations to advance the EPM goal of improving the quality and efficiency of care. We believe that our final policies for beneficiary notification, including our requirements for the provision of a list of post-acute care providers as part of discharge planning and for monitoring throughout the EPMs as discussed in sections III.G.3. through 6. of this final rule, provide important safeguards for EPM beneficiary freedom of choice. Monitoring will help us to confirm that EPM beneficiary freedom of choice is not being restricted and to address timely issues of noncompliance by EPM participants or their related EPM collaborators, collaboration agents, or downstream collaboration agents that arise.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provided a variety of perspectives on CMS' proposal to require, as part of discharge planning and referral, EPM participants to inform beneficiaries of all Medicare participating post-acute care providers in an area and identify those post-acute care providers with whom the EPM participant has sharing arrangements, as well as the proposal that EPM participants may recommend preferred provider and suppliers, consistent with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in favor of CMS' proposal reasoned that it was most consistent with maintaining beneficiary choice under the EPMs, in the context of the financial incentives of the EPMs to reduce episode spending. However, even under CMS' proposal, multiple commenters were apprehensive about the potential for patient "soft steering" between EPM participants and post-acute care providers to occur due to the incentives for EPM participants to reduce expenditures, which could result in stinting on care or directing beneficiaries to low-cost providers that may provide substandard care. Several commenters were concerned that if an EPM participant reduced the number of preferred providers the EPM participant recommends in response to the financial incentives under the EPMs, patients may be required to travel further for care or be cared for by a provider that is not the best fit for their medical needs. A number of commenters recommended that CMS could mitigate the potential for soft steering by adding additional requirements for the information provided to EPM beneficiaries about post-acute care providers. One commenter urged CMS to institute such additional requirements for those preferred providers that are recommended by an EPM participant, including requiring that any preferred provider furnished enhanced services and/or higher quality services. Another commenter urged CMS to minimize steering by requiring hospitals to inform patients and their families of the post-acute care options available in their geographic area, as well as the pros and cons of selecting a particular post-acute care provider, including the provider's capabilities and limitations.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disagreed with elements of CMS' proposed requirements for the information that EPM participants must provide to beneficiaries as part of the discharge planning process. Some commenters objected to CMS' proposal that the EPM participant provide each patient with a "complete list of all available post-acute care options in the applicable service </w:t>
      </w:r>
      <w:r>
        <w:rPr>
          <w:rFonts w:ascii="arial" w:eastAsia="arial" w:hAnsi="arial" w:cs="arial"/>
          <w:b/>
          <w:i w:val="0"/>
          <w:strike w:val="0"/>
          <w:noProof w:val="0"/>
          <w:color w:val="000000"/>
          <w:position w:val="0"/>
          <w:sz w:val="20"/>
          <w:u w:val="none"/>
          <w:vertAlign w:val="baseline"/>
        </w:rPr>
        <w:t> [*413] </w:t>
      </w:r>
      <w:r>
        <w:rPr>
          <w:rFonts w:ascii="arial" w:eastAsia="arial" w:hAnsi="arial" w:cs="arial"/>
          <w:b w:val="0"/>
          <w:i w:val="0"/>
          <w:strike w:val="0"/>
          <w:noProof w:val="0"/>
          <w:color w:val="000000"/>
          <w:position w:val="0"/>
          <w:sz w:val="20"/>
          <w:u w:val="none"/>
          <w:vertAlign w:val="baseline"/>
        </w:rPr>
        <w:t xml:space="preserve"> area," arguing that a complete list may be difficult to keep current because post-acute care providers change often. Other commenters claimed that providing a complete list of post-acute care providers is not useful and will confuse and overwhelm beneficiaries when they receive this list, as well as a list of preferred providers and suppliers. The commenters pointed out that the complete list does not identify the quality of the post-acute care providers. As such, commenters suggested that EPM participants be permitted to provide a preferred list of post-acute care providers only, as long as that list is compiled based upon objective quality metrics which are explained to the beneficiary. Several commenters requested that CMS allow EPM participants to provide a list of post-acute care options based on the patient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who urged CMS to allow EPM participants to provide a preferred list also requested that all Medicare discharge planning requirements be waived since EPM participants are being held financially accountable for costs throughout the episode. The commenters contended that by receiving a targeted list of post-acute care providers to choose from, EPM beneficiaries would be more likely to engage in their follow up care. Alternatively, the commenters recommended that if CMS does not allow EPM participants to provide only a preferred list that EPM participants should be allowed to exclude certain post-acute care providers with poor quality performance from the complete list. They rationalized these suggestions by stating that continuity of care efforts may be hampered between EPM participants and preferred providers if beneficiaries choose to receive post-acute care services from providers on the complete list as opposed to the preferred list, particularly if those post-acute care providers have poor quality performance, yet the EPM participant is still responsible for the cost and quality performance of the EPM episode. The commenters further asserted that in order to align with the goals of the EPM to reduce cost and improve quality of care and care coordination through care redesign efforts, EPM participants should be permitted collaborate with post-acute care providers by selectively targeting those post-acute care providers best able to meet the need for consistency of care and ongoing collaboration and communication with EPM participants regarding the care of EPM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in favor of providing only a preferred list believe this approach would make it easier for physicians to know which beneficiaries are in the EPMs and for which they are accountable. Several commenters urged CMS to allow hospitals, physicians, and post-acute care facilities to organize into provider teams that can better coordinate care for patients and improve adherence to treatment plans throughout the episode. The commenters were concerned about EPM participants that would be held accountable for EPM episode quality and spending if the patient chooses a sub-optimal post-discharge facility and believe that EPM participants should be able to recommend post-acute care providers that they have evaluated and work with to provide higher quality, lower cost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Given the wide range of the commenters' views, we believe that our proposed policy on the information about post-acute care providers that must be shared with beneficiaries as part of discharge planning and referral represents a middle position that appropriately balances transparency and beneficiaries' need to be informed of their full range of post-acute care provider options to maintain freedom of choice, with EPM participants' desire to inform beneficiaries of those post-acute care providers that are most efficient and provide the highest quality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requiring the provision of a complete list is most consistent with the CoP on discharge planning in § 482.43 and ensures that beneficiaries have full information about post-acute care providers in the area. To allow EPM participants to provide only a preferred list, even if that list were compiled based on objective criteria, could restrict beneficiary freedom of choice of providers and suppliers under the EPM and would be inconsistent with the discharge planning CoP on that basis. It could also increase the risk of patient "soft steering" between EPM participants and post-acute care providers due to the incentives for EPM participants to reduce expenditures, which could result in stinting on care or directing beneficiaries to low-cost providers that may provide substandard care. We did not propose to waive any aspect of the discharge planning CoP and continue to believe the CoP provides important protections for Medicare beneficiaries, including those in an EPM episode, regarding discharge planning, while the proposed EPM requirements are designed to supplement existing discharge planning requirements in the context of the EPMs. We also disagree with the commenters that providing a complete list of post-acute care providers in the area would reduce the likelihood of meaningful beneficiary engagement in follow up care as compared to their engagement if we were to permit EPM participants to provide only a list of preferred providers and suppliers.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as we proposed we are requiring EPM participants to provide a complete list of post-acute care providers to EPM beneficiaries as part of discharge planning and referral, and we will not waive Medicare's discharge planning CoP. EPM participants need to make sure the complete list provided to EPM beneficiaries is based on the most current, available information. There are publicly available sources that can be used to maintain and update complete lists of post-acute care providers in the area. Because such complete lists are required to be presented to patients for whom home health care or post-hospital extended care services are indicated and appropriate as determined by the discharge planning evaluation under the discharge planning CoP in the discharge plan for patients who are likely to suffer adverse health consequences upon discharge if there is no adequate discharge planning under § 482.43, we believe that EPM participants already prepare such lists for many beneficiaries. Therefore, applying this requirement to all EPM beneficiaries with a medical need for a specific level of post-acute care services does not result in any significant additional administrative burden on EPM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proposed to require that EPM participants provide each patient with a complete list of all available post-acute care options in the applicable service area consistent with medical need, we did not propose the parameters related to medical need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We agree with the commenters that the complete list of post-acute care providers presented to EPM beneficiaries should be based on medical need. For example, we do not believe it would be appropriate for an EPM participant to provide a complete list of SNFs to an EPM beneficiary as part of discharge planning and referral if SNF care would not be medically necessary for the beneficiary following hospital discharge. Therefore, we are clarifying in § 512.450(a)(1) that as part the discharge planning and referral, EPM participants must provide a complete list of HHAs, SNFs, IRFs, or LTCHs that are participating in the Medicare program in an area, and that this list must be presented to EPM beneficiaries for whom home health care, SNF, IRF, or LTCH services are medically necessary. </w:t>
      </w:r>
      <w:r>
        <w:rPr>
          <w:rFonts w:ascii="arial" w:eastAsia="arial" w:hAnsi="arial" w:cs="arial"/>
          <w:b/>
          <w:i w:val="0"/>
          <w:strike w:val="0"/>
          <w:noProof w:val="0"/>
          <w:color w:val="000000"/>
          <w:position w:val="0"/>
          <w:sz w:val="20"/>
          <w:u w:val="none"/>
          <w:vertAlign w:val="baseline"/>
        </w:rPr>
        <w:t> [*414]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further note that, while this list must include all post-acute care providers that meet the regulatory requirements and, therefore, may not exclude those post-acute care providers with poor quality performance based on the provisions of the EPM, we also proposed to require that the complete list include beneficiary cost-sharing and quality information (where available and as applicable), although we did not incorporate this in our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do not believe it would be appropriate for the complete list to require that beneficiary cost-sharing and quality information be included due to the potential burden on EPM participants to prepare this additional information. However, we are confirming that EPM participants may provide beneficiary cost-sharing and quality information about post-acute care providers on the complete list, as long the EPM participant includes cost-sharing and quality information that is comparable for all the post-acute care providers on the complete list. Providing this information on only a subset of post-acute care providers on the complete list could be used to steer beneficiaries to certain post-acute care providers and that would be contrary to the purposes of transparency and beneficiary freedom of choice that are the underlying reasons for providing the complete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commenters who expressed concern that beneficiaries would be confused by the complete list of post-acute care providers, especially if also provided with a preferred list of providers, we believe that discharge planning involves discussions with beneficiaries and caregivers and that those professionals engaged in discharge planning, including the treating physician as well as all other treating practitioners, will continue to identify and discuss all medically appropriate options with the beneficiary to meet the beneficiary's clinically identified needs. In addition, we expect that the EPM participant will discuss the various facilities and providers available to meet the clinically identified needs, taking into account patient and family preferences when they are expressed. We are confident that through these important discussions related to post-discharge planning EPM participants will be available to satisfactorily address any confusion on the part of beneficiaries and caregivers about the list(s) of post-acute care providers that the EPM beneficiary receives.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EPM participants could also identify preferred providers and suppliers as part of the discharge planning and referral process, consistent with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This would allow EPM participants to provide information to EPM beneficiaries about high-quality, efficient providers that an EPM participant would prefer patients choose, on the basis of internal assessments of quality and cost. Because we recognize that there may be many high quality and efficient post-acute care providers and suppliers who do not enter into sharing arrangements with EPM participants, we do not believe that the EPM participant's list of preferred providers and suppliers must include only EPM collaborators, nor do we believe that all EPM collaborators must be considered to be preferred providers and suppliers.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understand that some commenters would like us to additionally require that the preferred providers and suppliers recommended by the EPM participant be determined based on specific criteria such as the provision of enhanced services or higher quality care in order to further safeguard against patient steering in discharge planning, we believe that establishing such requirements would be overly prescriptive and is unnecessary. Because EPM participants are responsible for EPM episode cost and quality performance, and the EPM episode includes the period of time during which an EPM beneficiary would be receiving post-acute care services following discharge from the anchor hospitalization, EPM participants have a vested interest in recommending only those post-acute care providers on a preferred list that the EPM participant has reason to believe will provide care that will advance the EPM goals. Therefore, we do not believe it is necessary for to us to set additional requirements for the list of preferred providers and suppliers beyond those already applicable under existing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because to do so would limit the flexibility of EPM participants to identify such preferred providers and suppliers. We recommend that EPM participants be transparent in how preferred providers and suppliers are generally selected, and note that policies that define the relationships between the EPM participant and the physicians and post-acute care providers and suppliers in its region must be consistent with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but we do not believe that the details of hospitals' internal business processes must be disclosed.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Allowing EPM participants to recommend post-acute care providers on the preferred list to EPM beneficiaries, in addition to providing the complete list, meets the need of EPM participants for care redesign that improves the quality and reduces the cost of EPM episodes through collaboration with post-acute care providers that are best able to provide consistency of care and ongoing collaboration and communication with EPM participants regarding the care of EPM beneficiaries, while not restricting beneficiary freedom of choice. We disagree that considerations of ease of physician identification and tracking of EPM beneficiaries should be a consideration in determining the lists of post-acute care providers that are provided to EPM beneficiaries as part of the discharge planning and referral process. EPM participants are accountable for EPM episodes and, therefore, have the primary identification and tracking responsibility for EPM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agree with those commenters who believe that hospitals, physicians, and post-acute care facilities that organize into provider teams may better coordinate care for patients and improve adherence to treatment plans throughout the EPM episodes. Our provisions for financial arrangements under the EPMs that are discussed in section III.I. of this final rule facilitate the financial alignment of providers, suppliers, and ACOs in care redesign that advances the goals of the EPMs. By allowing EPM participants to recommend to EPM beneficiaries post-acute care providers on a preferred list, while requiring transparency about the existence of sharing arrangements with post-acute care providers on the list and prohibiting EPM participants from charging fees or accepting payments from any EPM collaborator to be on the list, we expect that EPM participants will be able to capitalize on the care redesign work of such teams, without restricting beneficiary freedom of choice. EPM participants are able to recommend post-acute care providers on a preferred list that is developed in a way that is consistent with applicable statues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who they have evaluated and work with to provide higher quality, lower cost care, as long as the financial relationships among the parties are disclosed.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since there is no requirement that the beneficiary receive post-acute care services from a provider on a preferred list, we do not believe the size of the preferred list will influence the distance an EPM beneficiary needs to travel for post-acute care services. The beneficiary may select any provider of post-acute care services for care, and the EPM participant must also provide a complete list of post-acute care </w:t>
      </w:r>
      <w:r>
        <w:rPr>
          <w:rFonts w:ascii="arial" w:eastAsia="arial" w:hAnsi="arial" w:cs="arial"/>
          <w:b/>
          <w:i w:val="0"/>
          <w:strike w:val="0"/>
          <w:noProof w:val="0"/>
          <w:color w:val="000000"/>
          <w:position w:val="0"/>
          <w:sz w:val="20"/>
          <w:u w:val="none"/>
          <w:vertAlign w:val="baseline"/>
        </w:rPr>
        <w:t> [*415] </w:t>
      </w:r>
      <w:r>
        <w:rPr>
          <w:rFonts w:ascii="arial" w:eastAsia="arial" w:hAnsi="arial" w:cs="arial"/>
          <w:b w:val="0"/>
          <w:i w:val="0"/>
          <w:strike w:val="0"/>
          <w:noProof w:val="0"/>
          <w:color w:val="000000"/>
          <w:position w:val="0"/>
          <w:sz w:val="20"/>
          <w:u w:val="none"/>
          <w:vertAlign w:val="baseline"/>
        </w:rPr>
        <w:t xml:space="preserve"> providers in the area so that the beneficiary has complete information to make his or her choice.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clarification of "in the area" in the context of the requirement that EPM participants must inform beneficiaries of all Medicare participating post-acute care providers in the area as part of discharge planning and referral because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did not define this phrase. The commenters observed that "in the area" could have different meanings for different EPM participants and beneficiaries. One commenter noted that for EPM participants that provide tertiary care, it would be unreasonable to require them to provide a complete list of post-acute care providers in the patient's home service area when it is not the same service area as the EPM participant.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in the proposed rule </w:t>
      </w:r>
      <w:hyperlink r:id="rId9" w:history="1">
        <w:r>
          <w:rPr>
            <w:rFonts w:ascii="arial" w:eastAsia="arial" w:hAnsi="arial" w:cs="arial"/>
            <w:b w:val="0"/>
            <w:i/>
            <w:strike w:val="0"/>
            <w:noProof w:val="0"/>
            <w:color w:val="0077CC"/>
            <w:position w:val="0"/>
            <w:sz w:val="20"/>
            <w:u w:val="single"/>
            <w:vertAlign w:val="baseline"/>
          </w:rPr>
          <w:t>(81 FR 50915),</w:t>
        </w:r>
      </w:hyperlink>
      <w:r>
        <w:rPr>
          <w:rFonts w:ascii="arial" w:eastAsia="arial" w:hAnsi="arial" w:cs="arial"/>
          <w:b w:val="0"/>
          <w:i w:val="0"/>
          <w:strike w:val="0"/>
          <w:noProof w:val="0"/>
          <w:color w:val="000000"/>
          <w:position w:val="0"/>
          <w:sz w:val="20"/>
          <w:u w:val="none"/>
          <w:vertAlign w:val="baseline"/>
        </w:rPr>
        <w:t xml:space="preserve"> the proposed requirement for EPM participants to inform beneficiaries of all participating post-acute care providers in an area as part of discharge planning and referral would supplement the discharge planning requirements under the existing CoP. The intention of this EPM requirement is to ensure that beneficiaries are given information about potential post-acute care options in a geographic area that is convenient to the beneficiary after discharge from the hospital. Therefore, for consistency with the complete lists of HHAs or SNFs already required for some patients in the discharge plan under the discharge planning CoP, we are requiring that EPM participants provide a list of HHAs, SNFs, IRFs, or LTCHs that are available to the EPM beneficiary, that are participating in the Medicare program, and that serve the geographic area (as defined by the HHA) in which the patient resides, or in the case of a SNF, IRF, or LTCH, in the geographic area requested by the patient. As discussed previously, this list must be presented to EPM beneficiaries for whom home health care, SNF, IRF, or LTCH services are medically necessary. We have added to § 512.2 the definition of area that is the same definition used in the CoP for discharge planning. Area means "as defined in § 400.200 of this chapter, the geographical area within the boundaries of a State, or a State or other jurisdiction, designated as constituting an area with respect to which a Professional Standards Review Organization or a Utilization and Quality Control Peer Review Organization has been or may be designated." We note that we expect the SNF list provided to an EPM beneficiary would also include all rural hospital providers of SNF-level care in swing beds in the geographic area requested by the patient.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who was concerned that it would be unreasonable to require EPM participants to provide a complete list of post-acute care providers in the patient's home service area when it is not the same service area as the EPM participant, we note that this requirement already exists under the CoP for discharge planning for those Medicare beneficiaries who need a discharge plan and for whom home health care is indicated and appropriate as determined by the discharge planning evaluation. The EPMs simply extend this requirement to all EPM beneficiaries so we believe the provision of such lists is feasible for EPM participants. We emphasize that the EPMs do not restrict Medicare beneficiaries' ability to choose to receive post-acute care services from any Medicare-enrolled provider, regardless of the geographic location of that provider.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encouraged CMS to allow EPM participants to educate beneficiaries on where electronic listings of post-acute care providers can be found, rather than providing EPM participants with hard copy lists. The commenters suggested that beneficiaries could be provided with a notification advising where the complete, electronic list could be located, and that beneficiaries may receive a hard copy upon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requested that CMS, rather than the EPM participant, provide a list of all Medicare-participating post-acute care providers through the CMS and/or MAC Web sites, as CMS already has this information. The commenters asserted that compiling, updating and providing this information is an administrative burden on EPM participants that could be better handled by CMS.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commenters' feedback regarding the form and preparation of the complete list of post-acute care providers that EPM participants must provide to EPM beneficiaries based on medical necessity as part of discharge planning and referral. We believe it is imperative to provide the complete list, as well as a preferred list if applicable, in a written manner as part of discharge planning and referral. Beneficiaries may not have online access at the time of discharge planning, and we believe that the presentation of hard copy lists is key to facilitating productive discharge planning discussions with beneficiaries and caregivers. EPM participants are welcome to post these lists on their Web site to supplement any hard copy list provided as a part of discharge planning and referral.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believe that the EPM participant, rather than CMS, is in the best position to provide the complete list of post-acute care providers that is medically necessary for an EPM beneficiary. Because such complete lists are required to be presented to patients for whom home health care or post-hospital extended care services are indicated and appropriate as determined by the discharge planning evaluation under the discharge planning CoP in the discharge plan for patients who are likely to suffer adverse health consequences upon discharge if there is no adequate discharge planning under § 482.43, we believe that EPM participants already prepare such lists for many beneficiaries. In addition, we expect that the EPM participant will discuss with the EPM beneficiary the various facilities and providers available to meet the clinically identified needs, taking into account patient and family preferences when they are expressed and, therefore, the EPM participant is best-positioned to prepare the complete list and provide it to the EPM beneficiary.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stated their belief that the best approach to avoiding patient steering and promoting patient choice is by educating the beneficiary about the EPMs and the effects on the care they may receive. Some commenters further requested that CMS mandate shared decision-making tools be used during the discharge planning process, such as a patient-decision aid to provide balanced, evidence-based sources of information about treatment options. Several commenters encouraged CMS to adopt more detailed requirements for an all-inclusive discharge planning process that engages a broad team of health professionals in the discharge decision-making process, considers the beneficiary's personal health care goals and preferences in order to provide for better access to care, and does not lose sight of what best meets the needs of the individual patient, while still being cost-effective. One commenter urged CMS to specifically require that discharge planning involve an interdisciplinary team that incorporates expertise in all post-acute care capabilities.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who believes that discharge planning has historically been focused on getting the patient out of the hospital rather than any extended planning relative to post-hospital care </w:t>
      </w:r>
      <w:r>
        <w:rPr>
          <w:rFonts w:ascii="arial" w:eastAsia="arial" w:hAnsi="arial" w:cs="arial"/>
          <w:b/>
          <w:i w:val="0"/>
          <w:strike w:val="0"/>
          <w:noProof w:val="0"/>
          <w:color w:val="000000"/>
          <w:position w:val="0"/>
          <w:sz w:val="20"/>
          <w:u w:val="none"/>
          <w:vertAlign w:val="baseline"/>
        </w:rPr>
        <w:t> [*416] </w:t>
      </w:r>
      <w:r>
        <w:rPr>
          <w:rFonts w:ascii="arial" w:eastAsia="arial" w:hAnsi="arial" w:cs="arial"/>
          <w:b w:val="0"/>
          <w:i w:val="0"/>
          <w:strike w:val="0"/>
          <w:noProof w:val="0"/>
          <w:color w:val="000000"/>
          <w:position w:val="0"/>
          <w:sz w:val="20"/>
          <w:u w:val="none"/>
          <w:vertAlign w:val="baseline"/>
        </w:rPr>
        <w:t xml:space="preserve"> urged CMS to consider the wider and time-extended responsibility for post-hospital care planning that occurs under an EPM. The commenter requested that CMS require the EPM participant to offer advance care planning discussions as part of care planning that represents the evolution of hospital discharge planning to fit the needs of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requested that CMS provide a discharge planning notice template to ensure that discharge planning under the EPMs leads to successful transitions. One commenter further recommended that CMS soften the language in the CoP for discharge planning to enable more fruitful conversations between patients and their care teams, and ultimately more effective and efficient transitions of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of the commenters in successful discharge planning for EPM beneficiaries that results in improved quality and reduced costs for EPM episodes. As discussed previously, we did not propose to waive any aspect of the discharge planning CoP and continue to believe the CoP provides important protections for Medicare beneficiaries, including those included in an EPM episode of care, regarding discharge planning, while the proposed EPM requirements are designed to supplement existing discharge planning requirements in the context of the EPMs. We believe that adopting additional requirements under the EPMs for discharge planning or care planning beyond those that currently exist under all applicable statues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be overly restrictive for EPM participants without providing additional, necessary beneficiary safeguards and is, therefore, unnecessary. Therefore, we will not require EPM participants to engage in specific additional activities such as advance care planning, use specific strategies such as shared decision-making tools, or involve specified teams of health professionals, beyond any existing requirements under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For these same reasons, we also decline to adopt the commenters' suggestion that CMS provide a discharge planning template to EPM participants, as we believe such a template would be overly restrictive.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expect that the accountability of EPM participants for the cost and quality of EPM episodes will lead them to work toward successful discharge planning that results in post-discharge services and beneficiary experiences that advance the EPM goals. As part of care redesign, we expect that EPM participants may make changes to their current discharge planning processes to improve care coordination and informed beneficiary decision-making to the extent these factors are expected to improve the quality and efficiency of EPM episode care and the revised approaches are consistent with all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512.450(a) for beneficiary choice under the EPMs, with modification to clarify the complete list of post-acute care providers to be provided to the EPM beneficiary as part of discharge planning and referral. Additionally, we are finalizing the proposal that beneficiaries cannot opt out of having their care included in an EPM episode, without modification. The EPM beneficiary choice policies are the following:</w:t>
      </w:r>
    </w:p>
    <w:p>
      <w:pPr>
        <w:keepNext w:val="0"/>
        <w:numPr>
          <w:numId w:val="4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EPMs do not restrict Medicare beneficiaries' ability to choose any Medicare enrolled provider or supplier, or any physician or practitioner who has opted out of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 part of discharge planning and referral, EPM participants must provide a complete list of HHAs, SNFs, IRFs, or LTCHs that are participating in the Medicare program, and that serve the geographic area (as defined by the HHA) in which the patient resides, or in the case of a SNF, IRF, or LTCH, in the geographic area requested by the patient.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list must be presented to EPM beneficiaries for whom home health care, SNF, IRF, or LTCH services are medically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--EPM participants must specify on the list those post-acute care providers on the list with whom they have a sharing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--EPM participants may recommend preferred providers and suppliers, consistent with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--EPM participants may not limit beneficiary choice to any list of providers or suppliers in any manner other than that permitted under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--EPM participants must take into account patient and family preferences when they are expressed.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--EPM participants may not charge any EPM collaborator a fee to be included on any list of preferred providers or suppliers, nor may the EPM participant accept such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Beneficiary Notification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stated in the EPM proposed rule, we believe that beneficiary notification and engagement is essential because under the proposed EPMs, there will be a change in the way EPM participants are paid, which could affect the type of care or treatments beneficiaries receive. While we believe that existing Medicare provisions are effective in protecting beneficiary freedom of choice and access to appropriate care, we also believe that the additional safeguards implemented with the CJR model will also be appropriate under the proposed EPMs. We believe that appropriate beneficiary notification should--(1) explain the model; (2) advise beneficiaries and their families or caregivers of the beneficiaries' clinical needs and care-delivery choices; and (3) clearly specify that any non-hospital provider holding a risk-sharing arrangement with the EPM participant should be identified to the beneficiary as a financial partner of such EPM participant for the purposes of services covered under the proposed EPMs' episodes. Through these policies, we sought to enhance beneficiaries' understanding of their care, improve their abilities to share in the decision-making, and give them the opportunity to consider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benefits even as they are presented with cost-saving recommendations. We believe that appropriate beneficiary notification should do all of the following:</w:t>
      </w:r>
    </w:p>
    <w:p>
      <w:pPr>
        <w:keepNext w:val="0"/>
        <w:numPr>
          <w:numId w:val="4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Explain the model and how it may or may not impact their care.</w:t>
      </w:r>
    </w:p>
    <w:p>
      <w:pPr>
        <w:keepNext w:val="0"/>
        <w:numPr>
          <w:numId w:val="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 patients that they retain freedom of choice to choose providers and services.</w:t>
      </w:r>
    </w:p>
    <w:p>
      <w:pPr>
        <w:keepNext w:val="0"/>
        <w:numPr>
          <w:numId w:val="4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Explain how patients can access care records and claims data through an available patient portal and through sharing access to care-givers to their Blue Button(R) electronic health information.</w:t>
      </w:r>
    </w:p>
    <w:p>
      <w:pPr>
        <w:keepNext w:val="0"/>
        <w:numPr>
          <w:numId w:val="4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Advise patients that all standard Medicare beneficiary protections remain in place, including the ability to report concerns of substandard care to Quality Improvement Organizations (QIO) and the 1-800-MEDICARE helpline.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we acknowledged that because of the emergent nature of admissions related to the clinical conditions that are the focus of the proposed EPMs, in particular the AMI and SHFFT models, many patients initially admitted for such episodes may not, at the time of admission, be capable of receiving appropriate notification. In addition, there may be situations in which it is not determined until after an admission that the patient's care will be included in an EPM episode. In such situations, because the decision to admit may not be made in advance, it would be appropriate that the notifying entity be the EPM participant. Nonetheless, </w:t>
      </w:r>
      <w:r>
        <w:rPr>
          <w:rFonts w:ascii="arial" w:eastAsia="arial" w:hAnsi="arial" w:cs="arial"/>
          <w:b/>
          <w:i w:val="0"/>
          <w:strike w:val="0"/>
          <w:noProof w:val="0"/>
          <w:color w:val="000000"/>
          <w:position w:val="0"/>
          <w:sz w:val="20"/>
          <w:u w:val="none"/>
          <w:vertAlign w:val="baseline"/>
        </w:rPr>
        <w:t> [*417] </w:t>
      </w:r>
      <w:r>
        <w:rPr>
          <w:rFonts w:ascii="arial" w:eastAsia="arial" w:hAnsi="arial" w:cs="arial"/>
          <w:b w:val="0"/>
          <w:i w:val="0"/>
          <w:strike w:val="0"/>
          <w:noProof w:val="0"/>
          <w:color w:val="000000"/>
          <w:position w:val="0"/>
          <w:sz w:val="20"/>
          <w:u w:val="none"/>
          <w:vertAlign w:val="baseline"/>
        </w:rPr>
        <w:t xml:space="preserve"> consistent with CJR policy, we proposed that EPM participants must: (1) Require all providers and suppliers that execute EPM sharing arrangements with such EPM participants to share with beneficiaries or beneficiary representatives certain notification materials, to be developed or approved by CMS, that detail the applicable EPM; and (2) where feasible, provide such information in advance of admission for services included in EPM episodes. When, due to the emergent nature of the admission, it is not feasible to provide such notification in advance of admissions, we proposed that the EPM participant would be responsible for providing such notifications as soon as reasonably practicable but no later than discharge from the hospital accountable for the episode. Under our proposal, EPM participants would be required to provide such notifications as a condition of any EPM sharing arrangements. Where an EPM participant does not have such sharing arrangements with providers or suppliers that furnish services to beneficiaries during EPM episodes, or where admissions for covered episodes of care are ordered by physicians who do not have such EPM sharing arrangements, we proposed that the EPM participant must provide such beneficiary notification materials at the earliest time that is reasonably practicable but no later than discharge from the hospital accountable for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we proposed that each participant of an ACO that has entered into a sharing arrangement with the EPM participant provide to each EPM beneficiary a written notice of the EPM's structure and the existence of the ACO's sharing arrangement with the EPM participant. Under this proposal, the ACO must require any ACO participant with which such ACO has relevant distribution arrangements, to provide the written notification. We proposed the ACO must provide such beneficiary notification no later than the time at which the beneficiary first receives services from such ACO participant and/or an ACO PGP member collaboration agent during the EPM episode. We understand that various providers and suppliers, including hospitals, may be ACO participants; therefore, if, due to the emergent nature of a particular admission, it is not feasible to provide such notification in advance of such admission, the ACO participant would be responsible for providing such notification as soon as reasonably practicable but no later than discharge from the hospital accountable for the episode. The purpose of this proposed policy was to ensure that all beneficiaries who initiate EPM episodes and/or their designated representatives receive the beneficiary notification materials as early as possible. We believe that this proposal targeted beneficiaries for whom information is relevant, and increased the likelihood that patients would become engaged and seek to understand the EPMs and their potential impact on their care.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proposed that an EPM participant must provide the beneficiary with a written notice of any potential financial liability associated with non-covered services recommended or presented as an option as part of discharge planning, no later than the time that the beneficiary discusses a particular post-acute care option or at the time the beneficiary is discharged, whichever occurs earlier. We proposed that if the hospital knows or should have known that the beneficiary is considering or has decided to receive a non-covered post-acute care service or other non-covered associated service or supply, the hospital must notify the beneficiary that the service would not be covered by Medicare. Moreover, if the hospital is discharging a beneficiary to a SNF prior to the occurrence of a 3-day hospital stay, and the beneficiary is being transferred to or is considering a SNF that would not qualify under the SNF 3-day waiver discussed in section III.J.6.a. of the proposed rule </w:t>
      </w:r>
      <w:hyperlink r:id="rId9" w:history="1">
        <w:r>
          <w:rPr>
            <w:rFonts w:ascii="arial" w:eastAsia="arial" w:hAnsi="arial" w:cs="arial"/>
            <w:b w:val="0"/>
            <w:i/>
            <w:strike w:val="0"/>
            <w:noProof w:val="0"/>
            <w:color w:val="0077CC"/>
            <w:position w:val="0"/>
            <w:sz w:val="20"/>
            <w:u w:val="single"/>
            <w:vertAlign w:val="baseline"/>
          </w:rPr>
          <w:t>(81 FR 50939</w:t>
        </w:r>
      </w:hyperlink>
      <w:r>
        <w:rPr>
          <w:rFonts w:ascii="arial" w:eastAsia="arial" w:hAnsi="arial" w:cs="arial"/>
          <w:b w:val="0"/>
          <w:i w:val="0"/>
          <w:strike w:val="0"/>
          <w:noProof w:val="0"/>
          <w:color w:val="000000"/>
          <w:position w:val="0"/>
          <w:sz w:val="20"/>
          <w:u w:val="none"/>
          <w:vertAlign w:val="baseline"/>
        </w:rPr>
        <w:t xml:space="preserve"> through 50041), the hospital must notify the beneficiary that he or she will be responsible for costs associated with that stay, except those which would be covered by Medicare part B during a non-covered inpatient SNF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all providers and suppliers that are required to provide notice to beneficiaries of the EPM model (participant and collaborator hospitals, PGPs, physicians, nonphysician practitioners, post-acute care providers and suppliers, and ACOs) must be able to, upon request by CMS, indicate compliance with the beneficiary notification requirements outlined in this section. The participant or collaborator should be able to generate a list of beneficiaries that received such notification and when the notification was received and provide it to CMS upon request. We noted that the method employed to document beneficiary notification may vary; for example, some hospitals and collaborators may retain a list of all beneficiaries that received the notification; document in the medical record that the beneficiary received the beneficiary notification; add a barcode to the notification form to be scanned into the medical record; or employ another method of recordkeeping. Regardless of the method used for recordkeeping, the entity must be able to provide CMS with a list of all beneficiaries that received the notification materials in a specified time period. This requirement will aid CMS in monitoring EPM participant and collaborator compliance with the EPM notification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noted that Medicare beneficiaries are accustomed to receiving similar notices of rights and obligations from health care providers prior to the start of inpatient care, or, as appropriate, under emergency conditions. In following the same guidelines established for the CJR model, we aimed to limit confusion and to provide consistent direction to hospitals which may be participating in both the CJR model and the EPMs. We invited comment on ways in which the timing and source of beneficiary notification might be modified to best serve the needs of beneficiaries without creating unnecessary administrative work for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number of commenters stressed that education and counseling for patients and caregivers is crucial to patient outcomes. From the perspective of the commenters, when patients and caregivers receive real-time information from providers in language they can understand, patients and caregivers can then take on more active roles and participate more fully in the care patients receive and make more informed decisions. The commenters commended CMS for recognizing the importance of communication between providers, patients, and caregivers in favorably influencing health outcomes. In addition, the commenters agreed that beneficiaries should be adequately educated about applicable Medicare provisions for their care so that they can make informed choices about what care is appropriate for them. Most commenters were pleased that CMS proposed detailed beneficiary notification requirements that would require EPM participants and CJR hospital participants to advise patients and caregivers of care choices and explain how the EPMs or CJR model might impact the care they receive. One commenter suggested that detailed beneficiary notification should only be provided upon beneficiary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stated that the proposed notification requirements imposed on EPM participants and CJR hospital participants add a significant unnecessary burden with no notable impact on beneficiary care. One </w:t>
      </w:r>
      <w:r>
        <w:rPr>
          <w:rFonts w:ascii="arial" w:eastAsia="arial" w:hAnsi="arial" w:cs="arial"/>
          <w:b/>
          <w:i w:val="0"/>
          <w:strike w:val="0"/>
          <w:noProof w:val="0"/>
          <w:color w:val="000000"/>
          <w:position w:val="0"/>
          <w:sz w:val="20"/>
          <w:u w:val="none"/>
          <w:vertAlign w:val="baseline"/>
        </w:rPr>
        <w:t> [*418] </w:t>
      </w:r>
      <w:r>
        <w:rPr>
          <w:rFonts w:ascii="arial" w:eastAsia="arial" w:hAnsi="arial" w:cs="arial"/>
          <w:b w:val="0"/>
          <w:i w:val="0"/>
          <w:strike w:val="0"/>
          <w:noProof w:val="0"/>
          <w:color w:val="000000"/>
          <w:position w:val="0"/>
          <w:sz w:val="20"/>
          <w:u w:val="none"/>
          <w:vertAlign w:val="baseline"/>
        </w:rPr>
        <w:t xml:space="preserve"> commenter stated that EPM beneficiary notification is unnecessary because providers and suppliers do not provide such notices under the IPPS when a beneficiary is admitted to the hospital. Another commenter stressed that the complexities of patient identification, attribution, and precedence rules make providing the correct notification at the correct time an operational barrier to successful beneficiary notification under the EPM. While several commenters agreed with the idea of promoting transparency for beneficiaries, from their perspective this ideal was outweighed by the administrative burden of beneficiary notification. The commenters stated that the beneficiary notification requirement will require investment in significant heath IT resources to build the necessary tools and reminders in the Electronic Health Record in order to comply with the detailed notification requirement. Several commenters also objected to the proposed requirement that EPM participants furnish to CMS upon request the list of patients who received beneficiary notification and the date the notification was provided on the grounds that it is unduly burdensome. One commenter on the proposal for the CJR model requested that CMS delay the proposed requirement that CJR hospital participants be able to report beneficiaries who received notification until July 1, 2017, noting that it will take time for participants to develop and build information technology programs to retrieve the names of beneficiaries who have received a beneficiary notification, including the date received, for any period of time that CMS may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urged CMS to be responsible for providing the detailed beneficiary notification to alleviate the administrative burden on EPM participants. Furthermore, because participation in the EPMs is required in the selected geographic regions, some commenters suggested that CMS be responsible for providing the beneficiary notification for this reason as well. The commenters speculated CMS could provide the beneficiary notifications via the annual "Medicare &amp; You" handbook that is mailed to all Medicare beneficiaries by adding an insert with the mailing clearly notifying the beneficiary of the Innovation Center models being tested in their MSA and describing how those models may impact beneficiaries who are admitted to a hospital with certain conditions or have certain procedures.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that providing full notification and disclosure of the EPMs or CJR model and the possible implications for beneficiaries' access to care is essential to ensuring that beneficiaries understand the EPMs or CJR model, are protected from potential harm under the EPMs or CJR model, and maintain freedom of choice of providers and suppliers, as well as services, throughout EPM or CJR episodes. We previously finalized detailed beneficiary notification requirements for the CJR model in the CJR Final Rule </w:t>
      </w:r>
      <w:hyperlink r:id="rId21" w:history="1">
        <w:r>
          <w:rPr>
            <w:rFonts w:ascii="arial" w:eastAsia="arial" w:hAnsi="arial" w:cs="arial"/>
            <w:b w:val="0"/>
            <w:i/>
            <w:strike w:val="0"/>
            <w:noProof w:val="0"/>
            <w:color w:val="0077CC"/>
            <w:position w:val="0"/>
            <w:sz w:val="20"/>
            <w:u w:val="single"/>
            <w:vertAlign w:val="baseline"/>
          </w:rPr>
          <w:t>(80 FR 73516</w:t>
        </w:r>
      </w:hyperlink>
      <w:r>
        <w:rPr>
          <w:rFonts w:ascii="arial" w:eastAsia="arial" w:hAnsi="arial" w:cs="arial"/>
          <w:b w:val="0"/>
          <w:i w:val="0"/>
          <w:strike w:val="0"/>
          <w:noProof w:val="0"/>
          <w:color w:val="000000"/>
          <w:position w:val="0"/>
          <w:sz w:val="20"/>
          <w:u w:val="none"/>
          <w:vertAlign w:val="baseline"/>
        </w:rPr>
        <w:t xml:space="preserve"> through 73521). We believe it is essential that this notification be specific to beneficiaries whose care is actually included in the EPMs or CJR model and provided in close proximity (or during) the EPM or CJR episode so it is meaningful to the beneficiary while he or she is receiving recommendations for care during the EPM or CJR episode. In addition, we believe that all beneficiaries whose care is included in an EPM or CJR episode should be provided with detailed information about the model, not just those beneficiaries who request such information. It is not possible for CMS to target notification to the specific Medicare beneficiaries who initiate an EPM or CJR episode; instead, the entity with the best, most timely information on a beneficiary's status is the EPM participant or CJR hospital participant because the beneficiary's EPM or CJR episode initiates at the EPM participant or CJR hospital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the CJR model, the EPMs incorporate financial incentives for reducing the cost of care for all related items and services furnished to EPM beneficiaries during the anchor hospitalization and the 90 days post-hospital discharge. This payment methodology creates the potential for the unintended consequences of reduced access to care or care stinting that are not present under the IPPS, which provides a single payment to the hospital for a hospitalization, without regard to payments for Part B services during the inpatient hospitalization or payment for any Part A or Part B items or services furnished after hospital discharge. Thus, while such notification is not required under the IPPS, we believe the EPM detailed beneficiary notification requirement encourages care recommendations that are based on the clinical needs of beneficiaries and not on inappropriate cost savings. Moreover, we note that all existing Medicare beneficiary protections continue to be available to the EPM beneficiary. These include the ability to report concerns of substandard care to the 1-800-MEDICARE helpline and the QIOs, where staff will be trained to assist EPM beneficiaries with any concerns they may have about their care under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understand that this detailed notification requirement places some additional burden on EPM participants and CJR hospital participants, we believe the value of the notification in protecting beneficiaries from harm and maintaining beneficiary freedom of choice outweighs this burden, given the potential for beneficiary steering and care stinting that may result from the financial incentives under the EPM or CJR model. Based on their early implementation experience with the CJR model, CJR hospital participants already have significant experience with similar detailed notification requirements to those we proposed for the EPMs and CJR model. We further note that EPM participants have experience with required notification of beneficiary rights and obligations upon hospital admission, and we expect EPM participants will draw upon this experience in operationalizing the beneficiary notification requirement for the EPMs. We encourage EPM participants to notify all beneficiaries under circumstances where it is likely that the beneficiary's care will be included in the EPM, even if the EPM participant may be unable to be certain, in view of the rules around model attribution and precedence or the rapid pace of clinical care, in a timeframe that would otherwise allow timely beneficiary notification that meets the EPM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those commenters who specifically objected to the proposed requirement that EPM participants provide to CMS upon request the list of beneficiaries who received notification and the date of that notification, this record access and retention requirement is the same as the requirement for other records under the EPMs where those records must be maintained and the Government provided access to enable audit, evaluation, inspection, or investigation as discussed in section III.H. of this final rule. Given the importance of beneficiary notification as a beneficiary safeguard under the EPMs, we must be able to monitor the sufficiency of such notifications. Additionally, regarding the request of one commenter that we delay implementing the proposed requirement that CJR hospital participants be able to provide information on beneficiaries notified upon request by CMS, as discussed in section V.H. of this final rule, the effective date of the full amended beneficiary notification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510.405 for the CJR </w:t>
      </w:r>
      <w:r>
        <w:rPr>
          <w:rFonts w:ascii="arial" w:eastAsia="arial" w:hAnsi="arial" w:cs="arial"/>
          <w:b/>
          <w:i w:val="0"/>
          <w:strike w:val="0"/>
          <w:noProof w:val="0"/>
          <w:color w:val="000000"/>
          <w:position w:val="0"/>
          <w:sz w:val="20"/>
          <w:u w:val="none"/>
          <w:vertAlign w:val="baseline"/>
        </w:rPr>
        <w:t> [*419] </w:t>
      </w:r>
      <w:r>
        <w:rPr>
          <w:rFonts w:ascii="arial" w:eastAsia="arial" w:hAnsi="arial" w:cs="arial"/>
          <w:b w:val="0"/>
          <w:i w:val="0"/>
          <w:strike w:val="0"/>
          <w:noProof w:val="0"/>
          <w:color w:val="000000"/>
          <w:position w:val="0"/>
          <w:sz w:val="20"/>
          <w:u w:val="none"/>
          <w:vertAlign w:val="baseline"/>
        </w:rPr>
        <w:t xml:space="preserve"> model is July 1, 2017, which is consistent with the commenter's request for the delayed timing of the effective date of this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provided their perspectives on CMS' proposal for the contents and timing of the detailed beneficiary notification. The commenters urged CMS to adopt the proposed detailed notification elements, including a detailed explanation of the EPM and how it might be expected to affect the beneficiary's care; notification that the beneficiary retains freedom of choice to choose providers and services; explanation of how patients can access care records and claims data; a statement about all existing Medicare beneficiary protections that continue to be available to the beneficiary; and a list of the providers and suppliers with whom the beneficiary has a sharing arrangement. One commenter suggested that the notification should highlight that participation in an EPM is intended to improve quality and reduce waste, rather than focus on notifying beneficiaries of sharing arrangements. Several commenters stated that while patients should be informed that they are receiving care from a hospital that is required to participate in the EPM, beneficiaries should not be given reason to be unnecessarily worried about the quality of care they will receive.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suggested that the beneficiary notification be provided prior to admission for an anchor hospitalization. One commenter stated that notification at the point of admission for LEJR under the CJR model was too late because it would not occur at a time when beneficiaries could process and act on the information. Several commenters on the CJR model proposal for the detailed beneficiary notification recommended that the delivery of the notification to a beneficiary occur before admission to an anchor hospitalization, stating that notification could be provided by the admitting physician regardless of his or her participation in the CJR model as a collaborator or, alternatively, the CJR participant hospital could convey the notification prior to admission once the surgery is scheduled. Another commenter requested that CMS allow the beneficiary notification to be given at any time during a CJR episode, arguing that requiring providers to furnish beneficiary notifications prior to admission for surgery under the CJR model leads to additional administrative burden on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were concerned that given the emergent nature of some EPM episodes, notice may not always be able to be provided upon admission since MS-DRGs are not assigned to beneficiaries until the claim is coded and submitted for payment following the beneficiary's discharge from the hospital. One commenter urged CMS to work with the provider community to identify exceptions where delivering a notification is not possible prior to discharge and create an exception to the detailed beneficiary notification requirement in these cases. The commenter provided the example of instances where patients are admitted and then subsequently transferred to another facility for a higher level of care, claiming that in this scenario there may not be time to provide the notification. As a result, the commenter believes that EPM participants may be penalized due to a clinical situation that is beyond their control.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support for the proposed elements of the detailed beneficiary notification. We do not believe that providing detailed notification to a beneficiary that his or her care is included in an EPM in a format that presents the proposed elements should lead to undue beneficiary concerns about the quality of their care, especially given the beneficiary safeguards that are being adopted for the EPMs. Given the importance of transparency of financial arrangements under the EPMs that have the potential to influence care recommendations for EPM beneficiaries, we disagree with the commenter that providing information on sharing arrangements in the EPM participant's detailed notification to the beneficiary is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further considered the timing of the required detailed beneficiary notification in view of the public comments. For the EPMs, we proposed that the EPM participant must provide notification upon admission to the hospital or immediately following the decision to schedule a procedure or provide a service which would result in a patient being discharged under a covered episode. The proposed EPM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specified that where, due to the patient's condition, it may not be feasible to provide notification at such times, the notification must be provided to the beneficiary or his or her representative as soon as is reasonably practicable but no later than discharge from the hospital accountable for the episode. We believe this timing is generally appropriate and provides EPM participants and, similarly, CJR hospital participants with necessary flexibility regarding the timing of the detailed notification for beneficiaries with the clinical conditions that are the focus of EPM or CJR episodes. We disagree with the commenter who suggested that beneficiary notification could be provided any time during a CJR episode because it is important that beneficiaries be advised as early as possible in an episode (if not before the episode begins) that their care is included in an EPM or CJR episode, in order to safeguard beneficiary freedom of choice of providers and services and ensure the beneficiary's understanding of how the model might be expected to affect the beneficiary's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 earliest point in time that the detailed beneficiary notification could be provided by the EPM participant or CJR hospital participant is when the admission is scheduled in advance with the EPM participant or CJR hospital participant, consistent with the request of some commenters that the notification be provided prior to hospital admission for the anchor hospitalization. However, under the EPMs many admissions will be unscheduled due to the clinical conditions that are the focus of the models and in those circumstances, beneficiary notification must be provided upon admission or as soon as is reasonably practicable but no later than discharge from the EPM participant accountable for the EPM episode. Similarly, while we believe that the detailed beneficiary notification under the CJR model should be provided by the CJR hospital participant that CMS holds financially responsible for the CJR episode rather than the admitting physician, the earliest point in time that this notification could be provided is when the admission is scheduled in advance with the CJR hospital participant, consistent with the alternative suggested by one commenter as an alternative to admitting physician notification of the model. This timing will allow beneficiaries with scheduled admissions to process and act on the beneficiary notification prior to the beneficiary's admission to the hospital, although this notification timing is not possible for those admissions that are not scheduled in advance with the CJR hospital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in view of our final AMI transfer policy as discussed in section III.C.4.a.(5) of this final rule which cancels the AMI episode initiated at the initial treating hospital when the beneficiary is transferred to another hospital for care, the timing of notification issues raised by the commenter who urged CMS to allow for exceptions should no longer pose a concern. All beneficiaries in the AMI model will be discharged from the acute care hospital responsible for the AMI </w:t>
      </w:r>
      <w:r>
        <w:rPr>
          <w:rFonts w:ascii="arial" w:eastAsia="arial" w:hAnsi="arial" w:cs="arial"/>
          <w:b/>
          <w:i w:val="0"/>
          <w:strike w:val="0"/>
          <w:noProof w:val="0"/>
          <w:color w:val="000000"/>
          <w:position w:val="0"/>
          <w:sz w:val="20"/>
          <w:u w:val="none"/>
          <w:vertAlign w:val="baseline"/>
        </w:rPr>
        <w:t> [*420] </w:t>
      </w:r>
      <w:r>
        <w:rPr>
          <w:rFonts w:ascii="arial" w:eastAsia="arial" w:hAnsi="arial" w:cs="arial"/>
          <w:b w:val="0"/>
          <w:i w:val="0"/>
          <w:strike w:val="0"/>
          <w:noProof w:val="0"/>
          <w:color w:val="000000"/>
          <w:position w:val="0"/>
          <w:sz w:val="20"/>
          <w:u w:val="none"/>
          <w:vertAlign w:val="baseline"/>
        </w:rPr>
        <w:t xml:space="preserve"> episode so we do not believe exceptions to the detailed notification requirement are necessary. We expect that EPM participants will generally be able to identify EPM beneficiaries upon admission given the clinical conditions that are the focus of the EPMs. Moreover, in the case of any uncertainly about the MS-DRG that will ultimately be assigned to the beneficiary's claim, we encourage EPM participants to provide notification to those beneficiaries whose care may be included in the EPM so that the notification requirement is met in the event the beneficiary's care is ultimately included in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that the EPM participant is required to provide the detailed notification, in our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 are clarifying the requirements for the timing of the notification to be more specific based on whether or not the admission is scheduled in advance with the EPM participant. We note that scheduled admissions are especially relevant to CABG episodes and unscheduled admissions are relevant to AMI, CABG, and SHFFT episodes. If the admission is scheduled in advance, then the EPM participant must provide notice as soon as the admission is scheduled. The notification must be provided upon admission to the EPM participant if the admission that initiates the EPM episode is not scheduled with the EPM participant in advance. We believe this timing is appropriate because hospitals provide other information concerning patient rights and responsibilities upon admission to the hospital. In either case, in circumstances where, due to the patient's condition, it is not feasible to provide notification at such times, the notification must be provided to the beneficiary or his or her representative as soon as is reasonably practicable but no later than discharge from the EPM participant accountable for the EPM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clarifying in § 512.450(b)(1)(v) that the disclosure of the EPM participant's sharing arrangements as part of the detailed beneficiary notification may be satisfied if the EPM participant provides a web address where beneficiaries may access the list of providers, suppliers, and ACOs with whom the EPM participant has a sharing arrangement. Section 512.500(d)(1)(ii)(A), as we are finalizing it in this final rule, requires the EPM participant to publicly post (and update on at least a quarterly basis) on a Web page on the EPM participant's Web site accurate current and historical lists of all EPM collaborators. We expect that allowing the detailed beneficiary notification to reference the Web site for the list of providers, suppliers, and ACOs with sharing arrangements will reduce the burden on EPM participants to prepare and keep current this element of the notification.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the elements of the detailed beneficiary notification in § 512.450(b)(1), specifically a detailed explanation of the EPM and how it might be expected to affect the beneficiary's care; notification that the beneficiary retains freedom of choice to choose providers and services; explanation of how patients can access care records and claims data through an available patient portal, and how they can share access to their Blue Button(R) electronic health information with caregivers; a statement that all existing Medicare beneficiary protections continue to be available to the beneficiary, including the ability to report concerns of substandard care to Quality Improvement Organizations or the 1-800-MEDICARE helpline; and a list of the providers, suppliers, and ACOs with whom the EPM participant has a sharing arrangement, which may be fulfilled by the EPM participant including in the detailed notification a web address where beneficiaries may access the list.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expressed support for the proposed requirement that EPM participants and EPM collaborators disclose their financial relationships and interests to patients in the context of the structure of the EPM. Other commenters stated that the multiple beneficiary notices required under CMS' proposal would create an overload for EPM and CJR beneficiaries, result in administrative burden on providers, and be infeasible in some cases unless the EPM participant or CJR participant hospital administers the notice on behalf of physicians. They also questioned the rationale for the differences in the proposed timing for such notices by different collaborators that resulted in a lack of uniformity, ranging from the time the decision to undergo a procedure or service covered under an EPM is made and no later than discharge from the hospital accountable for the episode to when the beneficiary first receives services from a provider or supplier associated with the party with the sharing arrangement. One commenter pointed out that CMS' proposal that a physician who is an EPM collaborator notify the beneficiary of his or her sharing arrangement at the time that the decision to undergo a procedure or service covered under the EPM is made and no later than discharge from the hospital accountable for the episode makes providing timely notice impossible for an EPM collaborator who is a physician who does not furnish a service to the beneficiary until after hospital discharge. The commenter requested clarification about whether such a physician would need to provide notice to the beneficiary of the sharing arrangement and, if so, the timing of such notice. Another commenter asserted that it would be unlikely that certain providers with a sharing arrangement under the CJR model would practically be able to collect administrative documentation from the beneficiary about the notice in the course of clinical care, such as in the case of an independent hospitalist who only sees patients while they are admitted to the CJR participant hospital or an anesthesiologist who is working on improving operating room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recommended that beneficiary notices should only be provided once by the EPM participant or CJR hospital participant and should provide information on all individuals and entities with sharing arrangements under the EPM or CJR model. The commenters asserted that this approach to notices would make the beneficiary aware of all the individuals and entities with a sharing arrangement with the EPM participant or CJR hospital participant, without overwhelming the patient every time he or she sees a clinician or goes to a facility for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who opposed the collaborator notice requirement requested that CMS provide specific examples of when various EPM collaborators would need to provide notice if the policy is adopted. The commenter described the example of an ACO that has a sharing arrangement with a CABG model participant, and both an independent group of cardiothoracic surgeons and an independent group of primary care physicians are ACO participants who also have sharing arrangements with the same CABG model participant. If the notice requirement is finalized, the commenter requested that CMS clarify the notice requirements for the ACO and both physician groups with respect to a CABG beneficiary who receives included services from physicians in both groups during the CABG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of the commenters for disclosure to EPM beneficiaries of EPM financial relationships between the EPM participant and other providers, suppliers, and ACOs. We agree that a single notice by the EPM participant to the EPM beneficiary of all individuals and entities with sharing arrangements </w:t>
      </w:r>
      <w:r>
        <w:rPr>
          <w:rFonts w:ascii="arial" w:eastAsia="arial" w:hAnsi="arial" w:cs="arial"/>
          <w:b/>
          <w:i w:val="0"/>
          <w:strike w:val="0"/>
          <w:noProof w:val="0"/>
          <w:color w:val="000000"/>
          <w:position w:val="0"/>
          <w:sz w:val="20"/>
          <w:u w:val="none"/>
          <w:vertAlign w:val="baseline"/>
        </w:rPr>
        <w:t> [*421] </w:t>
      </w:r>
      <w:r>
        <w:rPr>
          <w:rFonts w:ascii="arial" w:eastAsia="arial" w:hAnsi="arial" w:cs="arial"/>
          <w:b w:val="0"/>
          <w:i w:val="0"/>
          <w:strike w:val="0"/>
          <w:noProof w:val="0"/>
          <w:color w:val="000000"/>
          <w:position w:val="0"/>
          <w:sz w:val="20"/>
          <w:u w:val="none"/>
          <w:vertAlign w:val="baseline"/>
        </w:rPr>
        <w:t xml:space="preserve"> under the EPM is important to provide disclosure of these financial arrangements that could potentially influence the recommendations of the EPM beneficiary's treating providers and suppliers and, therefore, we are finalizing this requirement as part of the detailed beneficiary notification discussed previously. However, we believe it is necessary also to provide the EPM beneficiary with such information again at the time and in the context where the beneficiary can best use that information to evaluate the advice he or she is receiving from health care providers and suppliers based on the beneficiary's specific knowledge of any financial interests of those providers and suppliers that could influence their recommendations. By providing additional notice of sharing arrangements specific to the care the beneficiary is receiving from the EPM collaborator and providing this notice in close proximity to when that care is being furnished during the EPM episode, the beneficiary will be better able to assess the recommendations from that individual or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further considered the issues raised by the commenters about the potential for multiple notices to beneficiaries and the inconsistency of the proposed notice provisions for different types of EPM or CJR collaborators that would have had different timing during the EPM or CJR episode and might, therefore, have been difficult for EPM or CJR collaborators to comply with or been confusing to providers and suppliers treating EPM or CJR beneficiaries. We proposed different timelines for some of the required EPM notices, ranging from the time the decision to undergo a procedure or service covered under an EPM is made to the time when the beneficiary first receives a service from the entity or its related providers and suppliers that treat beneficiaries. We acknowledge that our timing proposal for collaborating physician, nonphysician practitioner, PGP, and hospital notice of sharing arrangements was a practical impossibility for these types of EPM collaborators if the individual or entity did not furnish a service to the EPM beneficiary prior to discharge from the hospital accountable for the EPM episode. Moreover, while our EPM proposal for ACO notices was intended to refer broadly to ACOs, the specific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regarding the timing appeared to narrow the notice scope to only those ACO providers/suppliers that are PGPs with distribution arrangements, resulting in lack of uniformity for ACO notices. Additionally, while we proposed that physicians, nonphysician practitioners, PGPs, post-acute care providers and suppliers, hospitals, and ACOs with sharing arrangements would be required to provide written notice to EPM beneficiaries of the structure of the EPM and the existence of the individual's or entity's sharing arrangement with the EPM participant, we did not address collaborator notice by providers or suppliers of outpatient therapy services or CAHs that we also proposed be eligible to be EPM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continue to believe that it is an important beneficiary safeguard to provide EPM and CJR beneficiaries with separate, specific notice of each sharing arrangement that has the potential to influence a provider's or supplier's care recommendations, even if that results in the beneficiary receiving multiple notices during an EPM or CJR episode. This rationale is applicable to all EPM and CJR collaborators. We also continue to believe that it is not feasible or necessary to require those individuals and entities with distribution arrangements and downstream distribution arrangements under the EPM or CJR model to provide notice to EPM or CJR beneficiaries. These other arrangements are not entered into directly with the EPM participant or CJR hospital participant and, therefore, they may not have the same potential for affecting clinical decisions. Furthermore, to require an additional notice from each of these parties could greatly increase the number of separate notices to EPM or CJR beneficiaries, potentially resulting in information overload and confusion that do not contribute to improved EPM or CJR beneficiary understanding and greater safeguards.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in response to concerns raised by the commenters about the uniformity and feasibility of the EPM collaborator notice requirements we proposed, we also are streamlining the EPM collaborator notice requirements. Specifically, we are adopting requirements for the provision of notice that are more equitable and consistent across all the individuals and entities with sharing arrangements under the EPM, as those individuals and entities are finalized in section III.I. of this final rule, with a notice timeframe that is appropriate and practical for EPM collaborators. We believe our revisions clarify which parties are responsible for providing beneficiary notice of sharing arrangements and when such notice must be provided, and will minimize any confusion among providers and suppliers treating EPM beneficiaries. In our final beneficiary notice requirements discussed later in this section, we distinguish among EPM collaborators that are individual providers or suppliers that furnish items and services directly to EPM beneficiaries, and those EPM collaborators that do not directly furnish items and services to EPM beneficiaries, namely PGPs, nonphysician practitioner group practices (NPPGPs), therapy group practices (TGPs), and ACOs.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an EPM participant must require every EPM collaborator that furnishes an item or service to an EPM beneficiary during an EPM episode to provide written notice to the beneficiary of the structure of the EPM and the existence of the individual's or entity's sharing arrangement. The notice must be provided no later than the time at which the beneficiary first receives an item or service from the EPM collaborator during an EPM episode. In circumstances where, due to the patient's condition, it is not feasible to provide notice at such times, the notice must be provided to the beneficiary or his or her representative as soon as is reasonably practicable. The EPM collaborator must be able to generate a list of all beneficiaries who received such a notice, including the date on which the notice was provided to the beneficiary, to CMS upon request. We believe this notice requirement is feasible for all EPM collaborators that furnish items and services to EPM beneficiaries (that is, EPM collaborators other than ACOs, PGPs, NPPGPs, or TGPs) at any point in the EPM episode, including the circumstances raised by the commenter of an independent hospitalist with a sharing arrangement that only sees patients while they are admitted to the model participant or an anesthesiologist who has a sharing arrangement related to improving operating room efficiency. In the case of both of these physicians, the EPM participant must require the physician to provide written notice to the beneficiary of the structure of the EPM and the existence of the physician's sharing arrangement when the beneficiary first receives an item or service from the physician during an EPM episode. If the physician with a sharing arrangement does not provide an item or service to the beneficiary during an EPM episode, no notice is required. However, we point out that ultimately to be eligible to receive a gainsharing payment for an EPM performance year, the physician who is an EPM collaborator must have directly furnished a billable item or service to an EPM beneficiary during an EPM episode that occurred during the performance </w:t>
      </w:r>
      <w:r>
        <w:rPr>
          <w:rFonts w:ascii="arial" w:eastAsia="arial" w:hAnsi="arial" w:cs="arial"/>
          <w:b/>
          <w:i w:val="0"/>
          <w:strike w:val="0"/>
          <w:noProof w:val="0"/>
          <w:color w:val="000000"/>
          <w:position w:val="0"/>
          <w:sz w:val="20"/>
          <w:u w:val="none"/>
          <w:vertAlign w:val="baseline"/>
        </w:rPr>
        <w:t> [*422] </w:t>
      </w:r>
      <w:r>
        <w:rPr>
          <w:rFonts w:ascii="arial" w:eastAsia="arial" w:hAnsi="arial" w:cs="arial"/>
          <w:b w:val="0"/>
          <w:i w:val="0"/>
          <w:strike w:val="0"/>
          <w:noProof w:val="0"/>
          <w:color w:val="000000"/>
          <w:position w:val="0"/>
          <w:sz w:val="20"/>
          <w:u w:val="none"/>
          <w:vertAlign w:val="baseline"/>
        </w:rPr>
        <w:t xml:space="preserve"> year for which the EPM participant accrued the internal cost savings or earned the reconciliation payment that comprises the gainsharing payment according to the requirement in § 512.500(c)(2)(ii).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an EPM participant must require every EPM collaborator that is a PGP, NPPGP, or TGP where a member of the PGP, member of the NPPGP, or member of the TGP furnishes an item or service to an EPM beneficiary during an EPM episode to provide written notice to the beneficiary of the structure of the EPM and the existence of the entity's sharing arrangement. The notice must be provided no later than the time at which the beneficiary first receives an item or service from any member of the PGP, member of the NPPGP, or member of the TGP and the required notice may be provided by that member. The PGP, NPPGP, or TGP must be able to generate a list of all beneficiaries who received such a notice, including the date on which the notice was provided to the beneficiary, to CMS upon request. The required notice for a PGP, NPPGP, or TGP with a sharing arrangement need only be provided once to a beneficiary during an EPM episode. Different members of the same group who furnish items or services to the same beneficiary later in the EPM episode do not need to also provide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an EPM participant must require an EPM collaborator that is an ACO where an ACO participant bills for or ACO provider/supplier furnishes an item or service to an EPM beneficiary during an EPM episode to provide written notice to the beneficiary of the structure of the EPM and the existence of the entity's sharing arrangement. The notice must be provided no later than the time at which the beneficiary first receives an item or service from any ACO participant or ACO provider/supplier and the required notice may be provided by that ACO participant or ACO provider/supplier. The ACO must be able to generate a list of all beneficiaries who received such a notice, including the date on which the notice was provided to the beneficiary, to CMS upon request. The required notice for an ACO with a sharing arrangement need only be provided once to a beneficiary during an EPM episode. Different ACO participants or ACO providers/suppliers that furnish items or services to the same beneficiary later in the EPM episode do not need to also provide notice. We note that in the case of an ACO participant that is a group practice that bills for but does not itself directly furnish the first item or service to an EPM beneficiary from any ACO participant or ACO provider/supplier during an EPM episode, "the time at which the beneficiary first receives an item or service from any ACO participant" means the time when the beneficiary first receives an item or service that is billed by the ACO participant and furnished by a group practice member. In these circumstances, the required ACO notice may be provided by that group practice member.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final notice provisions set forth a consistent framework for beneficiary notice of sharing arrangements that can be applied to all EPM collaborators, with additional details about the notice for those entities that can be EPM collaborators but that do not themselves directly furnish items and services to EPM beneficiaries. While a beneficiary may receive multiple notices of sharing arrangements during one EPM episode, we only require that each individual or entity that is an EPM collaborator provide notice once during the episode, including those circumstances where an EPM beneficiary receives items or services during an EPM episode from more than one member of the PGP, member of the NPPGP, or member of the TGP with a sharing arrangement or more than one ACO participant or ACO provider/supplier in an ACO with a sharing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this comprehensive framework clarifies the notice requirements for all EPM collaborators, and that it is feasible for EPM participants to require their EPM collaborators to provide notices that meet the requirements. However, we also appreciate that developing and coordinating the notice processes to fit within the course of clinical care, especially for those collaborators that never themselves directly furnish items and service to EPM beneficiaries, will require effort that is related to the number and complexity of the EPM participant's sharing arrangements, the technological capacity of its collaborators to document and retain notices, the care patterns for EPM beneficiaries for which a particular EPM participant is responsible, and other issues. Nevertheless, as discussed previously, we believe that individual notice of sharing arrangements by each EPM collaborator to EPM beneficiaries is necessary, and we expect that the streamlined structure we are finalizing for these notices minimizes, to the extent possible, any additional burden on EPM participants and their related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purposes of illustration, we will step through the application of these provisions to the commenter's example of an ACO that has a sharing arrangement with a CABG model participant and both an independent group of cardiothoracic surgeons and an independent group of primary care physicians who are ACO participants who also have sharing arrangements with the same participating hospital. We note that this example results in a complex notice pattern that is highly unlikely to occur in practice, because we expect that in general the ACO would contract with the CABG model participant and then enter into distribution arrangements with its ACO participants, in this case the group of cardiothoracic surgeons and the group of primary care physicians, rather than all three entities contracting individually with the CABG model participant. In the example, both physician groups furnish included services to a CABG beneficiary during a CABG episode. We further assume that a member of the cardiothoracic surgery group furnishes a service to a CABG beneficiary during a CABG episode before a member of the primary care physician group. In this scenario, when the cardiothoracic surgeon furnishes the first service to the CABG beneficiary that is billed by the cardiothoracic surgery group, that surgeon is required to provide notice to the CABG beneficiary about the sharing arrangement of the group of cardiothoracic surgeons and the sharing arrangement of the ACO with the CABG model participant. When the primary care physician later in the CABG episode furnishes the first service to the CABG beneficiary that is billed by the primary care physician group, the primary care physician is required to provide notice to the CABG beneficiary about the sharing arrangement of the group of primary care physicians with the CABG model participant. The beneficiary has already been notified about the ACO's sharing arrangement.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urged CMS to allow the required beneficiary notifications and notices by any individual or entity to be permitted on an electronic basis, with proof of receipt by the EPM beneficiary, rather than through a paper process that requires a beneficiary's signature.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propose a written signature requirement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agree that electronic health records may be used to maintain documentary evidence of written communications, and we have not specified a specific mechanism by which proof of beneficiary notification must be maintained.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support for CMS' proposal that notification materials be developed </w:t>
      </w:r>
      <w:r>
        <w:rPr>
          <w:rFonts w:ascii="arial" w:eastAsia="arial" w:hAnsi="arial" w:cs="arial"/>
          <w:b/>
          <w:i w:val="0"/>
          <w:strike w:val="0"/>
          <w:noProof w:val="0"/>
          <w:color w:val="000000"/>
          <w:position w:val="0"/>
          <w:sz w:val="20"/>
          <w:u w:val="none"/>
          <w:vertAlign w:val="baseline"/>
        </w:rPr>
        <w:t> [*423] </w:t>
      </w:r>
      <w:r>
        <w:rPr>
          <w:rFonts w:ascii="arial" w:eastAsia="arial" w:hAnsi="arial" w:cs="arial"/>
          <w:b w:val="0"/>
          <w:i w:val="0"/>
          <w:strike w:val="0"/>
          <w:noProof w:val="0"/>
          <w:color w:val="000000"/>
          <w:position w:val="0"/>
          <w:sz w:val="20"/>
          <w:u w:val="none"/>
          <w:vertAlign w:val="baseline"/>
        </w:rPr>
        <w:t xml:space="preserve"> or approved by CMS, because the commenters believe that allowing hospitals and other providers that stand to profit from the EPM to describe the EPM and how it might affect the beneficiary's care is unlikely to result in objective information for consumers. The commenters requested that CMS provide samples of beneficiary notifications to be provided by EPM participants and samples of notices to be provided by post-acute care providers that are EPM collaborators. One commenter pointed out that there are cases where the determination of a procedure, either LEJR or a hip pinning for fracture, is not made until after the surgery is in process, so the commenter urged CMS to consider a combined CJR/SHFFT notice that will incorporate all needed elements and reduce confusion for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requested that CMS make available generic sample notifications that could apply to all models in order to reduce confusion for beneficiaries, hospitals, physicians, and the general public. The commenters claimed that a single streamlined beneficiary notification for all models would relieve EPM participants of a large operational burden and ensure that beneficiaries receive appropriate notice related to the care they are receiving, without causing unnecessary confusion. Several commenters stressed that a sample notice will achieve a level of accuracy and consistency that would not occur with individual notice formats and contents devised by each EPM participant.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of the commenters in streamlining the beneficiary notification materials that are used for the EPMs, as well as other models, in order to provide greater clarity for beneficiaries, providers and suppliers, and the general public. However, we do not agree that a single general notification could apply to all models, given the elements we are finalizing for the EPM detailed beneficiary notification as discussed previously in this section, which include an explanation of the EPM and how it might be expected to affect the beneficiary's care. While we agree that certain beneficiary notification elements, such as notification that the beneficiary retains freedom of choice to choose providers and services, may be common across many models, other elements differ. Therefore, we cannot provide a single generic beneficiary notification document that applies across all models. Beneficiaries, providers and suppliers, and the general public with an interest in model notifications need to know about the specific model features and how the model might be expected to affect a beneficiary's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appreciate the commenters' interest in having CMS develop or approve the detailed beneficiary notification about the EPMs in the interest of transparency and accuracy of the information for beneficiaries, for whose benefit the notification is provided. We prepared a detailed beneficiary notification template for the CJR model which is currently used by CJR participant hospitals, and we similarly plan to prepare and make available prior to EPM implementation a detailed beneficiary notification template that EPM participants can use. While we appreciate that a combined notification template for the CJR and SHFFT models could be desirable in some circumstances, for expedience we recommend that if there is uncertainty about the hip fracture surgery that will be performed, the CJR/SHFFT model participant should provide both detailed model notifications to the beneficiary upon unscheduled admission to the hospital that initiates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also consider the possibility of preparing notice templates that may be used for individuals and entities with sharing arrangements under the EPMs that are required to provide notice to EPM beneficiaries. While we are not certain that a single notice is appropriate for all individuals and entities with these arrangements, or even for a single type of provider or supplier (such as a physician or SNF) with a sharing arrangement, we will continue to explore the option of making notice templates available to EPM participants for their related EPM collaborators to use.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number of commenters provided recommendations about how CMS should monitor compliance with the beneficiary detailed notification and notice requirements. Some commenters suggested that monitoring could be carried out by a CMS contractor, such as a state survey agency or a QIO. Alternatively, the commenters asserted that a hospital private accrediting body could conduct the monitoring. The commenters recommended that monitoring should include submission of any model notice format and content to the monitoring entity in advance of its use, certification of assurances of compliance by EPM participants and individuals with EPM sharing arrangements, auditing of compliance within the first 30 to 60 days of EPM implementation or implementation of the revised notification requirements in the CJR model, and annual auditing of compliance thereafter. Additionally, several commenters expressed concerned regarding the implications for the EPM participant should an EPM collaborator fail to provide their required notice to a beneficiary.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commenters on the importance of monitoring for the sufficiency of beneficiary detailed notifications and notices under the EPMs and CJR model. We appreciate the specific suggestions and will take them into consideration in developing the specific monitoring strategies for these notifications and notices as we refine the plans with the monitoring contractor that is currently engaged with us in monitoring the CJR model and the monitoring contractor that we expect to assist us with monitoring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Beneficiary notifications and notices as finalized in § 512.450(b) are requirements of the EPM and, as such, CMS may take remedial action if an EPM participant or one of its related EPM collaborators, collaboration agents, or downstream collaboration agents is noncompliant with the requirements of the EPM, including on the basis of failure to provide required beneficiary notices. As discussed in section III.F. of this final rule, we require the EPM participant to assume responsibility for compliance of all of these parties to ensure that its activities and those of its related EPM collaborators, collaboration agents, and downstream collaboration agents comply with EPM requirements, and our compliance tools for instances of noncompliance apply to EPM participants. We emphasize that entering into sharing arrangements is a choice that EPM participants may make, and EPM participants also have the choice as to whom to select as an EPM collaborator based on selection criteria developed by the EPM participant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512.450(b) for required beneficiary notifications under the EPMs, with modification to streamline both the detailed beneficiary notification and EPM collaborator notice requirements, as well as to apply the EPM collaborator notice requirements to all individuals and entities with sharing arrangements under the EPMs. We emphasize that all information provided to beneficiaries must be in a form and manner which is accessible to the beneficiary, including those beneficiaries with disabilities and beneficiaries with limited English proficiency, consistent with applicable law and CMS policy. Required beneficiary notifications are--</w:t>
      </w:r>
    </w:p>
    <w:p>
      <w:pPr>
        <w:keepNext w:val="0"/>
        <w:numPr>
          <w:numId w:val="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Each EPM participant must provide written notification to any Medicare </w:t>
      </w:r>
      <w:r>
        <w:rPr>
          <w:rFonts w:ascii="arial" w:eastAsia="arial" w:hAnsi="arial" w:cs="arial"/>
          <w:b/>
          <w:i w:val="0"/>
          <w:strike w:val="0"/>
          <w:noProof w:val="0"/>
          <w:color w:val="000000"/>
          <w:position w:val="0"/>
          <w:sz w:val="20"/>
          <w:u w:val="none"/>
          <w:vertAlign w:val="baseline"/>
        </w:rPr>
        <w:t> [*424] </w:t>
      </w:r>
      <w:r>
        <w:rPr>
          <w:rFonts w:ascii="arial" w:eastAsia="arial" w:hAnsi="arial" w:cs="arial"/>
          <w:b w:val="0"/>
          <w:i w:val="0"/>
          <w:strike w:val="0"/>
          <w:noProof w:val="0"/>
          <w:color w:val="000000"/>
          <w:position w:val="0"/>
          <w:sz w:val="20"/>
          <w:u w:val="none"/>
          <w:vertAlign w:val="baseline"/>
        </w:rPr>
        <w:t xml:space="preserve"> beneficiary that meets the criteria in § 512.240 of his or her inclusion in the EPM. The notification must be provided upon admission to the EPM participant if the admission that initiates the EPM episode is unscheduled. If the admission is scheduled, then the EPM participant must provide notice when the decision to schedule admission is made. In circumstances where, due to the patient's condition, it is not feasible to provide notification at such times, the notification must be provided to the beneficiary or his or her representative as soon as is reasonably practicable but no later than discharge from the EPM participant accountable for the EPM episode. The EPM participant must be able to generate a list of all beneficiaries receiving such notification including the date on which the notification was provided to the beneficiary to CMS upon request. The beneficiary notification must contain all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detailed explanation of the EPM and how it might be expected to affect the beneficiary's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Notification that the beneficiary retains freedom of choice to choose providers and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Explanation of how patients can access care records and claims data through an available patient portal, and how they can share access to their Blue Button(R) electronic health information with caregivers.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statement that all existing Medicare beneficiary protections continue to be available to the beneficiary. These include the ability to report concerns of substandard care to Quality Improvement Organizations or the 1-800-MEDICARE helpline.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list of the providers, suppliers, and ACOs with whom the EPM participant has a sharing arrangement. This requirement may be fulfilled by the EPM participant including in the detailed notification a web address where beneficiaries may access the list.</w:t>
      </w:r>
    </w:p>
    <w:p>
      <w:pPr>
        <w:keepNext w:val="0"/>
        <w:numPr>
          <w:numId w:val="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EPM participant must require every EPM collaborator to provide written notice to applicable EPM beneficiaries of the structure of the EPM and the existence of its sharing arrangement with the EPM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Require every EPM collaborator that furnishes an item or service to an EPM beneficiary during an EPM episode to provide written notice to the beneficiary of the structure of the EPM and the existence of the individual's or entity's sharing arrangement. The notice must be provided no later than the time at which the beneficiary first receives an item or service from the EPM collaborator during an EPM episode. In circumstances where, due to the patient's condition, it is not feasible to provide notice at such times, the notice must be provided to the beneficiary or his or her representative as soon as is reasonably practicable. The EPM collaborator must be able to generate a list of all beneficiaries who received such a notice, including the date on which the notice was provided to the beneficiary, to CMS upon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Require every EPM collaborator that is a PGP, NPPGP, or TGP where a member of the PGP, member of the NPPGP, or member of the TGP furnishes an item or service to an EPM beneficiary during an EPM episode to provide written notice to the beneficiary of the structure of the EPM and the existence of the entity's sharing arrangement under the EPM. The notice must be provided no later than the time at which the beneficiary first receives an item or service from any member of the PGP, member of the NPPGP, or member of the TGP, and the required notice may be provided by that member. In circumstances where, due to the patient's condition, it is not feasible to provide notice at such times, the notice must be provided to the beneficiary or his or her representative as soon as is reasonably practicable. The PGP, NPPGP, or TGP must be able to generate a list of all beneficiaries who received such a notice, including the date on which the notice was provided to the beneficiary, to CMS upon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Require every EPM collaborator that is an ACO where an ACO participant bills for or ACO provider/supplier furnishes an item or service to an EPM beneficiary during an EPM episode to provide written notice to the beneficiary of the structure of the EPM and the existence of the entity's sharing arrangement under the EPM. The notice must be provided no later than the time at which the beneficiary first receives an item or service from any ACO participant or ACO provider/supplier and the required notice may be provided by that ACO participant or ACO provider/supplier. In circumstances where, due to the patient's condition, it is not feasible to provide notice at such times, the notice must be provided to the beneficiary or his or her representative as soon as is reasonably practicable. The ACO must be able to generate a list of all beneficiaries who received such a notice, including the date on which the notice was provided to the beneficiary, to CMS upon request.</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EPM participant must provide the beneficiary with a written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Of any potential financial liability associated with non-covered services recommended or presented as an option as part of discharge planning, no later than the time that the beneficiary discusses a particular post-acute care option or at the time the beneficiary is discharged, whichever occurs earlier.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Of any potential financial liability, associated with non-covered services recommended or presented as an option as part of discharge planning, no later than the time that the beneficiary discusses a particular post-acute care option or at the time the beneficiary is discharged, whichever occurs earlier.</w:t>
      </w:r>
    </w:p>
    <w:p>
      <w:pPr>
        <w:keepNext w:val="0"/>
        <w:numPr>
          <w:numId w:val="4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EPM participant knows or should have known that the beneficiary is considering or has decided to receive a non-covered post-acute care service or other non-covered associated service or supply, the EPM participant must notify the beneficiary that the service would not be covered by Medicare.</w:t>
      </w:r>
    </w:p>
    <w:p>
      <w:pPr>
        <w:keepNext w:val="0"/>
        <w:numPr>
          <w:numId w:val="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EPM participant is discharging a beneficiary to a SNF prior to the occurrence of a 3-day hospital stay, and the beneficiary is being transferred to or is considering a SNF that would not qualify under the SNF 3-day waiver in § 512.610, the EPM participant must notify the beneficiary in accordance with paragraph (b)(3)(i) of this section that the beneficiary will be responsible for payment for the services furnished by the SNF during that stay, except those services that would be covered by Medicare Part B during a non-covered inpatient SNF stay.</w:t>
      </w:r>
    </w:p>
    <w:p>
      <w:pPr>
        <w:keepNext w:val="0"/>
        <w:numPr>
          <w:numId w:val="4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Lists of beneficiaries that receive notifications or notices must be retained and access provided to CMS in accordance with § 512.110.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Monitoring for Access to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that an EPM participant could receive a reconciliation payment when the EPM participant reduces average actual EPM-episode spending below the quality-adjusted target price and achieves an acceptable or better level of quality of care, the EPM participant could have an incentive to avoid complex, high-cost cases by not admitting patients at all or by transferring patients to nearby facilities or specialty referral centers that are not EPM participants. We intend to monitor the EPM participants' episode claims data--for example, to compare each EPM participant's case mix relative to a pre-model historical baseline--to determine whether complex patients are being systematically excluded from the EPM participant's EPM episodes. We proposed to publish these data as part of each EPM's evaluation to promote transparency and an understanding of the EPM's effects. We also proposed to continue to review and audit EPM participants if we have reason to believe </w:t>
      </w:r>
      <w:r>
        <w:rPr>
          <w:rFonts w:ascii="arial" w:eastAsia="arial" w:hAnsi="arial" w:cs="arial"/>
          <w:b/>
          <w:i w:val="0"/>
          <w:strike w:val="0"/>
          <w:noProof w:val="0"/>
          <w:color w:val="000000"/>
          <w:position w:val="0"/>
          <w:sz w:val="20"/>
          <w:u w:val="none"/>
          <w:vertAlign w:val="baseline"/>
        </w:rPr>
        <w:t> [*425] </w:t>
      </w:r>
      <w:r>
        <w:rPr>
          <w:rFonts w:ascii="arial" w:eastAsia="arial" w:hAnsi="arial" w:cs="arial"/>
          <w:b w:val="0"/>
          <w:i w:val="0"/>
          <w:strike w:val="0"/>
          <w:noProof w:val="0"/>
          <w:color w:val="000000"/>
          <w:position w:val="0"/>
          <w:sz w:val="20"/>
          <w:u w:val="none"/>
          <w:vertAlign w:val="baseline"/>
        </w:rPr>
        <w:t xml:space="preserve"> that they are compromising beneficiary access to care. For example, we would review claims data to determine whether there is an unusual pattern of referral to regional hospitals located outside of the EPM participant's catchment area or a clinically unexplained increase or decrease in CABG or rates of other related surgical procedures that do not initiate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emphasized that a beneficiary's access to the full range of treatment options appropriate for a given medical condition is critical for positive health care outcomes to be achieved under the proposed EPMs. The commenters expressed support for CMS' goals for the EPMs to encourage EPM participants and providers and suppliers caring for EPM beneficiaries to improve access to care, manage patients to better outcomes, and achieve improvements in the efficiency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expressed concern that the financial incentives under the EPMs will affect both patient selection and access to the most appropriate care for the individual beneficiary, especially because the EPM pricing methodology does not risk adjust EPM episode quality-adjusted target prices for patient demographic and disease characteristics. The commenters claimed that frail, elderly, disabled, sicker, and complex beneficiaries with multiple comorbidities who would be more likely to initiate EPM episodes due to the generally emergent nature of the clinical conditions that are the focus of the EPMs may experience unintended consequences such as problems with access to care, substandard quality of care, and care stinting because these patients commonly require more therapeutic interventions, thereby incurring higher costs, to achieve the best health outcomes. Specifically, the commenters speculated that EPM participants may avoid caring for beneficiaries likely to be complex, high-cost cases by delaying treatment, not admitting patients at all, or transferring patients to nearby facilities or referral centers that are outside of the EPM participant's MSA that was selected for participation in the EPM. A few commenters expressed particular concern that small and rural hospitals that are EPM participants would avoid admitting frail patients in their home communities. Another commenter noted that care coordination for EPM beneficiaries requires prompt attention and early, accurate identification of beneficiaries. The commenter believes that in view of the multiple clinical scenarios and critical nature of the physical condition of most beneficiaries in the proposed EPMs, in many instances the process of identifying patients as being an EPM beneficiary will be a secondary concern to the importance of getting the beneficiary to the proper level of care regardless of inclusion or exclusion in an EPM, which may make patient selection less likely than in episodes in other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believe the EPMs do not include sufficient safeguards to substantially improve the care experience for the many and growing numbers of Medicare beneficiaries. Some commenters urged CMS to delay testing the models, particularly the CABG model, until the benefits of such models can be proven.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encouraged CMS to closely monitor EPM participants' claims data for changes in referral and care patterns to ensure that complex patients are not being excluded from the EPMs and for other changes that may indicate EPM participants are stinting on necessary and appropriate care. Some commenters stressed the particular importance of monitoring for beneficiary access to care because beneficiaries cannot opt out of the EPMs. One commenter recommended that CMS conduct audits, both internally and by an outside party, of a sample of patient medical records to determine whether the services actually received by beneficiaries in the proposed EPMs correspond to existing standards of care--and whether they also include innovative treatments and procedures appropriate for a beneficiary's medical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provided a detailed crosswalk of potential monitoring measures in the measure domains of beneficiary freedom of choice; access, quality, and cost of care; SHFFT participants' coding for hip and femur fractures and "upcoding;" patient shifting; and EPM participants' use of waivers and compliance with other rules. The commenter matched potential monitoring measures in these domains, such as beneficiary complaints in the freedom of choice domain, to the source of information for the measure, which in this example would be complaints registered to the 1-800-MEDICARE helpline and state QIOs. The commenter's list of recommended sources of information for the monitoring measures was extensive and specific, including beneficiary surveys; claims data; patient-reported outcome data; hospital consumer assessment of healthcare providers and systems (hospital CAHPS), home health CAHPS, and clinician and group CAHPS; claims data from EPM participants and EPM collaborators linked to provider of service and Medicare data on provider practice and specialty (MD-PPAS) files; agreements for financial arrangements; site visits, beneficiary engagement incentives documentation; financial records of reconciled payments and repayments; and claims data linked to post-acute care provider data sets.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requested clarification about how CMS intends to monitor EPM participants and EPM collaborators for compliance other than through claims review for changes in utilization patterns. The commenter asserted that meaningful claims data required for oversight of the EPMs will not be available for years after the models have been implemented. In addition, the commenter stated that utilization patterns measure only one aspect of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urged CMS to strengthen the protections against EPM participants engaging in cherry-picking healthier patients and avoiding sick patients in order to give the appearance of improved EPM cost and quality performance. Several commenters also recommended that beneficiaries in the models should be informed of the hotlines available to convey grievances on care at each level of service during the episode. Some commenters supported CMS' proposal to monitor compliance and to integrate the QIOs into the process as an entity available to handle beneficiary complaints.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believe that any discoveries of problems with access to care should be publicly reported, and that EPM participants found to be participating in these practices should not be able to receive reconciliation payments. Another commenter urged CMS to strengthen the accountability of EPM participants by implementing a separate financial penalty for hospitals found to have deliberately withheld medically necessary care or steered a patient toward a health care provider known to be delivering substandard care. The commenter suggested that such a penalty should be sizable enough to act as a disincentive for hospitals and other providers that might consider stinting as potentially profitable.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support for the goals of the EPM and agree that a beneficiary's access to the full range of treatment options appropriate for a given medical condition should be maintained. We believe that the final design of the EPMs provides sufficient beneficiary protections that there is no need to </w:t>
      </w:r>
      <w:r>
        <w:rPr>
          <w:rFonts w:ascii="arial" w:eastAsia="arial" w:hAnsi="arial" w:cs="arial"/>
          <w:b/>
          <w:i w:val="0"/>
          <w:strike w:val="0"/>
          <w:noProof w:val="0"/>
          <w:color w:val="000000"/>
          <w:position w:val="0"/>
          <w:sz w:val="20"/>
          <w:u w:val="none"/>
          <w:vertAlign w:val="baseline"/>
        </w:rPr>
        <w:t> [*426] </w:t>
      </w:r>
      <w:r>
        <w:rPr>
          <w:rFonts w:ascii="arial" w:eastAsia="arial" w:hAnsi="arial" w:cs="arial"/>
          <w:b w:val="0"/>
          <w:i w:val="0"/>
          <w:strike w:val="0"/>
          <w:noProof w:val="0"/>
          <w:color w:val="000000"/>
          <w:position w:val="0"/>
          <w:sz w:val="20"/>
          <w:u w:val="none"/>
          <w:vertAlign w:val="baseline"/>
        </w:rPr>
        <w:t xml:space="preserve"> delay the EPMs and proceeding with testing beginning on July 1, 2017 as we proposed, coupled with close monitoring and the patient safeguards adopted in this final rule, is the most appropriate way to move quickly to gather new insights into the most effective strategies to improve the quality and reduce the cost of care through episode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acknowledge that patient selection and underutilization are both potential issues related to access to care due to the financial incentives of the EPMs. With respect to underutilization, we agree that it is important to monitor changes in utilization patterns and case mix, and to generally monitor whether barriers to patient access develop in MSAs where hospitals are required to participate in the EPMs. We appreciate the extensive potential monitoring measures recommended by one commenter, many of which appear promising and where information will be available to operationalize these measures. We note that the sources of information for monitoring measures extend well beyond claims data to include information on beneficiary experience and outcomes that cannot be obtained through claims data. While there is necessarily some lag in the availability of claims data due to the timing of claims submission and processing, we disagree with the commenter who suggested it would be years after EPM implementation before meaningful claims data for oversight were available. For example, we will be analyzing claims data on an ongoing basis and will be performing the first reconciliation process 9 months after model implementation, for which we expect to have reliable claims data for EPM episodes during the first performance year. We will take the suggestions of monitoring measures provided by the commenters into consideration in developing the specific metrics for monitoring for access to care as we refine the plans with our monitoring and evaluation contractors. We note that further details about these plans are currently unavailable.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it is appropriate to use our existing oversight authority to monitor the risks of the EPM regarding access to care, just as we monitor the various risks inherent in all payment models and systems, but we do not believe that new controls are necessary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other than those which we proposed and are finalizing for the EPMs after consideration of the public comments. We do not believe that specific requirements for medical necessity or review against specific standards of care are necessary, beyond those broad requirements which are set by the CoPs. We believe that the existing influences of reputation, care guidelines, QIO review, Joint Commission review, quality metrics, and our EPM monitoring and evaluation activities are sufficient to ensure that beneficiary access to care is not impeded under the EPMs. We further note that the existing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help to prevent anti-</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practices in the maintenance of hospital networks, thereby allowing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network providers to promote high quality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concerns raised by the commenters about our EPM pricing methodology that the commenters believe heightens the risk of patient selection or hospital financial harm for those hospitals disproportionately caring for complex patients, we are exploring incorporating risk adjustment into the EPM payment methodologies by performance year 3 of the EPMs, as discussed in section III.D.4.b.(2) of this final rule. Risk adjustment could potentially reduce variation in payment stemming from differences in case mix rather than the value of care provided, as well as help minimize the incentive EPM participants may have to avoid complex cases under the EPM. We agree with the commenter that the risk of patient selection under the EPM may be reduced due to the generally emergent nature of the clinical conditions that are the focus of the EPMs, rather than elective surgery such as in the CJR model. However, the potential for patient selection based on our final payment policy for transfers of beneficiaries with AMI from the outpatient or inpatient setting of an initial treating hospital to a transfer hospital as discussed in section III.C.4.a.(5) of this final rule may be increased in comparison with our proposal so we will be monitoring the treatment patterns of beneficiaries with AMI closely throughout the model performance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III.F. of this final rule, we describe the reasons that an EPM participant or its related EPM collaborator, collaboration agent, or downstream collaboration may be noncompliant under the EPM, which include avoiding potentially high-cost patients or high-severity patients; targeting potentially low-cost or low-severity patients; failing to provide medically necessary services or systematically engaging in the over- or under-delivery of appropriate care; failing to allow beneficiary choice of medically necessary options, including non-surgical options; taking any action that threatens the health or safety of patients; or avoiding at-risk Medicare beneficiaries. We will make a determination of EPM participant noncompliance based on all information available to us, including the information from our monitoring activities regarding access to care, quality of care, and delayed care as discussed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several compliance tools available to us for circumstances of noncompliance, including issuing a warning letter to the EPM participant; requiring the EPM participant to develop a corrective action plan; reducing or eliminating the EPM participant's reconciliation payment; reducing or eliminating the EPM participant's CR incentive payment; requiring the EPM participant to terminate a sharing arrangement with an EPM collaborator and prohibit further engagement by the EPM participant in sharing arrangements with the EPM collaborator; terminating the EPM participant's participation in the EPM; and, when certain circumstances are met, adding a 25 percent penalty to a repayment amount on the EPM participant's reconciliation report. We also note that we have the authority to revoke provider enrollment in the Medicare program for cause, such as providing substandard care that places beneficiaries at risk by under-delivering care. This broad range of tools provides us with the flexibility to address noncompliant EPM participant behaviors of varying levels of severity, and provides strong safeguards for beneficiaries and the Medicare program. We note that the compliance tools do not include public reporting of problems with access to care found for specific EPM participants because we do not believe this would be appropriate for EPM enforcement actions. Instead, we may notify our federal program integrity colleagues and, where appropriate, law enforcement, of such behavior, particularly in instances in which HHS (including CMS and OIG) discovered knowing violations or patterns of violations of requirements that directly impacted the safety and health of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enforcement tools delineated in this final rule, as well as the prevalence of existing laws,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prohibiting care stinting, provision of substandard care, or denial of medically necessary care, we believe that it is unnecessary to implement processes for a separate financial penalty specifically for the EPM as requested by one commenter, outside of the compliance tools finalized in section III.F. of this final rule. Where an EPM participant engages </w:t>
      </w:r>
      <w:r>
        <w:rPr>
          <w:rFonts w:ascii="arial" w:eastAsia="arial" w:hAnsi="arial" w:cs="arial"/>
          <w:b/>
          <w:i w:val="0"/>
          <w:strike w:val="0"/>
          <w:noProof w:val="0"/>
          <w:color w:val="000000"/>
          <w:position w:val="0"/>
          <w:sz w:val="20"/>
          <w:u w:val="none"/>
          <w:vertAlign w:val="baseline"/>
        </w:rPr>
        <w:t> [*427] </w:t>
      </w:r>
      <w:r>
        <w:rPr>
          <w:rFonts w:ascii="arial" w:eastAsia="arial" w:hAnsi="arial" w:cs="arial"/>
          <w:b w:val="0"/>
          <w:i w:val="0"/>
          <w:strike w:val="0"/>
          <w:noProof w:val="0"/>
          <w:color w:val="000000"/>
          <w:position w:val="0"/>
          <w:sz w:val="20"/>
          <w:u w:val="none"/>
          <w:vertAlign w:val="baseline"/>
        </w:rPr>
        <w:t xml:space="preserve"> in these behaviors, CMS could consider reducing or eliminating that EPM participant's reconciliation payment or applying a penalty to the repayment amount, as well as notifying our federal program integrity colleagues and, where appropriate, law enforcement, of such behavior.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as discussed in section III.G.3. of this final rule, we require that detailed beneficiary notification under the EPMs includes advising EPM beneficiaries that all standard Medicare beneficiary protections remain in place. The EPM beneficiary may voice concerns or grievances regarding care, such as to the QIOs or through the 1-800-MEDICARE helpline.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for monitoring beneficiary access to care,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Monitoring for Quality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noted previously, in any payment system that promotes efficiencies of care delivery, there may be opportunities to direct patients away from higher cost services at the expense of better outcomes and higher quality. However, we believe that professionalism, the quality measures proposed for the EPMs, and clinical standards can be effective in preventing stinting on medically necessary care in both the inpatient and post-acute care settings during the 90 days in the EPM episode following discharge from the anchor hospitalization. Accordingly, we believe that the potential for the denial of medically necessary care within the EPMs is not be greater than that which currently exists under the IPPS. However, we also believe that we have the authority and responsibility to audit EPM participants' and their EPM collaborators' medical records and claims to verify that beneficiaries receive medically necessary services, and we proposed to perform such auditing activities as we deem appropriate. We also proposed to monitor financial arrangements between EPM participants and their EPM collaborators to ensure that such arrangements do not result in the denial of medically necessary care or other programmatic or patient abuses. Our proposals were consistent with the policies that have been established for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stated our belief that the 90-day post-hospital discharge episode duration is sufficiently long so as to create financial accountability for the EPM participant and to encourage the provision of high quality care that minimizes the risk of complications and readmissions that typically could occur within such a time period. Clinical standards of care also constrain physician patterns of practice, and we believe that the risk associated with deviations from those standards provides further deterrence to compromising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comment on the proposal, including additional opportunities to ensure high quality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 that the EPMs could negatively affect a beneficiary's access to and quality of care based on the financial incentives under the EPMs. Some commenters claimed that these incentives may discourage guideline-based care and best practices identified through clinical research. Other commenters speculated that AMI model participants may treat an AMI episode with outpatient observation rather than admit the beneficiary for medical management so as to avoid the episode from being initiated. Similarly, some commenters claimed that beneficiaries with AMI who need a PCI would receive the procedure as an outpatient, also to avoid the initiation of an AMI episode. The commenters were concerned with the potential for such site-of-service shifting to result in lower quality of care for AMI beneficiaries treated medically or with a PCI, especially for those complex beneficiaries that could result in high-cost AMI episodes if admitted for inpatient treatment.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identified a potential risk to quality of care that could result from changes in the timing of planned secondary PCIs after AMI due to the financial incentives in the AMI model, where AMI episodes include planned, related care such as readmissions for PCI and outpatient PCI without a payment adjustment, except in the case of a CABG readmission. The commenters speculated that AMI model participants will either perform this secondary PCI during the initial hospital stay, potentially causing harm to patients, or intentionally delaying the procedure until after the episode ends. The commenters recommended that CMS monitor and evaluate whether these shifts in the timing of PCI occur and whether they affect patient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claimed that the performance of SHFFT procedures may not be sustainable in rural hospitals that are SHFFT model participants. The commenter reasoned that rural hospitals in regions selected for SHFFT model participation that have, in the past, provided to their community the service of local joint replacement and hip fracture treatment may no longer be able to sustain this practice given the financial implications of the proposed SHFFT model. Other commenters discussed the unintended consequences of limited access to care throughout the 5-year duration of the EPMs. One commenter presented findings from interviews of SNF staff members at SNFs that experienced shorter lengths-of-stay in markets with heavy Medicare Managed Care penetration who reported having to discharge patients early when the staff members believed those patients were unsafe for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outlined in detail their quality concerns about the transitions at the beginning and end of the EPM episode. The commenter asserted that the required bundling in the EPMs in the selected geographic areas would create a new transition in care, at the end of the 90 days following hospital discharge, for persons for whom care transitions are already problematic. The commenter claimed that the transition into the hospitalization for serious conditions like hip fracture, AMI, and CABG that are the focus of the EPMs is a disruptive event. They recommended that the requirements for the EPMs should attend to this initial transition at least with respect to the quality of care planning and the documentation of the decision to operate. The commenter specifically urged CMS to specify that the merits of the decision to hospitalize and to monitor or operate must be documented, both for fracture patients and for AMI, and that documentation should show that the risks and expected benefits had been discussed thoroughly. In addition, the commenter believes that at the end of the episode, the patient would likely lose whatever care coordination and supplemental benefits that the hospital and its partners were providing under the EPM. They pointed out that this creates another transition, with the associated risks of inadequate information transfer, fear and anxiety in creating and learning another set of care arrangements, and cessation of important services. The commenter reasoned that persons with underlying, serious chronic conditions will be unlikely to be stable and doing well at 90 days following hospital discharge; they will be more likely to be in fragile health and may be continuing to decline. Therefore, the commenter suggested that the EPMs should require attention to these issues by generating quality metrics that track real performance in this transition. The commenter identified this last transition </w:t>
      </w:r>
      <w:r>
        <w:rPr>
          <w:rFonts w:ascii="arial" w:eastAsia="arial" w:hAnsi="arial" w:cs="arial"/>
          <w:b/>
          <w:i w:val="0"/>
          <w:strike w:val="0"/>
          <w:noProof w:val="0"/>
          <w:color w:val="000000"/>
          <w:position w:val="0"/>
          <w:sz w:val="20"/>
          <w:u w:val="none"/>
          <w:vertAlign w:val="baseline"/>
        </w:rPr>
        <w:t> [*428] </w:t>
      </w:r>
      <w:r>
        <w:rPr>
          <w:rFonts w:ascii="arial" w:eastAsia="arial" w:hAnsi="arial" w:cs="arial"/>
          <w:b w:val="0"/>
          <w:i w:val="0"/>
          <w:strike w:val="0"/>
          <w:noProof w:val="0"/>
          <w:color w:val="000000"/>
          <w:position w:val="0"/>
          <w:sz w:val="20"/>
          <w:u w:val="none"/>
          <w:vertAlign w:val="baseline"/>
        </w:rPr>
        <w:t xml:space="preserve"> as an opportunity for CMS to tally utilization and mortality shortly after the EPM episode ends and also to generate and use metrics that directly monitor transition quality.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the commenters have accurately described possible risks of unintended consequences on care quality as a result of the financial incentives under the EPMs; however, we note that similar risks are inherent in all bundled payment models and systems. We agree that monitoring is necessary in order to further reduce these potential risks. We believe that professionalism, the quality measures proposed for the EPMs, and clinical standards can be effective in preventing denials of medically necessary care in both the inpatient and post-acute care settings during the 90 days post-hospital discharge. Additionally, we have consistently found that the traditional authorities available to the Secretary, including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anti-kickback provisions and other existing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the Medicare program, are adequate to provide a counterbalance to the economic incentives that could drive under-delivery of care. Therefore, we believe that we can use our existing oversight authority to monitor the risks of the EPMs, just as we monitor the various risks inherent in all payment models and systems, but we do not believe that new controls are necessary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other than those which we proposed and are finalizing for the EPMs after consideration of the public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number of established mechanisms by which we will monitor for evidence of the under-delivery of care, and by which we can react to and mitigate any identified problems. We will be monitoring data in the process of calculating quality metrics, and we have several reporting mechanisms, such as the 1-800-MEDICARE helpline. We monitor the quality of hospitals stays and surgical procedures through the QIOs, we routinely review medical records in our claims audits, and we specifically investigate outcomes as part of our evaluations of new payment and service delivery models. All of these processes create opportunities to identify potentially noncompliant providers or suppliers. Providers or suppliers who are investigated and found to be inappropriately denying care, diverting patients, providing unsafe care, or furnishing care in a setting that does not comply with Medicare rules may be sanctioned using our authorities under the Medicare program as well as those adopted for the EPMs, with penalties that may include EPM participant ineligibility for reconciliation payments, revocation from the Medicare program if patients are placed at risk by substandard care, or other applicable administrative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that there are opportunities to employ additional quality metrics in the EPMs, including those around care transitions at the beginning of the EPM episode and the end of the episode. However, we note that obstacles exist not only in defining new measures, but in implementing mechanisms to report and assess those metrics without creating undue administrative burden or technological challenges for providers. Therefore, we are not adopting any additional requirements for these care transitions under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there are opportunities for rural SHFFT model participants to improve the quality and efficient of care under the SHFFT model that are similar to those for hospitals that are not located in rural areas. Rural SHFFT model participants have the same opportunity as other SHFFT model participants to benefit financially from improvements in the cost and quality performance of SHFFT episodes. In addition, as discussed in section III.D.7.c.(1) of this final rule, we are finalizing more protective limitations on loss for rural hospitals, SCHs, MDHs, and RRCs in recognition of the importance of preserving Medicare beneficiaries' access to care from these hospitals. Therefore, we disagree with the commenter that the financial implications of the SHFFT model are likely to make the provision of surgical hip fracture treatment in rural hospitals unsustainable.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the commenters that monitoring is essential to protect against practices that may reduce the quality of post-acute care services. We believe that monitoring for this quality is best accomplished at the population level through monitoring for access to the appropriate level and quantity of post-acute care services. We also believe that beneficiary knowledge and engagement; the reliance on the medical direction of the physician; the monitoring of quality metrics; the complaint and oversight opportunities through the 1-800-MEDICARE helpline and the QIOs; and the use of care coordination all cooperate to ensure the quality of individual services delivered to individual beneficiaries, including post-acute care services, is maintained or improved under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we will analyze the care patterns for beneficiaries with AMI who present to AMI model participants for treatment, regardless of whether or not they are admitted to the hospital for treatment, treated as an outpatient, transferred to another hospital for the initial hospitalization, or transferred from an inpatient stay at the AMI model participant to another hospital for an inpatient hospitalization. Because best AMI care practices for hospitals with different cardiac care capacity are not well-defined, we expect that our analyses performed as part of monitoring will help to identify the effects on care quality and costs of different patterns in relation to patient complexity. Not all the beneficiaries we examine through our monitoring analyses will actually be included the AMI model (for example, if the beneficiary is treated for AMI only as an outpatient), but we plan to examine the experiences of all beneficiaries with AMI who present to an AMI model participant for treatment so we can develop the full picture of all care patterns for this emergent, common clinical condition. We will also analyze patterns of planned cardiac care for AMI beneficiaries for consistency with clinical guidelines and to examine the effects of such patterns on beneficiary outcomes.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support for CMS' proposal to continuously monitor financial arrangements between EPM participants and EPM collaborators, as well as auditing of patients' medical records and claims to allow early detection and intervention in the case of quality concerns. However, the commenters requested that the monitoring be conducted through the analysis of already submitted documentation, and not through an additional reporting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support for monitoring financial arrangements and patient medical records to allow for early detection of quality concerns, as well as their concerns over the increased administrative burden on EPM participants that could result from these monitoring activities. We note that we do not require routine submission of most information under the EPMs, including documentation on sharing arrangements or EPM beneficiary medical records. However, we proposed in § 512.110 that EPM participants must allow the Government access to all books, contracts, records, documents, and other evidence sufficient to enable the audit, evaluation, inspection, or investigation of several areas, including the entity's compliance with EPM requirements and the quality of services furnished to an EPM beneficiary during EPM episodes. We expect that the </w:t>
      </w:r>
      <w:r>
        <w:rPr>
          <w:rFonts w:ascii="arial" w:eastAsia="arial" w:hAnsi="arial" w:cs="arial"/>
          <w:b/>
          <w:i w:val="0"/>
          <w:strike w:val="0"/>
          <w:noProof w:val="0"/>
          <w:color w:val="000000"/>
          <w:position w:val="0"/>
          <w:sz w:val="20"/>
          <w:u w:val="none"/>
          <w:vertAlign w:val="baseline"/>
        </w:rPr>
        <w:t> [*429] </w:t>
      </w:r>
      <w:r>
        <w:rPr>
          <w:rFonts w:ascii="arial" w:eastAsia="arial" w:hAnsi="arial" w:cs="arial"/>
          <w:b w:val="0"/>
          <w:i w:val="0"/>
          <w:strike w:val="0"/>
          <w:noProof w:val="0"/>
          <w:color w:val="000000"/>
          <w:position w:val="0"/>
          <w:sz w:val="20"/>
          <w:u w:val="none"/>
          <w:vertAlign w:val="baseline"/>
        </w:rPr>
        <w:t xml:space="preserve"> proposed monitoring activities will require records being made available to CMS consistent with the access to records and retention requirements as discussed in section III.H. of this final rule. We further note that CMS may also designate contractors to which these records will be required to be made available. We understand the need to balance our monitoring of financial arrangements and auditing of EPM beneficiaries' medical records and claims as a safeguard for beneficiary quality of care with the administrative burden on EPM participants to make those records available to us, although EPM participants are required retain those records and provide access to them upon request. Therefore, we will be judicious in our request that records be submitted to us to allow for monitoring, keeping in mind the burden on EPM participants of record submission in relation to the value of those records to provide program integrity checks and allow early detection of any quality concerns.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recommended that CMS develop a plan to identify where and when inappropriate reductions in care might occur. While the commenters commended CMS for articulating the potential for such problems to occur under the EPMs, they urged CMS to create a clear and specific monitoring and enforcement plan to ensure beneficiary choice is protected and to ensure that consumers receive the most appropriate care, in the most appropriate setting, at the right time. The commenters suggested that CMS develop training for 1-800-MEDICARE call center employees to identify and flag potential care reductions or inappropriate steering under the EPMs. They also encouraged CMS to ensure that the State Health Insurance Assistance Programs (SHIPs) are appropriately trained and engaged by the time the final EPMs are implemented. Other commenters suggested the CMS adopt an appeals mechanism for beneficiaries who receive poor quality care under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commenters further recommended that CMS consider establishing an independent Ombudsman program for the purposes of monitoring and assisting beneficiaries in all model tests underway at the Innovation Center, including the proposed EPMs. The commenters reported that Ombudsman programs are being successfully used in the Financial Alignment Initiative for Medicare-Medicaid Enrollees, as well as to monitor the Durable Medical Equipment Prosthetics, Orthotics and Supplies (DMEPOS)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Bidding program authorized by the Medicare Prescription Drug, Improvement, and Modernization Act of 2003. The commenters stated these independent entities are responsible for monitoring beneficiary access to care, in addition to limiting beneficiary confusion and promoting enhanced understanding. With an increasing number of delivery and payment system models ongoing at the Innovation Center, the commenters believe a dedicated Ombudsman is warranted.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recommended that beneficiaries be provided information and data about improved outcomes and satisfaction seen to date under payment models. The commenters further believe that general beneficiary education programs regarding medical necessity and beneficiary choice would be advantageous to supporting providers and suppliers furnishing services to EPM beneficiaries. Specifically, one commenter stated that some post-acute care providers are not educated or are continuing to operate with protocols that encourage overuse of certain types of care and result in lower quality health care for Medicare beneficiaries. An example provided by the commenter included service patterns where all patients are treated by the provider for the maximum number of benefit days, regardless of clinical or social need. The commenter explained that in other circumstances than under the EPMs, events that create quality concerns may be a financial benefit to the post-acute care provider, such as when a patient who resides in a SNF falls and fractures his or her hip. The commenter claimed that upon readmission to the SNF, it is likely that the SNF will keep the patient at an acute level of care for 90 days or even longer, regardless of the original functional status of the patient.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one commenter stated that patients report that some post-acute care providers are engaging in marketing efforts that may not accurately portray beneficiary choice. The commenter asserted that in their direct experience, some post-acute care providers establish mandatory minimum stay requirements that do not align with physician discharge orders and show reluctance to coordinate with the beneficiary's care team during the post-acute stay. In this scenario, the commenter concluded that there would be little an EPM participant could do to influence the pattern of care furnished by such post-acute care providers if an EPM beneficiary is treated by a provider that uses such practices. The commenter requested that CMS support EPM participants in improving the quality and efficiency of EPM episodes by adopting revised payment policies for institutional post-acute care services that are better aligned with medical necessity, including payment for short stays that include more appropriate types of therapy that support improved outcomes and increased quality. The commenter further recommended that CMS engage in marketing monitoring activities in order to support EPM goals.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regarding additional mechanisms to monitor the quality of care received by beneficiaries. We will be developing the specific metrics for monitoring for the quality of care as we refine the plans with our monitoring and evaluation contractors so further details are currently unavailable. We appreciate the recommendations of the commenters on metrics for monitoring quality of care as a counter to the financial incentives under the EPMs and will take them into consideration as we finalize our plans for monitoring the effects of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not believe that special beneficiary appeal rights are necessary under the EPMs. First, there are numerous processes in place under the EPMs and the Medicare program to protect beneficiary choice. The beneficiary retains all rights to choose the provider or supplier for medically necessary covered services. The beneficiary retains the benefits of the doctor-patient relationship, with additional notification of any sharing arrangement that could create a potential conflict of interest. In addition, the beneficiary must be provided with a notice of non-coverage for continuing services, such as a continued stay in an EPM participant or a SNF, and the beneficiary has access to the existing expedited review process in these cases. The beneficiary may also voice concerns or grievances, such as to the QIO or through the 1-800-MEDICARE helpline. We agree that it would be beneficial to distribute educational materials to ensure that beneficiaries can take advantage of the support available at the 1-800-MEDICARE helpline, SHIP, and the QIOs, and we will consider developing such materials for publication contemporaneously with the start of the EPMs. Additionally, 1-800-MEDICARE helpline staff will be appropriately trained and have access to relevant EPM-specific informational materials that allow them to respond to many potential beneficiary concerns related to the EPMs by the time the EPMs are implemented. </w:t>
      </w:r>
      <w:r>
        <w:rPr>
          <w:rFonts w:ascii="arial" w:eastAsia="arial" w:hAnsi="arial" w:cs="arial"/>
          <w:b/>
          <w:i w:val="0"/>
          <w:strike w:val="0"/>
          <w:noProof w:val="0"/>
          <w:color w:val="000000"/>
          <w:position w:val="0"/>
          <w:sz w:val="20"/>
          <w:u w:val="none"/>
          <w:vertAlign w:val="baseline"/>
        </w:rPr>
        <w:t> [*430]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note that we intend to establish an Alternative Payment Models Beneficiary Ombudsman within CMS who will complement the Medicare Beneficiary Ombudsman in responding to beneficiary inquiries and concerns arising from care under the models addressed in this final rule, as well as other Innovation Center models, under the existing Medicare processes. These existing Medicare beneficiary inquiry processes include the Quality Improvement Organizations (QIO) and the 1-800-MEDICARE helpline that works with the Medicare Beneficiary Ombudsman and CMS caseworker staff to resolve beneficiary issues. We will ensure that the QIOs, 1-800-MEDICARE helpline, CMS casework staff and the Alternative Payment Models Beneficiary Ombudsman have the information necessary, as well as access to program experts, to the extent consistent with applicable privacy and security laws, to respond to beneficiary issues prior to the implementation of the EPMs on July 1, 2017. The 1-800-MEDICARE helpline staff, QIOs and the Medicare Beneficiary Ombudsman already have information and program expert access for the CJR model, but we will ensure that those same materials are also made available to the Alternative Payment Models Beneficiary Ombudsman and CMS casework staff, to the extent consistent with applicable privacy and security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will not revise our payment policies under the Medicare program for EPM participants or other providers or suppliers beyond those discussed in this final rule, we agree with commenters regarding the need to continually improve stakeholder education for models to succeed and we intend to do as much as we can to work to design and deploy a helpful learning and diffusion program. We currently facilitate learning within models by disseminating the lessons learned across models so that participants can benefit from the experiences of other models, and are always looking for better ways to educate and assist participants and their partners in care redesign in knowledge sharing. We continue to believe that these efforts contribute to reducing the administrative burden on the health care delivery system and are responsive to commenters' requests that we address the educational needs of providers and suppliers caring for EPM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note that the usual tools employed by CMS to monitor and prevent overutilization all apply to the services, including post-acute care services, furnished during EPM episodes. These tools include data analysis, the process of tracking patterns of utilization and trends in the delivery of care, and medical review, a clinical audit process by which we verify that services paid by Medicare were reasonable and necessary in accordance with section 1862(a)(1)(A) of the Act. We believe that these tools as employed by the MACs and by the QIOs are sufficient to check for the medical necessity of EPM services, including post-acute care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for monitoring quality of care,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Monitoring for Delayed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EPMs in part to incentivize EPM participants to create efficiencies in the delivery of care during a 90-day post-hospital discharge episode duration following an acute clinical event. Theoretically, the EPMs also could create incentives for EPM participants or their EPM collaborators to delay services until after the 90-day post-discharge period has ended. Consistent with the CJR model, we believe that existing Medicare safeguards and other proposals under the EPMs are sufficient to protect EPM beneficiaries from harm due to delayed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our experience with other episode-based payment models such as the BPCI initiative has shown that providers focus first on appropriate care and then on efficiencies only as obtainable in the setting of appropriate care. We believe that a 90-day post-discharge episode duration is sufficient to minimize the risk that EPM participants and their collaborators would compromise services furnished in relation to a beneficiary's care. While we recognize that ongoing care for underlying conditions or continued recovery may be required after the EPM episode ends, we believe that EPM participants would be unlikely to postpone key services beyond a 90-day post-discharge period because the consequences of delaying care beyond the episode duration would be contrary to usual standards of care.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we also proposed that additional monitoring for delayed care would occur as a function of the proposed EPMs. As with the CJR model, we proposed as part of the EPM payment policies </w:t>
      </w:r>
      <w:hyperlink r:id="rId9" w:history="1">
        <w:r>
          <w:rPr>
            <w:rFonts w:ascii="arial" w:eastAsia="arial" w:hAnsi="arial" w:cs="arial"/>
            <w:b w:val="0"/>
            <w:i/>
            <w:strike w:val="0"/>
            <w:noProof w:val="0"/>
            <w:color w:val="0077CC"/>
            <w:position w:val="0"/>
            <w:sz w:val="20"/>
            <w:u w:val="single"/>
            <w:vertAlign w:val="baseline"/>
          </w:rPr>
          <w:t>(81 FR 50876</w:t>
        </w:r>
      </w:hyperlink>
      <w:r>
        <w:rPr>
          <w:rFonts w:ascii="arial" w:eastAsia="arial" w:hAnsi="arial" w:cs="arial"/>
          <w:b w:val="0"/>
          <w:i w:val="0"/>
          <w:strike w:val="0"/>
          <w:noProof w:val="0"/>
          <w:color w:val="000000"/>
          <w:position w:val="0"/>
          <w:sz w:val="20"/>
          <w:u w:val="none"/>
          <w:vertAlign w:val="baseline"/>
        </w:rPr>
        <w:t xml:space="preserve"> through 50877) that certain post-episode payments occurring in the 30-day window subsequent to the end of the EPM episode would be counted as an adjustment against savings achieved by the EPM participant. We believe that including such a payment adjustment would create an additional deterrent to delaying care beyond the episode duration. In addition, the data collection and calculations used to determine the adjustment would provide a mechanism to check whether providers are inappropriately delaying care. Finally, we noted in the proposed rule that the proposed quality measures would create additional safeguards against delays in medically necessary care under the EPMs, as such measures are used to monitor and influence clinical care at the institutional level, including for other CMS hospital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invited public comment on our proposed methods for monitoring EPM participants' actions and compliance, as well as on other methods to safeguard delivery of high quality, clinically appropriate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acknowledged that a goal of alternative payment models such as the proposed EPMs is to reduce unnecessary services and their associated costs, resulting in inherent incentives in such models to potentially delay or reduce medically necessary care. The commenters recommended that all alternative payment models should be designed to closely monitor health care received and protect beneficiaries against potential stinting of clinical treatment, delays in care, and case mix shifts. They recommended that CMS continue to offer regular and structured opportunities for stakeholder feedback to ensure that as the number of models increases, CMS continues to protect beneficiary access to care and all clinically appropriate treatment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expressed concern that AMI model participants would delay costly, medically necessary cardiac care until after the AMI episode ends, a practice that would be inconsistent with clinical guidelines. The commenters identified planned follow-up inpatient or outpatient PCI of lesions identified at the time of the AMI but not responsible for the AMI and readmissions for cardiac surgery, such as cardiac valve replacement or implantable cardioverter defibrillator implantation, as potential instances where cardiac care could be delayed until after the end of an AMI episode. One commenter requested further details regarding how CMS intends to protect beneficiaries from delayed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of the commenters in ensuring that the EPMs and other alternative payment models are designed to closely monitor care in order to detect and address any </w:t>
      </w:r>
      <w:r>
        <w:rPr>
          <w:rFonts w:ascii="arial" w:eastAsia="arial" w:hAnsi="arial" w:cs="arial"/>
          <w:b/>
          <w:i w:val="0"/>
          <w:strike w:val="0"/>
          <w:noProof w:val="0"/>
          <w:color w:val="000000"/>
          <w:position w:val="0"/>
          <w:sz w:val="20"/>
          <w:u w:val="none"/>
          <w:vertAlign w:val="baseline"/>
        </w:rPr>
        <w:t> [*431] </w:t>
      </w:r>
      <w:r>
        <w:rPr>
          <w:rFonts w:ascii="arial" w:eastAsia="arial" w:hAnsi="arial" w:cs="arial"/>
          <w:b w:val="0"/>
          <w:i w:val="0"/>
          <w:strike w:val="0"/>
          <w:noProof w:val="0"/>
          <w:color w:val="000000"/>
          <w:position w:val="0"/>
          <w:sz w:val="20"/>
          <w:u w:val="none"/>
          <w:vertAlign w:val="baseline"/>
        </w:rPr>
        <w:t xml:space="preserve"> delays in care or other potentially harmful care patterns that could be incentivized by the financial incentives under the models. We agree with the commenters that because the EPM episodes for which an EPM participant is responsible extend 90 days post-discharge from the anchor hospitalization, there is some risk that care could be delayed until after the end of the episode. However, we believe that EPM participants and other providers and suppliers furnishing services to EPM beneficiaries will focus first on clinically appropriate, timely care consistent with evidence-based clinical guidelines. We further note that delaying medically necessary care for more than 90 days following hospital discharge could both be contrary to usual clinical standards of care and potentially lead to complications that could result in utilization of health care services that increases actual EPM-episode spending and endangers the EPM participant's episode cost and quality performance under the EPM. The potential for costly complications serves to counter the theoretical financial benefit that an EPM participant could experience when care is intentionally delayed until after the episode ends.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as discussed in section III.E.3 of this final rule, we use quality measures of patient outcomes and patient experience in the pay-for-performance methodologies of the EPMs where the financial opportunity for EPM participants to receive savings for any given level of actual EPM-episode spending increases with higher quality of care. Thus, we believe the use of quality measures in the pay-for-performance methodologies of the EPMs also serves to deter potentially harmful delays in care. Finally, as discussed in section III.D.7.e. of this final rule, EPM participants with post-episode spending in the 30 days following the end of EPM episodes that exceeds a threshold set at 3 standard deviations above average spending in their region for that period of time need to repay Medicare for the amounts in excess of the threshold. This repayment is not subject to the stop-loss limitations under the EPMs, resulting in full risk for EPM participants. Therefore, we believe this policy also discourages delays in medically necessary care until after an EPM episode ends.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be developing the specific metrics for monitoring for delayed care as we refine the plans with our monitoring and evaluation contractors so further details are currently unavailable. We note that EPM participants found to engage in delaying medically necessary care would be noncompliant with the EPM under the provisions finalized in § 512.460(b)(1) due to actions that threaten the health or safety of patients. In these circumstances, CMS could utilize one of the compliance tools finalized in §§ 512.460(b)(2) and (b)(3), which include requiring the EPM participant to develop a corrective action plan; reducing or eliminating the EPM participant's reconciliation payment; adding a 25 percent penalty to the repayment amount on the EPM participant's reconciliation report under certain conditions, or terminating the EPM participant's participation in the EPM. We believe that these compliance tools allow us to take timely remedial action for instances of noncompliance by an EPM participant and that the finalization of these tools provides a significant beneficiary safeguard against delayed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for monitoring for delayed care,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Access to EPM Records and Record Retention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Shared Savings Program, the BPCI initiative, the CJR model, and other Innovation Center models, we proposed specific access to EPM records and record retention requirements for individuals and entities involved with the EPM. For the CJR model, the record access and retention requirements were originally located in Subpart F (Financial Arrangements and Beneficiary Incentives). However, we proposed to include them in Subpart B (Episode Payment Model Participants) for the EPM and to move them to Subpart B for the CJR model as discussed in section V.L. of this final rule, so that these requirements can be applied to categories of information that are broader than those solely related to financial arrangements and beneficiary incentives, as discussed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EPM participants, EPM collaborators, collaboration agents, downstream collaboration agents, and any other individuals or entities performing EPM activities must allow both scheduled and unscheduled access to all books, contracts, records, documents, and other evidence (including data related to utilization and payments, quality of care criteria, billings, lists of EPM collaborators, sharing arrangements, distribution arrangements, downstream distribution arrangements, and the documentation required under §§ 512.500(d) and 512.525(d)) sufficient to enable the audit, evaluation, inspection, or investigation of six categories of information. We further proposed that all such books, contracts, records, documents, and other evidence be maintained for a period of 10 years from the last day of the EPM participant's participation in the EPM or from the date of completion of any audit, evaluation, inspection, or investigation, whichever is later, unless CMS determines a particular record or group of records should be retained for a longer period and notifies the EPM participant at least 30 calendar days before the disposition date; or there has been a dispute or allegation of fraud or similar fault against the EPM participant, EPM collaborator, collaboration agent, downstream collaboration agents, or any other individual or entity performing EPM activities in which case the records must be maintained for 6 years from the date of any resulting final resolution of the dispute or allegation of fraud or similar fault.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CJR model, we applied these record access and retention obligations only to participant hospitals and CJR collaborators </w:t>
      </w:r>
      <w:hyperlink r:id="rId21" w:history="1">
        <w:r>
          <w:rPr>
            <w:rFonts w:ascii="arial" w:eastAsia="arial" w:hAnsi="arial" w:cs="arial"/>
            <w:b w:val="0"/>
            <w:i/>
            <w:strike w:val="0"/>
            <w:noProof w:val="0"/>
            <w:color w:val="0077CC"/>
            <w:position w:val="0"/>
            <w:sz w:val="20"/>
            <w:u w:val="single"/>
            <w:vertAlign w:val="baseline"/>
          </w:rPr>
          <w:t>(80 FR 73432</w:t>
        </w:r>
      </w:hyperlink>
      <w:r>
        <w:rPr>
          <w:rFonts w:ascii="arial" w:eastAsia="arial" w:hAnsi="arial" w:cs="arial"/>
          <w:b w:val="0"/>
          <w:i w:val="0"/>
          <w:strike w:val="0"/>
          <w:noProof w:val="0"/>
          <w:color w:val="000000"/>
          <w:position w:val="0"/>
          <w:sz w:val="20"/>
          <w:u w:val="none"/>
          <w:vertAlign w:val="baseline"/>
        </w:rPr>
        <w:t xml:space="preserve"> through 73433). However, because we proposed additional types of EPM collaborators and types of financial arrangements in section III.I. of this final rule for the EPM, as well as defined EPM activities as those related to promoting accountability for the quality, cost, and overall care for EPM beneficiaries, we proposed to apply the record access and retention obligations to EPM participants and all individuals and entities with EPM financial arrangements where payments are substantially based on quality of care and the provision of EPM activities, as well as to other individuals and entities providing EPM activities. While this proposal is an expansion of the current record access and retention obligations under the CJR model to additional categories of individuals and entities, we believe the expansion is necessary and appropriate for the six categories of information to which we proposed that the access and retention requirements would apply. Access to this information from those individuals and entities providing EPM activities that are the basis of care redesign in the EPM provides an important program safeguard by allowing monitoring for compliance with EPM requirements. The alternative of limiting the requirements solely to EPM participants and EPM collaborators as we finalized for the CJR model would result in no record access and retention obligation </w:t>
      </w:r>
      <w:r>
        <w:rPr>
          <w:rFonts w:ascii="arial" w:eastAsia="arial" w:hAnsi="arial" w:cs="arial"/>
          <w:b/>
          <w:i w:val="0"/>
          <w:strike w:val="0"/>
          <w:noProof w:val="0"/>
          <w:color w:val="000000"/>
          <w:position w:val="0"/>
          <w:sz w:val="20"/>
          <w:u w:val="none"/>
          <w:vertAlign w:val="baseline"/>
        </w:rPr>
        <w:t> [*432] </w:t>
      </w:r>
      <w:r>
        <w:rPr>
          <w:rFonts w:ascii="arial" w:eastAsia="arial" w:hAnsi="arial" w:cs="arial"/>
          <w:b w:val="0"/>
          <w:i w:val="0"/>
          <w:strike w:val="0"/>
          <w:noProof w:val="0"/>
          <w:color w:val="000000"/>
          <w:position w:val="0"/>
          <w:sz w:val="20"/>
          <w:u w:val="none"/>
          <w:vertAlign w:val="baseline"/>
        </w:rPr>
        <w:t xml:space="preserve"> for certain individuals and entities that have financial arrangements under the EPM and engage in EPM activities, thereby limiting the Government's ability to audit, evaluate, inspect, or investigate compliance with EPM requirements. We similarly proposed changes to the individuals and entities subject to record access and retention obligations under the CJR model as discussed in section V.L.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identified six categories of information related to key EPM parameters for which we proposed that the record access and retention requirements would apply. Like the CJR model, we proposed that one category of information consists of those documents related to the individual's or entity's compliance with EPM requirements. Given the individuals and entities who must comply with the requirements of the EPM either directly or through their arrangements, including EPM participants, EPM collaborators, collaboration agents, and downstream collaboration agents, an important program safeguard is record access and retention that allow compliance with the EPM requirements to be monitored and assessed.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similar to the CJR model, we proposed that a second category of information consists of documents related to the calculation, distribution, receipt, or recoupment of gainsharing payments, alignment payments, distribution payments, and downstream distribution payments. This list includes all types of payments proposed under EPM financial arrangements as discussed in section III.I. of this final rule and is different from the current CJR model requirement to the extent that we proposed additional types of EPM financial arrangements in view of our proposal that ACOs can be EPM collaborators. Because of the proposed EPM requirements for these types of payments that are designed to ensure that all financial arrangements are for the sole purpose of aligning the financial incentives of individuals and entities with the goals of the EPM participant to improve the quality and efficiency of EPM episode care, we believe that these records of all the individuals and entities who enter such arrangements should be accessible and retained to allow compliance with the EPM requirements for the payments to be monitored and assessed. We proposed similar changes to this category of information under the CJR model as discussed in section V.L.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category of information for which we proposed to require record access and retention is related to an EPM participant's obligation to repay to CMS any reconciliation payment or CR incentive payments owed. The CR incentive payment has been added to this provision which otherwise applied to the CJR model because we proposed and finalize a CR incentive payment in section VI. of this final rule for AMI and CABG model participants in selected MSAs, while the CJR model does not include this payment. Requiring record access and retention about repayment obligations under the EPM provides an important program integrity safeguard for repayments to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require record access and retention on the quality of the services furnished to an EPM beneficiary during an EPM episode as the fourth category of information. While the CJR model specified the quality of services furnished without further limitation in the record access and retention requirements, given our EPM proposals that require gainsharing, distribution, and downstream distribution payments to be substantially based on quality of care and EPM activities, we believe that it is appropriate to specify that the record access and retention requirements apply specifically to the services furnished to an EPM beneficiary during an EPM episode. The quality of services furnished without further limitation could result in an overly broad record access and retention requirement for services that are delivered outside of EPM episodes, where these services are not subject to EPM requirements. Services furnished to EPM beneficiaries during EPM episodes are the services for which we will also be monitoring for access to care, delayed care, and quality of care, important activities to safeguard the program and Medicare beneficiaries, so access to documents to support this monitoring is necessary. We proposed similar changes to this category of information under the CJR model and discuss further in section V.L.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beneficiary notification requirements that we proposed for the EPM in section III.G. of this final rule, we proposed to require access to records and record retention about the sufficiency of EPM beneficiary notifications. The beneficiary notification requirement is an important beneficiary protection under the EPM, and the access to records and record retention requirements provide a program integrity safeguard to monitor for compliance with this requirement. We proposed to add this same category of information for the CJR model and discuss this further in section V.L. of this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proposed to establish CEHRT use attestation for EPM participants so that an EPM participant could be in a Track 1 EPM that meets the requirements in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77008)</w:t>
        </w:r>
      </w:hyperlink>
      <w:r>
        <w:rPr>
          <w:rFonts w:ascii="arial" w:eastAsia="arial" w:hAnsi="arial" w:cs="arial"/>
          <w:b w:val="0"/>
          <w:i w:val="0"/>
          <w:strike w:val="0"/>
          <w:noProof w:val="0"/>
          <w:color w:val="000000"/>
          <w:position w:val="0"/>
          <w:sz w:val="20"/>
          <w:u w:val="none"/>
          <w:vertAlign w:val="baseline"/>
        </w:rPr>
        <w:t xml:space="preserve"> to be an Advanced APM as discussed in section III.A.2 of this final rule. Thus, we proposed to require access to records and record retention about the accuracy of each Track 1 EPM participant's submissions under CEHRT use requirements. Specifically, attestation to CEHRT use and submission of clinician financial arrangements lists are key requirements for Track 1 EPMs that are Advanced APMs, and the access to records and record retention requirements provide a program integrity safeguard by allowing us to assess the completeness and accuracy of the EPM participant's compliance with the requirements for those submissions. We proposed to add this same category of information for the CJR model and discuss this further in section V.L.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stated in the proposed rule, we believe the proposed requirements regarding access to EPM records and record retention are necessary to safeguard program integrity and protect against abuse, in view of the EPM design and requirements as discussed throughout this final rule that would lead to achieving the EPM goals of improved EPM episode quality and efficiency. We also believe that by providing access to EPM records, we promote transparency of activities under the EPM. Furthermore, as stated in the proposed rule, we believe the proposed access to records and record retention requirements would promote the compliance of EPM participants, EPM collaborators, collaboration agents, downstream collaboration agents, and any other individuals or entities providing EPM activities with EPM requirements by ensuring that compliance with these requirements can be monitored and assessed. Finally, these records may be necessary in the event that an EPM participant appeals any matter that is subject to dispute resolution through CMS. As such, CMS would have the resources necessary to prepare and respond to any such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proposals for access to records and record retention are included in § 512.110. We sought comment on our proposals, including whether it is necessary, reasonable and appropriate to impose these access and retention obligations on all of the proposed </w:t>
      </w:r>
      <w:r>
        <w:rPr>
          <w:rFonts w:ascii="arial" w:eastAsia="arial" w:hAnsi="arial" w:cs="arial"/>
          <w:b/>
          <w:i w:val="0"/>
          <w:strike w:val="0"/>
          <w:noProof w:val="0"/>
          <w:color w:val="000000"/>
          <w:position w:val="0"/>
          <w:sz w:val="20"/>
          <w:u w:val="none"/>
          <w:vertAlign w:val="baseline"/>
        </w:rPr>
        <w:t> [*433] </w:t>
      </w:r>
      <w:r>
        <w:rPr>
          <w:rFonts w:ascii="arial" w:eastAsia="arial" w:hAnsi="arial" w:cs="arial"/>
          <w:b w:val="0"/>
          <w:i w:val="0"/>
          <w:strike w:val="0"/>
          <w:noProof w:val="0"/>
          <w:color w:val="000000"/>
          <w:position w:val="0"/>
          <w:sz w:val="20"/>
          <w:u w:val="none"/>
          <w:vertAlign w:val="baseline"/>
        </w:rPr>
        <w:t xml:space="preserve"> categories of individuals and entities for all the proposed categories of information to be retained and made accessible. In addition, we sought comment on whether additional or different safeguards would be needed to ensure program integrity, protect against abuse, and ensure that the goals of the EPM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who stated that the ten year record retention policy we proposed was excessive requested that CMS change the proposed duration of record retention from 10 years to 6 years for the CR incentive payment model, the EPMs and CJR model. The commenter believed that the proposed retention policy is excessive as it extends well beyond the proposed end of the fifth performance year of the EPMs on December 31, 2021 and that a 6-year record retention policy would be more consistent with other CMS programs. Another commenter recommended that CMS also request access to records on gainsharing and other savings-related payments so as to help examine the extent to which savings are equitably being shared by facilities with participating physicians and other healthcare professionals.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appreciate the commenter's concerns regarding the ten year retention period, we note that the proposed ten years is more consistent with other models, including the CJR. Furthermore, once an appeal is initiated, such disputes can be lengthy processes and we believe that maintaining this requirement as proposed at ten years, rather than the 6 years suggested by the commenter, would give both the participant and CMS, as well as those completing any audit, evaluation, inspection, or investigation, the resources to prepare and respond to issues that may take several years to surface. CMS will consider requesting access to records of gainsharing payments and other arrangements that will assist in evaluating and measuring the EPM goals of improved EPM episode quality and efficiency. CMS authority under §§ 512.110(a)(1) and (2) allows the Federal Government to sufficiently access records and we believe this will contribute to the ability to enable audits, evaluations, inspections, or investigations to ensure that payments are consistent with model goals and are not abusive.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Financial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November 2015 we finalized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financial arrangements for the CJR model </w:t>
      </w:r>
      <w:hyperlink r:id="rId21" w:history="1">
        <w:r>
          <w:rPr>
            <w:rFonts w:ascii="arial" w:eastAsia="arial" w:hAnsi="arial" w:cs="arial"/>
            <w:b w:val="0"/>
            <w:i/>
            <w:strike w:val="0"/>
            <w:noProof w:val="0"/>
            <w:color w:val="0077CC"/>
            <w:position w:val="0"/>
            <w:sz w:val="20"/>
            <w:u w:val="single"/>
            <w:vertAlign w:val="baseline"/>
          </w:rPr>
          <w:t>(80 FR 73550</w:t>
        </w:r>
      </w:hyperlink>
      <w:r>
        <w:rPr>
          <w:rFonts w:ascii="arial" w:eastAsia="arial" w:hAnsi="arial" w:cs="arial"/>
          <w:b w:val="0"/>
          <w:i w:val="0"/>
          <w:strike w:val="0"/>
          <w:noProof w:val="0"/>
          <w:color w:val="000000"/>
          <w:position w:val="0"/>
          <w:sz w:val="20"/>
          <w:u w:val="none"/>
          <w:vertAlign w:val="baseline"/>
        </w:rPr>
        <w:t xml:space="preserve"> through 73553), an episode payment model that is similar to the three new proposed EPMs. In this rulemaking, we proposed three new episode payments models that fall under the overarching term EPM, specifically the AMI model, CABG model, and SHFFT model. Both the CJR model and the three proposed EPMs would place financial responsibility for the episode on the hospital where the episode begins with a hospitalization and would require participation of hospitals in the selected MSAs for the models. Like LEJR episodes under the CJR model, the AMI, CABG, and SHFFT episodes in the proposed EPMs would be broadly defined to include most Part A and Part B services and extend 90 days following discharge from the hospitalization that initiates the EPM episode. During the design of the EPMs, we considered proposing the same CJR financial arrangements that were finalized through notice and comment rulemaking because the proposed EPMs have a similar design to the CJR model with the same goals of improving the quality and efficiency of model episodes. We expected that the types of financial arrangements needed to align the financial incentives of CJR participant hospitals and EPM participants with other providers and suppliers caring for CJR beneficiaries or EPM beneficiaries during episodes to improve episode quality and efficiency would be similar. We also believed that program integrity safeguards that would provide protections against abuse under the financial relationships permitted for the EPMs should be comparable to those for the CJR model. However, we believed that it was possible to improve on the current regulatory structure for financial relationships that we established for the CJR model in our proposals for the EPM. Our proposals reflected changes from the current CJR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generally fell into the following four categories:</w:t>
      </w:r>
    </w:p>
    <w:p>
      <w:pPr>
        <w:keepNext w:val="0"/>
        <w:numPr>
          <w:numId w:val="4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duplication of requirements in similar provisions.</w:t>
      </w:r>
    </w:p>
    <w:p>
      <w:pPr>
        <w:keepNext w:val="0"/>
        <w:numPr>
          <w:numId w:val="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Streamlining and reorganizing the provisions for clarity and consistency.</w:t>
      </w:r>
    </w:p>
    <w:p>
      <w:pPr>
        <w:keepNext w:val="0"/>
        <w:numPr>
          <w:numId w:val="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Providing additional flexibility in response to feedback from CJR participant hospitals and other stakeholders.</w:t>
      </w:r>
    </w:p>
    <w:p>
      <w:pPr>
        <w:keepNext w:val="0"/>
        <w:numPr>
          <w:numId w:val="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Expanding the scope of financial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in section V.J. of the proposed rule </w:t>
      </w:r>
      <w:hyperlink r:id="rId9" w:history="1">
        <w:r>
          <w:rPr>
            <w:rFonts w:ascii="arial" w:eastAsia="arial" w:hAnsi="arial" w:cs="arial"/>
            <w:b w:val="0"/>
            <w:i/>
            <w:strike w:val="0"/>
            <w:noProof w:val="0"/>
            <w:color w:val="0077CC"/>
            <w:position w:val="0"/>
            <w:sz w:val="20"/>
            <w:u w:val="single"/>
            <w:vertAlign w:val="baseline"/>
          </w:rPr>
          <w:t>(81 FR 50958</w:t>
        </w:r>
      </w:hyperlink>
      <w:r>
        <w:rPr>
          <w:rFonts w:ascii="arial" w:eastAsia="arial" w:hAnsi="arial" w:cs="arial"/>
          <w:b w:val="0"/>
          <w:i w:val="0"/>
          <w:strike w:val="0"/>
          <w:noProof w:val="0"/>
          <w:color w:val="000000"/>
          <w:position w:val="0"/>
          <w:sz w:val="20"/>
          <w:u w:val="none"/>
          <w:vertAlign w:val="baseline"/>
        </w:rPr>
        <w:t xml:space="preserve"> through 50968), we proposed changes to the CJR model financial arrangements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 510 to parallel those we proposed for the EPM. These proposals would result in the same provisions and requirements for CJR model and EPM financial arrangements when the first performance year of the proposed EPM would begin on July 1,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Overview of EPM Financial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purposes of this section, the term "EPM" refers to one model specifically among the proposed AMI model, CABG model, or SHFFT model and should be read throughout Subpart F--Financial Arrangements and Beneficiary Incentives (§§ 512.500 through 512.525) of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a single one of these three proposed EPMs. For example, when reading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CABG model, § 512.500(b)(6), the provision would read as, "The board or other governing body of the [CABG model] participant must have responsibility for overseeing the [CABG model] participant's participation in the [CABG model], its arrangements with [CABG model] collaborators, its payment of gainsharing payments, its receipt of alignment payments, and its use of beneficiary incentives in the [CABG model]." We used this approach because we meant for the proposed requirements to apply to every participant in the EPM regardless of whether the EPM was the AMI, CABG, or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section III.D.2.b. of the proposed rule </w:t>
      </w:r>
      <w:hyperlink r:id="rId9" w:history="1">
        <w:r>
          <w:rPr>
            <w:rFonts w:ascii="arial" w:eastAsia="arial" w:hAnsi="arial" w:cs="arial"/>
            <w:b w:val="0"/>
            <w:i/>
            <w:strike w:val="0"/>
            <w:noProof w:val="0"/>
            <w:color w:val="0077CC"/>
            <w:position w:val="0"/>
            <w:sz w:val="20"/>
            <w:u w:val="single"/>
            <w:vertAlign w:val="baseline"/>
          </w:rPr>
          <w:t>(81 FR 50844),</w:t>
        </w:r>
      </w:hyperlink>
      <w:r>
        <w:rPr>
          <w:rFonts w:ascii="arial" w:eastAsia="arial" w:hAnsi="arial" w:cs="arial"/>
          <w:b w:val="0"/>
          <w:i w:val="0"/>
          <w:strike w:val="0"/>
          <w:noProof w:val="0"/>
          <w:color w:val="000000"/>
          <w:position w:val="0"/>
          <w:sz w:val="20"/>
          <w:u w:val="none"/>
          <w:vertAlign w:val="baseline"/>
        </w:rPr>
        <w:t xml:space="preserve"> we proposed that each EPM would be a retrospective episode payment model, under which Medicare payments for items and services included in an EPM episode would continue to be made to all providers and suppliers under the existing FFS payment systems, and episode payment would be based on later reconciliation of actual spending for an EPM episode under the FFS payment systems to the EPM episode's quality-adjusted target price. If the actual episode spending was less than the quality-adjusted target price, the EPM participant financially responsible for the EPM episode would receive a reconciliation payment, assuming the EPM composite quality score for the EPM participant was in the "acceptable," "good," or "excellent" quality category. If an EPM episode's actual spending exceeded the quality-adjusted target price, then, beginning in performance year 2, the EPM participant would begin to repay the difference to Medicare up to the stop-loss threshold. </w:t>
      </w:r>
      <w:r>
        <w:rPr>
          <w:rFonts w:ascii="arial" w:eastAsia="arial" w:hAnsi="arial" w:cs="arial"/>
          <w:b/>
          <w:i w:val="0"/>
          <w:strike w:val="0"/>
          <w:noProof w:val="0"/>
          <w:color w:val="000000"/>
          <w:position w:val="0"/>
          <w:sz w:val="20"/>
          <w:u w:val="none"/>
          <w:vertAlign w:val="baseline"/>
        </w:rPr>
        <w:t> [*434]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our approach in the CJR model </w:t>
      </w:r>
      <w:hyperlink r:id="rId21" w:history="1">
        <w:r>
          <w:rPr>
            <w:rFonts w:ascii="arial" w:eastAsia="arial" w:hAnsi="arial" w:cs="arial"/>
            <w:b w:val="0"/>
            <w:i/>
            <w:strike w:val="0"/>
            <w:noProof w:val="0"/>
            <w:color w:val="0077CC"/>
            <w:position w:val="0"/>
            <w:sz w:val="20"/>
            <w:u w:val="single"/>
            <w:vertAlign w:val="baseline"/>
          </w:rPr>
          <w:t>(80 FR 73412),</w:t>
        </w:r>
      </w:hyperlink>
      <w:r>
        <w:rPr>
          <w:rFonts w:ascii="arial" w:eastAsia="arial" w:hAnsi="arial" w:cs="arial"/>
          <w:b w:val="0"/>
          <w:i w:val="0"/>
          <w:strike w:val="0"/>
          <w:noProof w:val="0"/>
          <w:color w:val="000000"/>
          <w:position w:val="0"/>
          <w:sz w:val="20"/>
          <w:u w:val="none"/>
          <w:vertAlign w:val="baseline"/>
        </w:rPr>
        <w:t xml:space="preserve"> in the proposed rule for the EPM we discussed our belief that EPM participants might wish to enter into financial arrangements with providers and suppliers caring for EPM beneficiaries to share financial risks and rewards under the EPM, in order to align the financial incentives of those providers and suppliers with the EPM goals of improving the quality and efficiency of EPM episodes. We further believed that EPM participants might wish to enter into financial arrangements with ACOs that participate in EPM care redesign and EPM beneficiary care management and whose ACO participants and ACO providers/suppliers care for EPM beneficiaries. We expected that EPM participants would identify key providers and suppliers caring for EPM beneficiaries, as well as ACOs to which EPM beneficiaries were aligned, in their communities and referral regions. The EPM participants then could establish close partnerships with these individuals and entities to promote accountability for the quality, cost, and overall care for EPM beneficiaries, including managing and coordinating care; encouraging investment in infrastructure, enabling technologies, and redesigned care processes for high quality and efficient service delivery; the provision of items and services during an EPM episode in a manner that reduces costs and improves quality; and carrying out other obligations or duties under the EPM. These providers, suppliers, and ACOs might invest substantial time and other resources in these activities, yet they would neither be the direct recipients of any reconciliation payments from Medicare, nor directly responsible for repaying Medicare for excess episode spending. Therefore, we believed it would be possible that an EPM participant that might receive a reconciliation payment from Medicare or might need to repay Medicare might want to enter into financial arrangements with other providers, suppliers, or ACOs to share risks and rewards under the EPM. We expected that all financial relationships established between EPM participants and providers, suppliers, or ACOs for purposes of the EPM would be those permitted only under applicable law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applicable fraud and abuse laws and all applicable payment and coverage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providers, suppliers, and ACOs with which the EPM participant might want to enter into financial arrangements to share risks and rewards under the proposed EPM, in the proposed rule we discussed our expectation that EPM participants might choose to engage with organizations that were neither providers nor suppliers to assist with matters such as episode data analysis; local provider and supplier engagement; care redesign planning and implementation; beneficiary outreach; beneficiary care coordination and management; monitoring EPM participants' compliance with the EPM's terms and conditions; or other EPM-related activities. Such organizations might play important roles in an EPM participant's plans to implement an EPM based on the experience these organizations might bring, such as prior experience with bundled payment initiatives; care coordination expertise; familiarity with a particular local community; or knowledge of Medicare claims data. We expected that all relationships established between EPM participants and these organizations for purposes of the EPM would be those permitted only under existing law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including any relationships that would include the EPM participant's sharing of EPM risks and rewards with such organizations. We also expected that all of these relationships would be based solely on the level of engagement of the organization's resources to directly support the participants' EPM implementation.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because the proposed broadly defined EPM episodes would extend 90 days post-discharge from their respective anchor or chained anchor hospitalizations, similar to the CJR model </w:t>
      </w:r>
      <w:hyperlink r:id="rId21" w:history="1">
        <w:r>
          <w:rPr>
            <w:rFonts w:ascii="arial" w:eastAsia="arial" w:hAnsi="arial" w:cs="arial"/>
            <w:b w:val="0"/>
            <w:i/>
            <w:strike w:val="0"/>
            <w:noProof w:val="0"/>
            <w:color w:val="0077CC"/>
            <w:position w:val="0"/>
            <w:sz w:val="20"/>
            <w:u w:val="single"/>
            <w:vertAlign w:val="baseline"/>
          </w:rPr>
          <w:t>(80 FR 73433),</w:t>
        </w:r>
      </w:hyperlink>
      <w:r>
        <w:rPr>
          <w:rFonts w:ascii="arial" w:eastAsia="arial" w:hAnsi="arial" w:cs="arial"/>
          <w:b w:val="0"/>
          <w:i w:val="0"/>
          <w:strike w:val="0"/>
          <w:noProof w:val="0"/>
          <w:color w:val="000000"/>
          <w:position w:val="0"/>
          <w:sz w:val="20"/>
          <w:u w:val="none"/>
          <w:vertAlign w:val="baseline"/>
        </w:rPr>
        <w:t xml:space="preserve"> in the proposed rule we discussed our belief that EPM participants caring for EPM beneficiaries might want to offer beneficiary engagement incentives to encourage adherence to recommended treatment and active patient engagement in recovery. Such incentives should be closely related to the provision of high quality EPM care and advance a clinical goal for an EPM beneficiary, and should not serve as inducements for beneficiaries to seek care from the EPM participants or other specific suppliers and providers. The incentives might help an EPM participant reach their quality and efficiency goals for EPM episodes, while also benefitting beneficiaries' health and the Medicare Trust Fund, if the EPM participant improved the quality and efficiency of episodes through care redesign that resulted in EPM beneficiary reductions in hospital readmissions, complications, days in acute care, and mortality, while recovery continued uninterrupted or accelerated.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stressed the need for waivers of existing fraud and abuse laws, given CMS' proposal to allow financial arrangements between EPM participants and other individuals and entities that comply with the requirements of the proposed rule. They stated that such waivers are necessary for aligning the financial incentives of providers and other entities redesigning care and coordinating episode care for EPM beneficiaries to improve episode quality and efficiency. The commenters urged CMS and OIG to use the full scope of their combined authority to waive certain fraud and abuse laws that the commenters believed may inhibit care coordination in order to enable EPM participants to form the financial relationships necessary for success in the models. They claimed that waivers must be issued no later than concurrently with publication of the final rule to allow EPM participants sufficient time to prepare for EPM implementation. One commenter emphasized that the requirement for hospitals to participate in the EPM should not take effect unless and until hospitals have the needed, explicit protections in place and adequate time to form the necessary financial arrangements.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understand the commenters' interest in the timely publication of fraud and abuse waivers for the EPM and revised waivers for the CJR model. As we stated in the proposed rule </w:t>
      </w:r>
      <w:hyperlink r:id="rId9" w:history="1">
        <w:r>
          <w:rPr>
            <w:rFonts w:ascii="arial" w:eastAsia="arial" w:hAnsi="arial" w:cs="arial"/>
            <w:b w:val="0"/>
            <w:i/>
            <w:strike w:val="0"/>
            <w:noProof w:val="0"/>
            <w:color w:val="0077CC"/>
            <w:position w:val="0"/>
            <w:sz w:val="20"/>
            <w:u w:val="single"/>
            <w:vertAlign w:val="baseline"/>
          </w:rPr>
          <w:t>(81 FR 50931),</w:t>
        </w:r>
      </w:hyperlink>
      <w:r>
        <w:rPr>
          <w:rFonts w:ascii="arial" w:eastAsia="arial" w:hAnsi="arial" w:cs="arial"/>
          <w:b w:val="0"/>
          <w:i w:val="0"/>
          <w:strike w:val="0"/>
          <w:noProof w:val="0"/>
          <w:color w:val="000000"/>
          <w:position w:val="0"/>
          <w:sz w:val="20"/>
          <w:u w:val="none"/>
          <w:vertAlign w:val="baseline"/>
        </w:rPr>
        <w:t xml:space="preserve"> any waivers of the fraud and abuse laws for the EPM or revisions to the existing CJR waivers would be issued separately by OIG (as to sections 1128A and 1128B of the Act) and CMS (as to section 1877 of the Act). No waivers of any fraud and abuse authorities are being issued in this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substance and timing of any such waivers is outside the scope of this rulemaking. However, the Department is mindful of the significant interest of participants in knowing waiver parameters sufficiently in advance of entering into financial arrangements. The Department's goal is that any waivers meet the legal standard under section 1115A, align closely and appropriately with the final rules, are clear, and limit burden on participants and others to the extent feasible while also protecting the program and patients from fraud and abuse. The Department is considering carefully concerns expressed by commenters about the existing fraud and abuse waivers for the CJR model and will keep those concerns in mind when considering fraud and </w:t>
      </w:r>
      <w:r>
        <w:rPr>
          <w:rFonts w:ascii="arial" w:eastAsia="arial" w:hAnsi="arial" w:cs="arial"/>
          <w:b/>
          <w:i w:val="0"/>
          <w:strike w:val="0"/>
          <w:noProof w:val="0"/>
          <w:color w:val="000000"/>
          <w:position w:val="0"/>
          <w:sz w:val="20"/>
          <w:u w:val="none"/>
          <w:vertAlign w:val="baseline"/>
        </w:rPr>
        <w:t> [*435] </w:t>
      </w:r>
      <w:r>
        <w:rPr>
          <w:rFonts w:ascii="arial" w:eastAsia="arial" w:hAnsi="arial" w:cs="arial"/>
          <w:b w:val="0"/>
          <w:i w:val="0"/>
          <w:strike w:val="0"/>
          <w:noProof w:val="0"/>
          <w:color w:val="000000"/>
          <w:position w:val="0"/>
          <w:sz w:val="20"/>
          <w:u w:val="none"/>
          <w:vertAlign w:val="baseline"/>
        </w:rPr>
        <w:t xml:space="preserve"> abuse waivers for the EPM, as well as any adjustments to the existing CJR waivers. As was done for the CJR model, waivers for the EPM will be promulgated by notice rather than rulemaking, which will expedite issuance. Any fraud and abuse waivers issued in connection with the EPM or revisions to the existing CJR waivers of fraud and abuse laws will be posted on the OIG Web site and at </w:t>
      </w:r>
      <w:hyperlink r:id="rId98" w:history="1">
        <w:r>
          <w:rPr>
            <w:rFonts w:ascii="arial" w:eastAsia="arial" w:hAnsi="arial" w:cs="arial"/>
            <w:b w:val="0"/>
            <w:i/>
            <w:strike w:val="0"/>
            <w:noProof w:val="0"/>
            <w:color w:val="0077CC"/>
            <w:position w:val="0"/>
            <w:sz w:val="20"/>
            <w:u w:val="single"/>
            <w:vertAlign w:val="baseline"/>
          </w:rPr>
          <w:t>https://www.cms.gov/Medicare/Fraud-and-Abuse/PhysicianSelfReferral/Fraud-and-Abuse-Waivers.html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asserted that the fraud and abuse laws should be revised to accommodate APMs and other aspects of the modern health care environment. In addition, many commenters offered suggestions regarding how any fraud and abuse waivers should be drafted for the EPM and episode payment models generally. Other commenters advocated for the creation of a new Stark exception that would protect certain financial arrangements in risk-bearing models. One commenter requested that CMS provide a mechanism for EPM participants and CJR participant hospitals to ask questions about fraud and abuse law waivers.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These comments are outside the scope of this rulemaking, but we have forwarded them to appropriate staff within the Department for consideration. We note that the public may contact CMS with questions related to compliance with the EPM and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emailing </w:t>
      </w:r>
      <w:hyperlink r:id="rId28" w:history="1">
        <w:r>
          <w:rPr>
            <w:rFonts w:ascii="arial" w:eastAsia="arial" w:hAnsi="arial" w:cs="arial"/>
            <w:b w:val="0"/>
            <w:i/>
            <w:strike w:val="0"/>
            <w:noProof w:val="0"/>
            <w:color w:val="0077CC"/>
            <w:position w:val="0"/>
            <w:sz w:val="20"/>
            <w:u w:val="single"/>
            <w:vertAlign w:val="baseline"/>
          </w:rPr>
          <w:t>epm@cms.hhs.gov</w:t>
        </w:r>
      </w:hyperlink>
      <w:r>
        <w:rPr>
          <w:rFonts w:ascii="arial" w:eastAsia="arial" w:hAnsi="arial" w:cs="arial"/>
          <w:b w:val="0"/>
          <w:i w:val="0"/>
          <w:strike w:val="0"/>
          <w:noProof w:val="0"/>
          <w:color w:val="000000"/>
          <w:position w:val="0"/>
          <w:sz w:val="20"/>
          <w:u w:val="none"/>
          <w:vertAlign w:val="baseline"/>
        </w:rPr>
        <w:t xml:space="preserve"> and </w:t>
      </w:r>
      <w:hyperlink r:id="rId99" w:history="1">
        <w:r>
          <w:rPr>
            <w:rFonts w:ascii="arial" w:eastAsia="arial" w:hAnsi="arial" w:cs="arial"/>
            <w:b w:val="0"/>
            <w:i/>
            <w:strike w:val="0"/>
            <w:noProof w:val="0"/>
            <w:color w:val="0077CC"/>
            <w:position w:val="0"/>
            <w:sz w:val="20"/>
            <w:u w:val="single"/>
            <w:vertAlign w:val="baseline"/>
          </w:rPr>
          <w:t>cjr@cms.hhs.gov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EPM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explained in the proposed rule, given the financial incentives of episode payment under the EPM, an EPM participant might want to engage in financial arrangements with individuals and entities making contributions to the EPM participant's episode performance on spending or quality. Such arrangements would allow the EPM participant to share all or some of the reconciliation payments they might be eligible to receive from CMS, or the EPM participant's internal cost savings that resulted from care for beneficiaries during EPM episodes. Likewise, such arrangements would allow the EPM participant to share the responsibility for the funds needed to repay Medicare with individuals and entities engaged in providing care to EPM beneficiaries, if those individuals and entities had a role in the EPM participant's episode spending or quality performance. We proposed to use the term "EPM collaborator" to refer to these individuals and entities.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each proposed EPM's episode duration would be 90 days following discharge from the anchor or chained anchor hospitalization and such episodes would be broadly defined as discussed in section III.C.3.b. of the proposed rule </w:t>
      </w:r>
      <w:hyperlink r:id="rId9" w:history="1">
        <w:r>
          <w:rPr>
            <w:rFonts w:ascii="arial" w:eastAsia="arial" w:hAnsi="arial" w:cs="arial"/>
            <w:b w:val="0"/>
            <w:i/>
            <w:strike w:val="0"/>
            <w:noProof w:val="0"/>
            <w:color w:val="0077CC"/>
            <w:position w:val="0"/>
            <w:sz w:val="20"/>
            <w:u w:val="single"/>
            <w:vertAlign w:val="baseline"/>
          </w:rPr>
          <w:t>(81 FR 50832</w:t>
        </w:r>
      </w:hyperlink>
      <w:r>
        <w:rPr>
          <w:rFonts w:ascii="arial" w:eastAsia="arial" w:hAnsi="arial" w:cs="arial"/>
          <w:b w:val="0"/>
          <w:i w:val="0"/>
          <w:strike w:val="0"/>
          <w:noProof w:val="0"/>
          <w:color w:val="000000"/>
          <w:position w:val="0"/>
          <w:sz w:val="20"/>
          <w:u w:val="none"/>
          <w:vertAlign w:val="baseline"/>
        </w:rPr>
        <w:t xml:space="preserve"> through 50834), many providers and suppliers other than the EPM participant would furnish related services to beneficiaries during EPM episodes. Those providers and suppliers might include SNFs, HHAs, LTCHs, IRFs, physicians, nonphysician practitioners, providers or suppliers of outpatient therapy services, PGPs, hospitals, and critical access hospitals (CAHs). In addition, ACOs might be actively involved in coordinating the care of beneficiaries during EPM episodes. The proposed definition of EPM collaborator included each of these categories of individuals and entities as eligible to be an EPM collaborator. The proposed list of types of EPM collaborators was the same list as CJR collaborators, but with the addition of hospitals, CAHs, and ACOs.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expected that hospitals and CAHs that were not EPM participants might frequently play roles in care delivered to EPM beneficiaries during a chained anchor hospitalization as discussed in section III.C.4.a.(5) of the proposed rule </w:t>
      </w:r>
      <w:hyperlink r:id="rId9" w:history="1">
        <w:r>
          <w:rPr>
            <w:rFonts w:ascii="arial" w:eastAsia="arial" w:hAnsi="arial" w:cs="arial"/>
            <w:b w:val="0"/>
            <w:i/>
            <w:strike w:val="0"/>
            <w:noProof w:val="0"/>
            <w:color w:val="0077CC"/>
            <w:position w:val="0"/>
            <w:sz w:val="20"/>
            <w:u w:val="single"/>
            <w:vertAlign w:val="baseline"/>
          </w:rPr>
          <w:t>(81 FR 50836</w:t>
        </w:r>
      </w:hyperlink>
      <w:r>
        <w:rPr>
          <w:rFonts w:ascii="arial" w:eastAsia="arial" w:hAnsi="arial" w:cs="arial"/>
          <w:b w:val="0"/>
          <w:i w:val="0"/>
          <w:strike w:val="0"/>
          <w:noProof w:val="0"/>
          <w:color w:val="000000"/>
          <w:position w:val="0"/>
          <w:sz w:val="20"/>
          <w:u w:val="none"/>
          <w:vertAlign w:val="baseline"/>
        </w:rPr>
        <w:t xml:space="preserve"> through 50840) or following discharge from an anchor or chained anchor hospitalization that initiated an EPM episode. For example, an AMI model participant without cardiac surgery or interventional cardiology capacity might need to transfer certain AMI model beneficiaries after initial admission to transfer hospitals or transfer CAHs for revascularization through PCI or through CABG. A transfer hospital might, itself, be participating in the AMI and CABG models (a CAH cannot be an AMI or CABG model participant), but the AMI model episode would be the responsibility of the AMI model participant that first admitted the beneficiary. In addition, hospital or CAH readmission during the proposed EPM episodes would be common for beneficiaries post-anchor or post-chained anchor hospitalization discharge for AMI, CABG, and SHFFT model beneficiaries, and, because care for these clinical conditions might sometimes be provided at transfer hospitals that initiated EPM episodes as EPM participants, we expected that readmissions during such episodes might sometimes be to other hospitals or CAHs that were not EPM participants near beneficiaries' home communities. Thus, we believed it would be important to allow EPM participants to enter into financial arrangements with other hospitals and CAHs that cared for EPM beneficiaries, in order to align the financial incentives of such other hospitals and CAHs with the EPM goals of improving the quality and efficiency of EPM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accountable care organizations and other stakeholders had expressed strong interest in being collaborators in episode payment models generally, including sharing potential financial risks and rewards with model participants. Multiple commenters on the CJR Final Rule stated that robust accountable care organizations have proven track records of providing Medicare providers and suppliers with care redesign and care management assistance for Medicare beneficiaries, as well as managing the overall care of accountable care organization-aligned beneficiaries to improve the quality and efficiency of care </w:t>
      </w:r>
      <w:hyperlink r:id="rId21" w:history="1">
        <w:r>
          <w:rPr>
            <w:rFonts w:ascii="arial" w:eastAsia="arial" w:hAnsi="arial" w:cs="arial"/>
            <w:b w:val="0"/>
            <w:i/>
            <w:strike w:val="0"/>
            <w:noProof w:val="0"/>
            <w:color w:val="0077CC"/>
            <w:position w:val="0"/>
            <w:sz w:val="20"/>
            <w:u w:val="single"/>
            <w:vertAlign w:val="baseline"/>
          </w:rPr>
          <w:t>(80 FR 73417).</w:t>
        </w:r>
      </w:hyperlink>
      <w:r>
        <w:rPr>
          <w:rFonts w:ascii="arial" w:eastAsia="arial" w:hAnsi="arial" w:cs="arial"/>
          <w:b w:val="0"/>
          <w:i w:val="0"/>
          <w:strike w:val="0"/>
          <w:noProof w:val="0"/>
          <w:color w:val="000000"/>
          <w:position w:val="0"/>
          <w:sz w:val="20"/>
          <w:u w:val="none"/>
          <w:vertAlign w:val="baseline"/>
        </w:rPr>
        <w:t xml:space="preserve"> They reasoned that accountable care organizations might be able to provide CJR participant hospitals with care coordination assistance at reduced cost due to economies of scale and existing accountable care organization resources, as well as potentially assume a percentage of downside risk, in order to mitigate that risk to CJR participant hospitals. In the CJR Final Rule </w:t>
      </w:r>
      <w:hyperlink r:id="rId21" w:history="1">
        <w:r>
          <w:rPr>
            <w:rFonts w:ascii="arial" w:eastAsia="arial" w:hAnsi="arial" w:cs="arial"/>
            <w:b w:val="0"/>
            <w:i/>
            <w:strike w:val="0"/>
            <w:noProof w:val="0"/>
            <w:color w:val="0077CC"/>
            <w:position w:val="0"/>
            <w:sz w:val="20"/>
            <w:u w:val="single"/>
            <w:vertAlign w:val="baseline"/>
          </w:rPr>
          <w:t>(80 FR 73417),</w:t>
        </w:r>
      </w:hyperlink>
      <w:r>
        <w:rPr>
          <w:rFonts w:ascii="arial" w:eastAsia="arial" w:hAnsi="arial" w:cs="arial"/>
          <w:b w:val="0"/>
          <w:i w:val="0"/>
          <w:strike w:val="0"/>
          <w:noProof w:val="0"/>
          <w:color w:val="000000"/>
          <w:position w:val="0"/>
          <w:sz w:val="20"/>
          <w:u w:val="none"/>
          <w:vertAlign w:val="baseline"/>
        </w:rPr>
        <w:t xml:space="preserve"> we did not adopt accountable care organizations as CJR collaborators, responding that we decided to limit the testing of gainsharing relationships to solely those between hospitals and providers and suppliers enrolled in Medicare because we expected enrolled providers and suppliers to be most directly and specifically engaged with the CJR participant hospitals in care redesign and episode care for CJR beneficiaries who had surgeries at those hospitals. We also noted that a number of scenarios discussed by commenters to support their request to allow accountable care organizations to be CJR collaborators could be achieved outside of the context of gainsharing relationships between the CJR participant hospitals and those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steady growth in the number of accountable care organizations and accountable care organization-aligned beneficiaries, in the proposed rule we noted that we had further considered the potential for accountable care organizations to be EPM collaborators. The proposed EPMs would include beneficiaries with cardiovascular disease as well as beneficiaries with hip fracture who commonly would be older with multiple comorbidities, and accountable care organizations have </w:t>
      </w:r>
      <w:r>
        <w:rPr>
          <w:rFonts w:ascii="arial" w:eastAsia="arial" w:hAnsi="arial" w:cs="arial"/>
          <w:b/>
          <w:i w:val="0"/>
          <w:strike w:val="0"/>
          <w:noProof w:val="0"/>
          <w:color w:val="000000"/>
          <w:position w:val="0"/>
          <w:sz w:val="20"/>
          <w:u w:val="none"/>
          <w:vertAlign w:val="baseline"/>
        </w:rPr>
        <w:t> [*436] </w:t>
      </w:r>
      <w:r>
        <w:rPr>
          <w:rFonts w:ascii="arial" w:eastAsia="arial" w:hAnsi="arial" w:cs="arial"/>
          <w:b w:val="0"/>
          <w:i w:val="0"/>
          <w:strike w:val="0"/>
          <w:noProof w:val="0"/>
          <w:color w:val="000000"/>
          <w:position w:val="0"/>
          <w:sz w:val="20"/>
          <w:u w:val="none"/>
          <w:vertAlign w:val="baseline"/>
        </w:rPr>
        <w:t xml:space="preserve"> expertise in care coordination and accountability for the quality and expenditures for health care for accountable care organization-aligned beneficiaries over an annual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proposed to exclude certain accountable care organization-aligned beneficiaries from EPM episodes, we noted that the challenges of attributing savings and changes in the quality of care for beneficiaries simultaneously in EPM and total cost-of-care models or programs, such as accountable care organizations, remained under consideration without full resolution, as discussed further in section III.D.6. of the proposed rule </w:t>
      </w:r>
      <w:hyperlink r:id="rId9" w:history="1">
        <w:r>
          <w:rPr>
            <w:rFonts w:ascii="arial" w:eastAsia="arial" w:hAnsi="arial" w:cs="arial"/>
            <w:b w:val="0"/>
            <w:i/>
            <w:strike w:val="0"/>
            <w:noProof w:val="0"/>
            <w:color w:val="0077CC"/>
            <w:position w:val="0"/>
            <w:sz w:val="20"/>
            <w:u w:val="single"/>
            <w:vertAlign w:val="baseline"/>
          </w:rPr>
          <w:t>(81 FR 50869</w:t>
        </w:r>
      </w:hyperlink>
      <w:r>
        <w:rPr>
          <w:rFonts w:ascii="arial" w:eastAsia="arial" w:hAnsi="arial" w:cs="arial"/>
          <w:b w:val="0"/>
          <w:i w:val="0"/>
          <w:strike w:val="0"/>
          <w:noProof w:val="0"/>
          <w:color w:val="000000"/>
          <w:position w:val="0"/>
          <w:sz w:val="20"/>
          <w:u w:val="none"/>
          <w:vertAlign w:val="baseline"/>
        </w:rPr>
        <w:t xml:space="preserve"> through 50871). Local relationships between providers, suppliers, and accountable care organizations vary in the care of beneficiaries, and it would be difficult for CMS at this time to provide standard program or model rules that would fairly distribute savings among different models and programs for overlapping periods of beneficiary care, when variable local arrangements would determine which entity provides the resources for coordinating and managing a particular beneficiary's care over time. Finally, we noted that accountable care organizations are groups of physicians, hospitals, and other health care providers and suppliers that come together to furnish coordinated, high quality care to their aligned Medicare beneficiaries to ensure that these beneficiaries, especially the chronically ill, get the right care at the right time, while avoiding unnecessary duplication of services and preventing medical errors. Accountable care organizations' goals of delivering high quality care and spending health care dollars more wisely are the same as those of hospitals that would participate in the EPM. Therefore, we believed it would be especially important to further encourage collaborative partnerships between accountable care organizations and EPM participants that maximize their organizational efficiency and effectiveness, given their shared goals.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considering the accountable care organizations that could be EPM collaborators engaged in collaborative relationships with EPM participants, we limited our consideration to accountable care organizations under Medicare because the proposed EPM would be an episode payment model for Medicare FFS beneficiaries. We note that in section III.D.6. of the proposed rule </w:t>
      </w:r>
      <w:hyperlink r:id="rId9" w:history="1">
        <w:r>
          <w:rPr>
            <w:rFonts w:ascii="arial" w:eastAsia="arial" w:hAnsi="arial" w:cs="arial"/>
            <w:b w:val="0"/>
            <w:i/>
            <w:strike w:val="0"/>
            <w:noProof w:val="0"/>
            <w:color w:val="0077CC"/>
            <w:position w:val="0"/>
            <w:sz w:val="20"/>
            <w:u w:val="single"/>
            <w:vertAlign w:val="baseline"/>
          </w:rPr>
          <w:t>(81 FR 50869</w:t>
        </w:r>
      </w:hyperlink>
      <w:r>
        <w:rPr>
          <w:rFonts w:ascii="arial" w:eastAsia="arial" w:hAnsi="arial" w:cs="arial"/>
          <w:b w:val="0"/>
          <w:i w:val="0"/>
          <w:strike w:val="0"/>
          <w:noProof w:val="0"/>
          <w:color w:val="000000"/>
          <w:position w:val="0"/>
          <w:sz w:val="20"/>
          <w:u w:val="none"/>
          <w:vertAlign w:val="baseline"/>
        </w:rPr>
        <w:t xml:space="preserve"> through 50871), we proposed to exclude from the proposed EPM episodes beneficiaries who are aligned to the Next Generation ACO model or tracks of the Comprehensive ESRD Care Model incorporating downside risk for financial losses. Downside risk for financial losses and prospective alignment of beneficiaries were important criteria in selection of these models and tracks of models for this proposed exclusion. We also sought comment in that section on extending this exclusion proposal to Track 3 of the Shared Savings Program. Because we proposed to allow financial arrangements under the EPM only with those entities that were involved in the delivery of care to EPM beneficiaries with goals of improving the quality and efficiency of EPM episodes, we did not believe it would be appropriate to permit Next Generation ACOs to be EPM collaborators because their aligned beneficiaries would be excluded from the EPM. Similarly, because we proposed that beneficiaries eligible for Medicare on the basis of ESRD be excluded from the EPM as discussed in section III.C.4.a. of the proposed rule </w:t>
      </w:r>
      <w:hyperlink r:id="rId9" w:history="1">
        <w:r>
          <w:rPr>
            <w:rFonts w:ascii="arial" w:eastAsia="arial" w:hAnsi="arial" w:cs="arial"/>
            <w:b w:val="0"/>
            <w:i/>
            <w:strike w:val="0"/>
            <w:noProof w:val="0"/>
            <w:color w:val="0077CC"/>
            <w:position w:val="0"/>
            <w:sz w:val="20"/>
            <w:u w:val="single"/>
            <w:vertAlign w:val="baseline"/>
          </w:rPr>
          <w:t>(81 FR 50834),</w:t>
        </w:r>
      </w:hyperlink>
      <w:r>
        <w:rPr>
          <w:rFonts w:ascii="arial" w:eastAsia="arial" w:hAnsi="arial" w:cs="arial"/>
          <w:b w:val="0"/>
          <w:i w:val="0"/>
          <w:strike w:val="0"/>
          <w:noProof w:val="0"/>
          <w:color w:val="000000"/>
          <w:position w:val="0"/>
          <w:sz w:val="20"/>
          <w:u w:val="none"/>
          <w:vertAlign w:val="baseline"/>
        </w:rPr>
        <w:t xml:space="preserve"> we did not believe that participants in the Comprehensive ESRD Care initiative which predominantly include beneficiaries eligible for Medicare on the basis of ESRD should be permitted to be EPM collaborators. Finally, we noted that the Pioneer ACO model ends in CY 2016, so that model would not overlap with the EPM which was proposed to begin on July 1,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we proposed that "ACOs," meaning those ACOs as defined at § 425.20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participating in the Shared Savings Program, be permitted to be EPM collaborators. This proposal would allow locally variable financial arrangements that could account for the way care in EPM episodes was coordinated and managed in communities, and ensure that entities with appropriate skills and experience were permitted to share the proposed EPM's risks and rewards with EPM participants. Medicare has a close relationship with such ACOs, which are regulated by CMS, so we could verify that these ACOs met current Shared Savings Program requirements that could make them suitable for a role as EPM collaborators. Finally, in this way, ACO participants and ACO providers/suppliers might be engaged in EPM care redesign directly through their ACO, instead of bypassing the ACO to become involved directly in the EPM through the EPM participant. We limited our proposal of entities that were not providers or suppliers but that were permitted to be EPM collaborators to ACOs alone. We proposed to allow financial arrangements under the EPM only with those entities that were involved in the delivery of care to EPM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set forth in proposed § 512.2 that ACOs and the following types of providers and suppliers may be EPM collaborators:</w:t>
      </w:r>
    </w:p>
    <w:p>
      <w:pPr>
        <w:keepNext w:val="0"/>
        <w:numPr>
          <w:numId w:val="4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SNF.</w:t>
      </w:r>
    </w:p>
    <w:p>
      <w:pPr>
        <w:keepNext w:val="0"/>
        <w:numPr>
          <w:numId w:val="4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HHA.</w:t>
      </w:r>
    </w:p>
    <w:p>
      <w:pPr>
        <w:keepNext w:val="0"/>
        <w:numPr>
          <w:numId w:val="4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LTCH.</w:t>
      </w:r>
    </w:p>
    <w:p>
      <w:pPr>
        <w:keepNext w:val="0"/>
        <w:numPr>
          <w:numId w:val="4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IRF.</w:t>
      </w:r>
    </w:p>
    <w:p>
      <w:pPr>
        <w:keepNext w:val="0"/>
        <w:numPr>
          <w:numId w:val="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w:t>
      </w:r>
    </w:p>
    <w:p>
      <w:pPr>
        <w:keepNext w:val="0"/>
        <w:numPr>
          <w:numId w:val="4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Nonphysician practitioner.</w:t>
      </w:r>
    </w:p>
    <w:p>
      <w:pPr>
        <w:keepNext w:val="0"/>
        <w:numPr>
          <w:numId w:val="4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 or supplier of outpatient therapy services.</w:t>
      </w:r>
    </w:p>
    <w:p>
      <w:pPr>
        <w:keepNext w:val="0"/>
        <w:numPr>
          <w:numId w:val="4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PGP.</w:t>
      </w:r>
    </w:p>
    <w:p>
      <w:pPr>
        <w:keepNext w:val="0"/>
        <w:numPr>
          <w:numId w:val="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w:t>
      </w: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CAH.</w:t>
      </w:r>
    </w:p>
    <w:p>
      <w:pPr>
        <w:keepNext w:val="0"/>
        <w:numPr>
          <w:numId w:val="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the proposed definition of EPM collaborators. In addition to general comment, we were specifically interested in comment on the proposal to include hospitals, CAHs, and ACOs in the definition of EPM collaborators. Furthermore, we sought comment specifically on the accountable care organizations that we proposed to include in the definition of ACO and which accountable care organizations should be included and excluded from the definition of ACOs that might be EPM collaborators to best advance the goals of the EPM and program generally. Finally, we also sought comment on the regulatory and practical implications of establishing that ACOs may be EPM collaborators under the EPM, including without limitation how the requirements under the EPM would relate to how financial arrangements within ACOs are currently regulated under the Medicare Shared Savings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clarification about whether certain groups of health care professionals that do not include physicians could be EPM collaborators. The commenters requested that, in addition to PGPs, groups of certified registered nurse anesthetists (CRNAs), advanced practice registered nurses (APRNs), outpatient speech-language pathologists, physical therapists, and other qualified licensed healthcare professionals who are not physicians, be permitted to be EPM collaborators. One commenter explained that these groups are identified by a TIN.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pointed out that while the proposed rule specifically listed PGPs as eligible to be EPM collaborators, CMS' proposal did not separately list groups of physical therapists or other therapists as eligible to be EPM collaborators. One commenter asserted that allowing only </w:t>
      </w:r>
      <w:r>
        <w:rPr>
          <w:rFonts w:ascii="arial" w:eastAsia="arial" w:hAnsi="arial" w:cs="arial"/>
          <w:b/>
          <w:i w:val="0"/>
          <w:strike w:val="0"/>
          <w:noProof w:val="0"/>
          <w:color w:val="000000"/>
          <w:position w:val="0"/>
          <w:sz w:val="20"/>
          <w:u w:val="none"/>
          <w:vertAlign w:val="baseline"/>
        </w:rPr>
        <w:t> [*437] </w:t>
      </w:r>
      <w:r>
        <w:rPr>
          <w:rFonts w:ascii="arial" w:eastAsia="arial" w:hAnsi="arial" w:cs="arial"/>
          <w:b w:val="0"/>
          <w:i w:val="0"/>
          <w:strike w:val="0"/>
          <w:noProof w:val="0"/>
          <w:color w:val="000000"/>
          <w:position w:val="0"/>
          <w:sz w:val="20"/>
          <w:u w:val="none"/>
          <w:vertAlign w:val="baseline"/>
        </w:rPr>
        <w:t xml:space="preserve"> individual therapists to be EPM collaborators and excluding therapy practice groups from entering into sharing arrangements with EPM participants is shortsighted because rehabilitation therapy practices and independent therapists are likely to be significant contributors to SHFFT episodes. The commenters requested that CMS clarify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explicitly permit groups of therapists to enter into sharing arrangements with EPM participants. One commenter further proposed that once a therapy practice group contracts with a hospital as a collaborator, it should be up to the practice group to ensure that financial exchanges with the participant hospital were attributed to the physical therapists who directly furnished services to EPM beneficiaries.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of the commenters in ensuring groups of nonphysician practitioners and groups of therapists have the same opportunities to be EPM collaborators that we proposed for PGPs, as well as their interest in allowing financial exchanges with their members who furnished services to EPM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our proposal, individual nonphysician practitioners are permitted to be EPM collaborators. We also proposed that individual therapists would be permitted to be collaborators to the extent that they fell within the collaborator category for provider or supplier of outpatient therapy services. As collaborators, these individuals would be eligible to receive gainsharing payments from EPM participants. Moreover, our proposal defined a PGP member to include a nonphysician practitioner or therapist who is an owner or employee of a PGP who has reassigned his or her right to receive Medicare payment to the PGP. Accordingly, as PGP members, these nonphysician practitioners and therapists would be eligible for distribution payments and downstream distribution payments from a PGP. We agree with the commenters that because our proposals addressed the role of PGPs as EPM collaborators and collaboration agents without reference to other types of groups, we left some uncertainty about whether groups without a physician owner or employee would be eligible to be EPM collaborators and whether such groups would be permitted to enter into distribution arrangements or downstream distribution arrangements with their members. We also agree with the commenters that our proposal to allow providers and suppliers of outpatient therapy services to be EPM collaborators is potentially unclear, because this term did not separately identify therapists in private practice or groups of therapists in private practice on the list of EPM collaborators, as did our proposal regarding physicians and PGPs. We also appreciate the commenters' uncertainty associated with the fact that we did not address whether a collaborator that was a therapy group practice would be permitted to enter into distribution arrangements or downstream distribution arrangements with their members, as we proposed for PGPs.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believe it would be appropriate to allow a group of licensed health care professionals to be EPM collaborators if that group consists solely of individuals who are not among the categories of individuals we proposed to be EPM collaborators. However, we believe that if a category of individuals is eligible to be EPM collaborators, then Medicare-enrolled groups that include such individuals should also be permitted to be collaborators and that such groups should be permitted to enter into distribution arrangements or downstream distribution arrangements with their members. We clarify these policies through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Groups of nonphysician practitioners that do not include a physician are not included in the category of PGPs that we proposed to include on the list of EPM collaborators. However, we believe these groups of nonphysician practitioners should be permitted to be EPM collaborators, just as we proposed to allow both individual physicians and nonphysician practitioners to be EPM collaborators. We also believe these groups of nonphysician practitioners should be treated similarly to PGPs with regarding their ability to engage in distribution arrangements and downstream distribution arrangements with their members, consistent with our treatment of nonphysician practitioners who are PGP members. Therefore, we are adding to the list of entities that are eligible to be EPM collaborators a nonphysician practitioner group practice (NPPGP), defined as "an entity that is enrolled in Medicare as a group practice, includes at least one owner or employee who is a nonphysician practitioner, does not include a physician owner or employee, and has a valid and active TIN." The requirements for sharing arrangements, distribution arrangements, and downstream distribution arrangements for NPPGPs and NPPGP members are discussed in the sections of this final rule that address our policies for these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further believe that our proposal to include a provider or supplier of outpatient therapy services on the list of types of providers and suppliers that can be EPM collaborators should be modified to provide greater clarity about the providers and suppliers of outpatient therapy services that can be EPM collaborators. The Medicare Claims Processing Manual, Chapter 5, Part B Outpatient Rehabilitation and CORF/OPT Services, Section 10 lists the following Medicare-enrolled providers and suppliers that can submit claims for outpatient therapy services: SNF; outpatient hospital; CAH; HHA; outpatient physical therapy provider (OPT), otherwise known as rehabilitation agency; comprehensive outpatient rehabilitation facility (CORF); physician; nonphysician practitioner; and physical or occupational therapist or speech-language pathologist in private practice. n128 We note that the list of EPM collaborators already includes hospitals, SNFs, CAHs, HHAs, physicians, and nonphysician practitioners so their inclusion as collaborators under the proposed definition of provider or supplier of outpatient therapy services is duplicative. Therefore, rather than finalizing our proposed definition of provider of outpatient therapy services which would have included all providers and suppliers of outpatient therapy services, we believe it is clearer to specify individually on the list of EPM collaborators all the types of Medicare-enrolled providers and suppliers that can bill Medicare for outpatient therapy services. Thus, we are defining a new term therapist in private practice as "a therapist that either: complies with the special provisions for services furnished by physical therapists in private practice in § 410.60(c) of this chapter; or complies with the special provisions for services furnished by occupational therapists in private practice in § 410.59(c) of this chapter; or complies with the special provisions for services furnished by speech-language pathologists in private practice in § 410.62(c) of this chapter." We are adding therapist in private practice to the list of EPM collaborators, which ensures that all individual suppliers of outpatient therapy services are on the EPM collaborator list. In addition, we are revising our definition of provider of outpatient therapy services to mean "an entity that is enrolled in Medicare as a provider of therapy services and furnishes one or </w:t>
      </w:r>
      <w:r>
        <w:rPr>
          <w:rFonts w:ascii="arial" w:eastAsia="arial" w:hAnsi="arial" w:cs="arial"/>
          <w:b/>
          <w:i w:val="0"/>
          <w:strike w:val="0"/>
          <w:noProof w:val="0"/>
          <w:color w:val="000000"/>
          <w:position w:val="0"/>
          <w:sz w:val="20"/>
          <w:u w:val="none"/>
          <w:vertAlign w:val="baseline"/>
        </w:rPr>
        <w:t> [*438] </w:t>
      </w:r>
      <w:r>
        <w:rPr>
          <w:rFonts w:ascii="arial" w:eastAsia="arial" w:hAnsi="arial" w:cs="arial"/>
          <w:b w:val="0"/>
          <w:i w:val="0"/>
          <w:strike w:val="0"/>
          <w:noProof w:val="0"/>
          <w:color w:val="000000"/>
          <w:position w:val="0"/>
          <w:sz w:val="20"/>
          <w:u w:val="none"/>
          <w:vertAlign w:val="baseline"/>
        </w:rPr>
        <w:t xml:space="preserve"> more of the following: outpatient physical therapy services as defined in § 410.60 of this chapter; outpatient occupational therapy services as defined in § 410.59 of this chapter; outpatient speech-language pathology services as defined in § 410.62 of this chapter." Under this revised definition, provider of outpatient therapy services now includes only those entities that enroll in Medicare specifically as a provider of outpatient physical therapy/occupational therapy/speech-language pathology services, and we are revising the list of EPM collaborators to use this defined term in place of "provider or supplier of outpatient therapy services." Finally, we are adding CORFs to the list of EPM collaborators because it is the only other type of provider that can furnish outpatient therapy services that is not included on the EPM collaborator list under our new and revised terms. Thus, with the addition of therapy group practices as discussed specifically later in this section, in total, these changes to the definitions and supplements to the list of EPM collaborators clarify which individuals and entities may be EPM collaborators by separately specifying each type of supplier and provider of outpatient therapy services that is eligible to be an EPM collaborator.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 </w:t>
      </w:r>
      <w:hyperlink r:id="rId100" w:history="1">
        <w:r>
          <w:rPr>
            <w:rFonts w:ascii="arial" w:eastAsia="arial" w:hAnsi="arial" w:cs="arial"/>
            <w:b w:val="0"/>
            <w:i/>
            <w:strike w:val="0"/>
            <w:noProof w:val="0"/>
            <w:color w:val="0077CC"/>
            <w:position w:val="0"/>
            <w:sz w:val="20"/>
            <w:u w:val="single"/>
            <w:vertAlign w:val="baseline"/>
          </w:rPr>
          <w:t>https://www.cms.gov/</w:t>
        </w:r>
      </w:hyperlink>
      <w:hyperlink r:id="rId100" w:history="1">
        <w:r>
          <w:rPr>
            <w:rFonts w:ascii="arial" w:eastAsia="arial" w:hAnsi="arial" w:cs="arial"/>
            <w:b/>
            <w:i/>
            <w:strike w:val="0"/>
            <w:noProof w:val="0"/>
            <w:color w:val="0077CC"/>
            <w:position w:val="0"/>
            <w:sz w:val="20"/>
            <w:u w:val="single"/>
            <w:vertAlign w:val="baseline"/>
          </w:rPr>
          <w:t>Regulations</w:t>
        </w:r>
      </w:hyperlink>
      <w:hyperlink r:id="rId100" w:history="1">
        <w:r>
          <w:rPr>
            <w:rFonts w:ascii="arial" w:eastAsia="arial" w:hAnsi="arial" w:cs="arial"/>
            <w:b w:val="0"/>
            <w:i/>
            <w:strike w:val="0"/>
            <w:noProof w:val="0"/>
            <w:color w:val="0077CC"/>
            <w:position w:val="0"/>
            <w:sz w:val="20"/>
            <w:u w:val="single"/>
            <w:vertAlign w:val="baseline"/>
          </w:rPr>
          <w:t>-and-Guidance/Guidance/Manuals/downloads/clm104c05.pdf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specific interest of commenters in therapy practice groups being eligible to be EPM collaborators that can share payments under EPM financial arrangements with their members, we agree with the commenters that such groups should be permitted to be EPM collaborators and to enter into distribution arrangements and downstream distribution arrangements with their members, consistent with our treatment of PGPs and NPPGPs. Thus, we are defining therapy group practice (TGP) as "an entity that is enrolled in Medicare as a therapy group in private practice, includes at least one owner or employee that is a therapist in private practice, does not include an owner or employee who is a physician or nonphysician practitioner, and has a valid and active TIN" and adding TGP to the list of EPM collaborators. The requirements for sharing arrangements, distribution arrangements, and downstream distribution arrangements for TGPs and TGP members are discussed in the sections of this final rule that address our policies for these arrangements. We are finalizing, with the modifications discussed, the definition of EPM collaborator in § 512.2 to mean an ACO or one of the following Medicare-enrolled individuals or entities that enters into a sharing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SNF.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HHA.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LTCH.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IRF.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Physician.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Nonphysician practitioner.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Therapist in private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CORF.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Provider of outpatient therapy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PGP.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CAH.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NPPGP.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TGP.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number of commenters expressed support for CMS' proposed definition of "EPM collaborators," including the proposed addition of ACOs, hospitals, and CAHs to the types of collaborators that were previously adopted for the CJR model. The commenters claimed that allowing additional health care providers, suppliers, and ACOs to be EPM collaborators would further encourage robust care coordination across EPM episodes. Several commenters asserted that by recognizing the expertise that ACOs may offer EPM participants as EPM collaborators with regard to managing the cost and quality of care that Medicare beneficiaries receive, ACOs will be able to use their substantial expertise and resources to contribute to the EPM's dual goals of limiting spending and increasing quality. One commenter further commended CMS for making the list of EPM collaborators exhaustive and not including third party conveners, who the commenter believes lack a commitment to patients, local providers, or their community.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some commenters expressed disappointment that the list of EPM collaborators did not include entities such as pharmaceutical companies; medical device companies; medical technology companies; social services aging networks; and other third parties, such as the types of convening organizations participating in other Innovation Center models. Several commenters believe that were medical device and pharmaceutical manufacturers allowed to be EPM collaborators, those manufacturers may make meaningful contributions to the success of the EPM by ensuring their products are used appropriately; aligning financial and other incentives to improve patient outcomes; demonstrating the value of their products; and reducing costs. Other commenters who favored adding medical technology companies as EPM collaborators asserted that medical technology companies can make a significant, positive impact on care redesign and cost containment as well as provide integrated data analytic infrastructure and services to optimize care and to achieve quality goals. A few commenters suggested that CMS should expand the list of potential EPM collaborators to include non-provider or non-supplier entities that have a track record of providing Medicare providers and suppliers participating in other models with support services such as care redesign, data analytics, and general program support, as well as community-based organizations that are well-equipped and efficient in providing social and supportive services that help beneficiaries stay out of the hospital. Several commenters also encouraged CMS to include all APM entities as EPM collaborators, reasoning that APM entities are similar to ACOs in that they are a legal entity that is separate from its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one commenter recommended that Next Generation ACOs be included in the definition of ACOs that are on list on EPM collaborators, so the Next Generation ACO may act on behalf of its providers to enter into financial arrangements with EPM participants for beneficiaries not assigned to the ACO. The commenter explained that not including Next Generation ACOs in the definition of ACOs that CMS proposed could be EPM collaborators will require ACO participants and ACO providers/suppliers of the Next Generation ACO to enter in EPM sharing arrangements on their own without the Next Generation ACO to represent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one commenter shared its perspective that CMS should not restrict the definition of EPM collaborators because such an approach discourages the introduction of new entities and individuals in the healthcare market. The commenter requested that CMS allow market forces to shape the innovation of EPM participants and their community partners in order to determine the financial partnerships that would be most beneficial to achieving the overarching goals of the EPM. The commenter asserted that being too prescriptive regarding the individuals and entities that can and cannot enter into financial arrangements under the EPM would not allow for new organizations to develop in the market that may have the potential to generate substantial cost savings for EPM participants.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of the commenters for our proposed list of the types of individuals and entities </w:t>
      </w:r>
      <w:r>
        <w:rPr>
          <w:rFonts w:ascii="arial" w:eastAsia="arial" w:hAnsi="arial" w:cs="arial"/>
          <w:b/>
          <w:i w:val="0"/>
          <w:strike w:val="0"/>
          <w:noProof w:val="0"/>
          <w:color w:val="000000"/>
          <w:position w:val="0"/>
          <w:sz w:val="20"/>
          <w:u w:val="none"/>
          <w:vertAlign w:val="baseline"/>
        </w:rPr>
        <w:t> [*439] </w:t>
      </w:r>
      <w:r>
        <w:rPr>
          <w:rFonts w:ascii="arial" w:eastAsia="arial" w:hAnsi="arial" w:cs="arial"/>
          <w:b w:val="0"/>
          <w:i w:val="0"/>
          <w:strike w:val="0"/>
          <w:noProof w:val="0"/>
          <w:color w:val="000000"/>
          <w:position w:val="0"/>
          <w:sz w:val="20"/>
          <w:u w:val="none"/>
          <w:vertAlign w:val="baseline"/>
        </w:rPr>
        <w:t xml:space="preserve"> that can be EPM collaborators, including our proposal to include hospitals, CAHs, and ACOs that would expand the list beyond the CJR collaborators adopted in the CRJ Final Rule </w:t>
      </w:r>
      <w:hyperlink r:id="rId21" w:history="1">
        <w:r>
          <w:rPr>
            <w:rFonts w:ascii="arial" w:eastAsia="arial" w:hAnsi="arial" w:cs="arial"/>
            <w:b w:val="0"/>
            <w:i/>
            <w:strike w:val="0"/>
            <w:noProof w:val="0"/>
            <w:color w:val="0077CC"/>
            <w:position w:val="0"/>
            <w:sz w:val="20"/>
            <w:u w:val="single"/>
            <w:vertAlign w:val="baseline"/>
          </w:rPr>
          <w:t>(80 FR 73418).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some of the potential contributions, such as integrating the data analytic infrastructure and services to optimize care to achieve quality goals, that were suggested by commenters as reasons to allow third parties, such as pharmaceutical, medical device, and medical technology companies as well as other types of convening organizations participating in other Innovation Center models, to be EPM collaborators can be achieved outside of the context of sharing arrangements through other relationships between the EPM participant and those entities. In response to the specific requests that we include APM entities on the list of EPM collaborators, given that an APM entity, as defined in § 414.1305, means an entity that participates in an APM or payment arrangement with a non-Medicare payer through a direct agreement or through federal or state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believe that adding all APM entities to the list of EPM collaborators would be overly expansive and risk loosening the clinical link between the EPM collaborator, EPM participant, and EPM beneficiary that we believe is important for improving the quality and reducing the cost of care under the EPM. With the exception of ACOs, PGPs, NPPGPs, and TGPs, we continue to believe that any EPM collaborator that receives a gainsharing payment must have furnished a billable service included in the episode to an EPM beneficiary and that the payment arrangements for gainsharing payments must be substantially based on the quality of care and the provision of EPM activities. In the case of ACOs, PGP, NPPGPs, and TGPs that are EPM collaborators, we require that the entity itself must have contributed to EPM activities and been clinically involved in the care of EPM beneficiaries in order to be eligible to receive a gainsharing payment or be required to make an alignment payment and at this point we are not convinced any APM entities could meet these eligibility criteria, other than ACOs. We also do not agree with the commenter who recommended that we not restrict the definition of EPM collaborators to any specific individuals or entities. We believe it is important for EPM participants to engage EPM collaborators that have a commitment to their local communities, local providers, and Medicare beneficiaries in order to create the greatest potential for sustained improvements in quality and reductions in cost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the commenter's suggestion that Next Generation ACOs be included in the definition of ACOs that are on the list of EPM collaborators, so the Next Generation ACO may act on behalf of its ACO participants and ACO providers/suppliers to establish sharing arrangements with EPM participants for beneficiaries not assigned to the ACO. While we understand that the Next Generation ACO would like to enter into an EPM sharing arrangement as an EPM collaborator on behalf of its providers and suppliers, to be eligible to receive a gainsharing payment or be required to make an alignment payment under the sharing arrangement the Next Generation ACO itself must have contributed to EPM activities and been clinically involved in the care of EPM beneficiaries through activities such as providing care coordination services to EPM beneficiaries during and/or after inpatient admission; engaging with an EPM participant in care redesign strategies, and actually performing a role in implementing such strategies, that are designed to improve the quality of care and reduce spending for EPM episodes; or in coordination with providers and suppliers (such as ACO participants, ACO providers/suppliers, the EPM participant, and post-acute care providers) implementing strategies designed to address and manage the comorbidities of EPM beneficiaries. We are unclear of the role the Next Generation ACO itself would play in the care of EPM beneficiaries that are not assigned to the ACO, beyond serving as a contracting agent for its ACO participants and ACO providers/suppliers. We further believe that such an arrangement would require distinguishing activities on behalf of beneficiaries assigned to the ACO who are excluded from EPM episodes and beneficiaries not assigned to the ACO who are included in EPM episodes, and such distinctions could create confusion for beneficiaries, providers, and suppliers, as well as administrative complexity for the Next Generation ACO. Therefore, we do not believe it would be appropriate to include Next Generation ACOs in the definition of ACOs that may be EPM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note that as discussed in section III.D.6.c.(3) of this final rule, we are additionally finalizing the exclusion of beneficiaries from EPM episodes who are prospectively assigned to a Shared Savings Program ACO in Track 3. Therefore, for consistency with our policy for Next Generation ACOs whose assigned beneficiaries are also excluded from EPM episodes, we are excluding Shared Savings Program ACOs in Track 3 from the definition of ACOs that may be EPM collaborators. Thus, we are modifying our definition of ACO to read "ACO means an accountable care organization, as defined at § 425.20 of this chapter, that participates in the Shared Savings Program and is not in Track 3." We emphasize that no EPM policy precludes providers or suppliers who are ACO participants or ACO providers/suppliers in a Next Generation ACO from entering into a sharing arrangement with an EPM participant on their own, provided they are on the list of EPM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summary, at this time we will not adopt a final policy that includes additional entities or individuals that are not providers or suppliers beyond those we proposed to be EPM collaborators. We selected acute care hospitals as the financially responsible entity for the EPM because we are interested in evaluating the impact of bundled payment and care redesign across a broad spectrum of hospitals with varying levels of infrastructure and experience in entering into risk-based payment arrangements. We believe that it is most appropriate to identify a single type of provider to bear financial responsibility for making repayment to CMS under the EPM. Given that hospitals perform a central role in coordinating episode-related care and ensuring smooth transitions for beneficiaries, this role factored in our decision to select IPPS hospitals as the financially responsible entity for this model. Under this structure, we believe that limiting the testing of gainsharing relationships to solely those between EPM participants, certain Shared Savings Program ACOs, and providers and suppliers enrolled in Medicare is most appropriate because we expect enrolled providers and suppliers to be most directly and specifically engaged with the EPM participants in care redesign and EPM episode care for beneficiaries. While we recognize that Shared Savings Program ACOs are not providers or suppliers, Medicare has a close relationship with such ACOs, which are regulated by CMS, so we can verify that these ACOs meet current Shared Savings Program requirements that make them suitable for a role as EPM collaborators. Further, by including such ACOs on the list of EPM collaborators, we are permitting locally variable financial arrangements that could account for the way care in EPM episodes is coordinated and managed in communities, and ensure that entities </w:t>
      </w:r>
      <w:r>
        <w:rPr>
          <w:rFonts w:ascii="arial" w:eastAsia="arial" w:hAnsi="arial" w:cs="arial"/>
          <w:b/>
          <w:i w:val="0"/>
          <w:strike w:val="0"/>
          <w:noProof w:val="0"/>
          <w:color w:val="000000"/>
          <w:position w:val="0"/>
          <w:sz w:val="20"/>
          <w:u w:val="none"/>
          <w:vertAlign w:val="baseline"/>
        </w:rPr>
        <w:t> [*440] </w:t>
      </w:r>
      <w:r>
        <w:rPr>
          <w:rFonts w:ascii="arial" w:eastAsia="arial" w:hAnsi="arial" w:cs="arial"/>
          <w:b w:val="0"/>
          <w:i w:val="0"/>
          <w:strike w:val="0"/>
          <w:noProof w:val="0"/>
          <w:color w:val="000000"/>
          <w:position w:val="0"/>
          <w:sz w:val="20"/>
          <w:u w:val="none"/>
          <w:vertAlign w:val="baseline"/>
        </w:rPr>
        <w:t xml:space="preserve"> with appropriate skills and experience are permitted to share the EPM's risks and rewards with EPM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in § 512.2 the definition of ACO, with modification to mean an accountable care organization, as defined at § 425.20 of this chapter, that participates in the Shared Savings Program and is not in Track 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clarification about whether outpatient speech-language pathologists are considered providers of outpatient therapy services and, therefore, eligible to be EPM collaborators.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opportunity to clarify that speech-language pathologists are eligible to be EPM collaborators if they are furnishing outpatient services as Medicare- enrolled speech-language pathologists in private practice. As discussed previously in this section, speech-language pathologists in private practice are included under the new definition of therapist in private practice when they are therapists that comply with the special provisions for services furnished by speech-language pathologists in private practice in § 410.62(c). In addition, a group of speech-language pathologists in private practice is included under the new definition of TGP when the group is entity that is enrolled in Medicare as a therapy group in private practice, includes at least one owner or employee that is a therapist in private practice, does not include an owner or employee who is a physician or nonphysician practitioner, and has a valid and active TIN. Both therapists in private practice and TGPs are included on the final list of types of providers and suppliers that may be EPM collaborators so individual speech-language pathologists in private practice, as well as speech-language pathology groups in private practice, are eligible to be EPM collaborators.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512.2 for the definition of EPM collaborator and other terms used in that definition, with modification to revise the definitions of provider of outpatient therapy services; and ACO; create new definitions for CORF, therapist in private practice, NPPGP, and TGP; and include additional individuals and entities on the list of EPM collaborators. EPM collaborator means an ACO or one of the following Medicare-enrolled individuals or entities that enters into a sharing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SNF.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HHA.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LTCH.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IRF.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Physician.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Nonphysician practitioner.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Therapist in private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CORF.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Provider of outpatient therapy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PGP.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CAH.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NPPGP.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TGP.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Sharing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CJR model </w:t>
      </w:r>
      <w:hyperlink r:id="rId21" w:history="1">
        <w:r>
          <w:rPr>
            <w:rFonts w:ascii="arial" w:eastAsia="arial" w:hAnsi="arial" w:cs="arial"/>
            <w:b w:val="0"/>
            <w:i/>
            <w:strike w:val="0"/>
            <w:noProof w:val="0"/>
            <w:color w:val="0077CC"/>
            <w:position w:val="0"/>
            <w:sz w:val="20"/>
            <w:u w:val="single"/>
            <w:vertAlign w:val="baseline"/>
          </w:rPr>
          <w:t>(80 FR 73430),</w:t>
        </w:r>
      </w:hyperlink>
      <w:r>
        <w:rPr>
          <w:rFonts w:ascii="arial" w:eastAsia="arial" w:hAnsi="arial" w:cs="arial"/>
          <w:b w:val="0"/>
          <w:i w:val="0"/>
          <w:strike w:val="0"/>
          <w:noProof w:val="0"/>
          <w:color w:val="000000"/>
          <w:position w:val="0"/>
          <w:sz w:val="20"/>
          <w:u w:val="none"/>
          <w:vertAlign w:val="baseline"/>
        </w:rPr>
        <w:t xml:space="preserve"> we proposed that certain financial arrangements between an EPM participant and an EPM collaborator be termed "sharing arrangements." A sharing arrangement would be a financial arrangement to share only--(1) EPM reconciliation payments; (2) the EPM participant's internal cost savings; and (3) the EPM participant's repayment amount. Where a payment from an EPM participant to an EPM collaborator was made pursuant to a sharing arrangement, we proposed to define that payment as a "gainsharing payment." A gainsharing payment may be composed only of--(1) EPM reconciliation payments; (2) the EPM participant's internal cost savings; or (3) both. A "reconciliation payment" was proposed to be defined as a payment made by CMS to an EPM participant as determined in accordance with proposed § 512.305(d) and as discussed in section III.D.5. of the proposed rule </w:t>
      </w:r>
      <w:hyperlink r:id="rId9" w:history="1">
        <w:r>
          <w:rPr>
            <w:rFonts w:ascii="arial" w:eastAsia="arial" w:hAnsi="arial" w:cs="arial"/>
            <w:b w:val="0"/>
            <w:i/>
            <w:strike w:val="0"/>
            <w:noProof w:val="0"/>
            <w:color w:val="0077CC"/>
            <w:position w:val="0"/>
            <w:sz w:val="20"/>
            <w:u w:val="single"/>
            <w:vertAlign w:val="baseline"/>
          </w:rPr>
          <w:t>(81 FR 50864</w:t>
        </w:r>
      </w:hyperlink>
      <w:r>
        <w:rPr>
          <w:rFonts w:ascii="arial" w:eastAsia="arial" w:hAnsi="arial" w:cs="arial"/>
          <w:b w:val="0"/>
          <w:i w:val="0"/>
          <w:strike w:val="0"/>
          <w:noProof w:val="0"/>
          <w:color w:val="000000"/>
          <w:position w:val="0"/>
          <w:sz w:val="20"/>
          <w:u w:val="none"/>
          <w:vertAlign w:val="baseline"/>
        </w:rPr>
        <w:t xml:space="preserve"> through 50867). "Internal cost savings" would be the measurable, actual, and verifiable cost savings realized by the EPM participant resulting from care redesign undertaken by such participant in connection with providing items and services to beneficiaries within specific EPM episodes. Internal cost savings would not include savings realized by any individual or entity that was not the EPM participant. Where a payment from an EPM collaborator to an EPM participant was made pursuant to an EPM sharing arrangement, we proposed to define that payment as an "alignment payment." An alignment payment could consist only of a portion of the "repayment amount," which would be the amount owed by an EPM participant to CMS, as reflected on a reconciliation report. An EPM participant would not be permitted to make a gainsharing payment or receive an alignment payment except in accordance with a sharing arrangement. We proposed that a sharing arrangement must comply with the provisions of proposed § 512.500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applicable fraud and abuse laws and all applicable payment and coverage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the EPM participant must develop, maintain, and use a set of written policies for selecting individuals and entities to be EPM collaborators, and that the selection criteria must include the quality of care delivered by the potential EPM collaborator. The selection criteria could not be based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 With the exception of adding "past or anticipated" to the selection criteria for EPM collaborators, these proposed criteria were similar to the existing requirements of the CJR model </w:t>
      </w:r>
      <w:hyperlink r:id="rId21" w:history="1">
        <w:r>
          <w:rPr>
            <w:rFonts w:ascii="arial" w:eastAsia="arial" w:hAnsi="arial" w:cs="arial"/>
            <w:b w:val="0"/>
            <w:i/>
            <w:strike w:val="0"/>
            <w:noProof w:val="0"/>
            <w:color w:val="0077CC"/>
            <w:position w:val="0"/>
            <w:sz w:val="20"/>
            <w:u w:val="single"/>
            <w:vertAlign w:val="baseline"/>
          </w:rPr>
          <w:t>(80 FR 73430).</w:t>
        </w:r>
      </w:hyperlink>
      <w:r>
        <w:rPr>
          <w:rFonts w:ascii="arial" w:eastAsia="arial" w:hAnsi="arial" w:cs="arial"/>
          <w:b w:val="0"/>
          <w:i w:val="0"/>
          <w:strike w:val="0"/>
          <w:noProof w:val="0"/>
          <w:color w:val="000000"/>
          <w:position w:val="0"/>
          <w:sz w:val="20"/>
          <w:u w:val="none"/>
          <w:vertAlign w:val="baseline"/>
        </w:rPr>
        <w:t xml:space="preserve"> By adding this language, all previous and future referrals between or among the EPM participant, any EPM collaborator, any collaboration agent, any downstream collaboration agent, or any individual or entity affiliated with an EPM participant, EPM collaborator, collaboration agent, or downstream collaboration agent were encompassed. We did not believe it would be appropriate for sharing arrangements to be based on criteria that include the volume or value of past or anticipated referrals because the sole purpose of sharing arrangements would be to create financial alignment between EPM participants and EPM collaborators toward the EPM goals of improving the quality and efficiency of episode care. Thus, we proposed to require EPM participants to select EPM collaborators based on criteria that include the quality of care furnished by the potential EPM collaborator to ensure that the selection of EPM collaborators took into consideration the likelihood of their future performance in improving the quality of episode care. In addition, requiring that selection criteria include quality of care furnished by the potential EPM collaborator would provide a safeguard against abuse.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proposed that if an EPM participant entered into a sharing arrangement, its compliance program must include oversight of sharing arrangements and compliance with the applicable requirements of the EPM. Requiring oversight of sharing arrangements to be include in the </w:t>
      </w:r>
      <w:r>
        <w:rPr>
          <w:rFonts w:ascii="arial" w:eastAsia="arial" w:hAnsi="arial" w:cs="arial"/>
          <w:b/>
          <w:i w:val="0"/>
          <w:strike w:val="0"/>
          <w:noProof w:val="0"/>
          <w:color w:val="000000"/>
          <w:position w:val="0"/>
          <w:sz w:val="20"/>
          <w:u w:val="none"/>
          <w:vertAlign w:val="baseline"/>
        </w:rPr>
        <w:t> [*441] </w:t>
      </w:r>
      <w:r>
        <w:rPr>
          <w:rFonts w:ascii="arial" w:eastAsia="arial" w:hAnsi="arial" w:cs="arial"/>
          <w:b w:val="0"/>
          <w:i w:val="0"/>
          <w:strike w:val="0"/>
          <w:noProof w:val="0"/>
          <w:color w:val="000000"/>
          <w:position w:val="0"/>
          <w:sz w:val="20"/>
          <w:u w:val="none"/>
          <w:vertAlign w:val="baseline"/>
        </w:rPr>
        <w:t xml:space="preserve"> compliance program would provide a program integrity safeguard.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general provisions for sharing arrangements under the EPM were included in proposed § 512.500(a). We sought comment about all of the provisions set out in the preceding discussion, including whether additional or different safeguards would be needed to ensure program integrity, protect against abuse, and ensure that the goals of the EPM were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While many commenters expressed appreciation for CMS' proposal that would allow EPM participant choice regarding the formation of specific financial relationships with other individual and entities as determined by the EPM participant, several commenters expressed concern that engaging in sharing arrangements by EPM participants is voluntary for hospitals. One commenter stated that CMS' proposal to leave the choice of sharing reconciliation payments from episode savings achieved under the EPM to the responsible hospitals would have the unintended consequences of further consolidating control of care at the hospital level rather than with the community providers at the forefront of providing patient-centered care and could restrict beneficiary choice. Another commenter stated that because EPM participants are not required to distribute their episode savings as gainsharing payments, the proposed model design and financial arrangements would exclude post-acute care providers from having a significant role in the EPM. One commenter who expressed appreciation for CMS' proposal to allow ACOs to be EPM collaborators nevertheless asserted that under the current and proposed policies for EPM financial arrangements, model participants often have little or no incentive to collaborate with ACOs, a situation which threatens the continuity of care for patients. The commenter believes that participants in bundled payment models have a significant incentive to take advantage of an ACO's ongoing efforts to coordinate care over the course of the full year (which includes the EPM episode), which could lead to episode savings achieved by the ACO's efforts, rather than hospitals' efforts under the EPM. The commenter urged CMS to require sharing arrangements between EPM participants and unrelated ACOs in the same market or otherwise determine that all ACO-assigned beneficiaries would be excluded from EPM episodes. Finally, another commenter encouraged CMS, at a minimum, to add stronger language to encourage EPM participants to enter into sharing arrangements if CMS chooses to maintain the proposed policy which is permissive rather than directive.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perspectives of the commenters regarding our proposal for financial arrangements under the EPM that would not require EPM participants to enter into sharing arrangement with collaborators under the model. As we finalize in section III.B.3. of this final rule for the EPM and as we finalized for the CJR model in the CJR Final Rule </w:t>
      </w:r>
      <w:hyperlink r:id="rId21" w:history="1">
        <w:r>
          <w:rPr>
            <w:rFonts w:ascii="arial" w:eastAsia="arial" w:hAnsi="arial" w:cs="arial"/>
            <w:b w:val="0"/>
            <w:i/>
            <w:strike w:val="0"/>
            <w:noProof w:val="0"/>
            <w:color w:val="0077CC"/>
            <w:position w:val="0"/>
            <w:sz w:val="20"/>
            <w:u w:val="single"/>
            <w:vertAlign w:val="baseline"/>
          </w:rPr>
          <w:t>(80 FR 73288),</w:t>
        </w:r>
      </w:hyperlink>
      <w:r>
        <w:rPr>
          <w:rFonts w:ascii="arial" w:eastAsia="arial" w:hAnsi="arial" w:cs="arial"/>
          <w:b w:val="0"/>
          <w:i w:val="0"/>
          <w:strike w:val="0"/>
          <w:noProof w:val="0"/>
          <w:color w:val="000000"/>
          <w:position w:val="0"/>
          <w:sz w:val="20"/>
          <w:u w:val="none"/>
          <w:vertAlign w:val="baseline"/>
        </w:rPr>
        <w:t xml:space="preserve"> we have selected acute care hospitals as the financially responsible entity for the EPM because we are interested in evaluating the impact of bundled payments and care redesign across a broad spectrum of hospitals with varying levels of infrastructure and experience in entering into risk-based financial arrangements. Our expectation that hospitals would perform a central role in coordinating episode-related care and ensuring smooth transitions for beneficiaries hospitalized for clinical conditions that are the focus of the EPM factored into our identification of hospitals as the financially responsible entity for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proposed that hospitals would be the financially responsible entity for episodes under the EPM as they are under the CJR model, we agree with the commenters that effective care redesign for EPM episodes likely requires meaningful collaboration among acute care hospitals, CAHs, post-acute care providers, ACOs, physicians, and other providers and suppliers within communities to achieve the highest value care for Medicare beneficiaries. We believe it may be essential for key providers and suppliers to be aligned and engaged, financially and otherwise, with participant hospitals, and that they have the potential to share financial responsibility with those hospitals. We believe that close alignment and engagement of certain providers, suppliers, and ACOs with EPM participants may be especially important, given the clinical complexity of many beneficiaries in EPM episodes who are likely to have underlying chronic condition and risk factors, such as advanced age that led to the acute event of AMI or hip fracture or progressively worsening cardiac status resulting in CABG that are the focus of EPM episodes. Depending on a hospital's current degree of clinical integration, new and different contractual relationships among hospitals and other health care providers and suppliers may be important, although not necessarily required, for EPM success in a community. We do not believe, however, that it would be appropriate to require that EPM participants engage in sharing arrangements, including with any specific individuals or entities such as ACOs, since, under the EPM, the participant hospitals are solely responsible to CMS for financial risk under the models. While we are providing EPM participants with required parameters for any financial arrangements with collaborators that assist them in engaging other individuals and entities in care redesign toward the goals of improving EPM episode quality and reducing cost, we believe that model participants providing care in their own communities are best positioned to determine whether sharing arrangements would advance these goals. We refer to section III.D.6.c.(3) of this final rule for further discussion of our final policies regarding overlap of EPM beneficiaries with shared savings models and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emphasize that, although we allow sharing arrangements under the EPM, beneficiaries in EPM episodes retain their full rights to choose their providers and suppliers. EPM participants, providers, and suppliers are reminded that patient steering is not permissible and such entities and individuals must continue to comply with all applicable law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EPM participants and their collaborators that engage in sharing arrangements may not impede the rights of the beneficiary. Furthermore, we reiterate that sharing arrangements must not induce the EPM participant, EPM collaborator, or any employees, contractors, or subcontractors of the EPM participant or EPM collaborator to reduce or limit medically necessary services to any Medicare beneficiary; or restrict the ability of an EPM collaborator to make decisions in the best interests of its patients, including the selection of devices, supplies, and treatments.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number of commenters commended CMS for not requiring EPM participants to collaborate with certain groups of providers or suppliers, thereby allowing market forces to feed the creative innovation of model participants and their community partners to determine the financial partnerships that would be most beneficial to achieving the overarching goals of the EPM. One commenter stated that EPM participants should not be required to offer risk-sharing </w:t>
      </w:r>
      <w:r>
        <w:rPr>
          <w:rFonts w:ascii="arial" w:eastAsia="arial" w:hAnsi="arial" w:cs="arial"/>
          <w:b/>
          <w:i w:val="0"/>
          <w:strike w:val="0"/>
          <w:noProof w:val="0"/>
          <w:color w:val="000000"/>
          <w:position w:val="0"/>
          <w:sz w:val="20"/>
          <w:u w:val="none"/>
          <w:vertAlign w:val="baseline"/>
        </w:rPr>
        <w:t> [*442] </w:t>
      </w:r>
      <w:r>
        <w:rPr>
          <w:rFonts w:ascii="arial" w:eastAsia="arial" w:hAnsi="arial" w:cs="arial"/>
          <w:b w:val="0"/>
          <w:i w:val="0"/>
          <w:strike w:val="0"/>
          <w:noProof w:val="0"/>
          <w:color w:val="000000"/>
          <w:position w:val="0"/>
          <w:sz w:val="20"/>
          <w:u w:val="none"/>
          <w:vertAlign w:val="baseline"/>
        </w:rPr>
        <w:t xml:space="preserve"> arrangements to all post-acute care providers in their markets. Several commenters expressed support for CMS' proposal to require EPM participants to utilize quality criteria in the selection of collaborators, which is consistent with the goal of the EPM to improve the quality of episode care while reducing its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also agreed with CMS' intent that the selection requirements should prevent EPM participants from developing methodologies for selecting collaborators that take into account the volume or value of past or anticipated referrals between the parties. However, one commenter advocated that CMS permit EPM participants to consider a potential EPM collaborator's relevant experience in collaborator selection. The commenter seemed to be recommending that CMS permit collaborator selection criteria to consider factors such as the amount of procedures a physician has performed that would be subject to payment under an EPM episode or the amount of other services a potential collaborator has performed that would be considered EPM activities. The commenter urged CMS not to prohibit experience from being a qualifying factor in the selection of collaborators on the grounds that such a policy would compromise the model's stated goal of increasing quality while reducing cost. The commenter believed it was only appropriate to prohibit selection criteria that consider the historical amount of procedures (or other services that would constitute EPM activities) that the potential collaborator performed for beneficiaries treated at the EPM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expressed concern that allowing EPM participants discretion over the selection of collaborators for sharing arrangements could limit collaborators to a small group of preferred providers and lead to narrow referral networks to control costs, strategies that are not necessarily in the best interest of beneficiaries. The commenters encouraged CMS to modify the proposal for allowing EPM participants broad discretion to determine how they identify and choose EPM collaborators. The commenters further urged CMS to adopt stronger safeguards and to closely monitor referral patterns to ensure that the EPM is not diminishing patient choice or disrupting existing provider-patient relationships that are necessary for ensuring patient-centered continuity of care. A few commenters believed that EPM participant discretion in choosing collaborators should be limited and that EPM participants should be required to make gainsharing payments to all providers who care for EPM beneficiaries. One commenter requested that CMS require EPM participants to allow any interested provider who meets basic, minimum quality standards and sees a minimum number of EPM beneficiaries to be included on the list of collaborators with sharing arrangements. Another commenter requested that EPM participants' written policies for the selection of collaborators be made public to promote transparency. One commenter emphasized that without transparent contracting and financial data requirements, many independent PGPs are hesitant to participate in sharing arrangements for episode payment models like the EPM managed by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requested that CMS make available certain information to EPM participants or potential collaborators such as physician groups and post-acute care providers. With respect to information for EPM participants, the commenters recommended that CMS create a tool with a standardized methodology to compare costs so model participants could select the most cost-effective partner in the care that is included in the models for which they are financially responsible. Other commenters urged CMS to provide information to potential EPM collaborators about hospital accountability for episodes under the EPM, CJR model, and other CMS bundled payment models, explaining that it is currently challenging for physicians and post-acute care providers to determine what hospital owns which episodes in order to seek partnerships, especially when the hospitals may be located in other geographic areas. One commenter further recommended that CMS provide a path to identify the responsible entity for episodes in order to alleviate the administrative burden on post-acute care providers that are tracking financial risk and clinical responsibility for episodes in bundled payment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support for our proposed requirements for EPM participants' policies for the selection of their collaborators. We proposed to allow financial arrangements in the EPM to incentivize higher quality care and reductions in episode spending through improved financial alignment between providers and suppliers furnishing services to beneficiaries during EPM episodes, while protecting against undue risk from beneficiary steering, care stinting, and inappropriate reductions in access to care that could otherwise result from the financial incentives in an episode payment model. The proposed requirements for the selection criteria for collaborators provide important safeguards for these financial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mindful of the commenter's concern that the goals of EPM may be more difficult to achieve if EPM participants are prohibited from selecting collaborators based on their relative experience in providing services that would constitute EPM activities. We proposed that the written policies for selecting EPM collaborators must contain criteria related to, and inclusive of, the quality of care delivered by the potential EPM collaborator. We also proposed that the selection criteria cannot be based directly or indirectly on the volume or value of past or anticipated referrals or other business. Because sharing arrangements should be for the sole purpose of aligning the parties' financial incentives toward the EPM goal of improving the quality and efficiency of care, we do not believe that collaborators should be selected in a manner that is based on referrals or the generation of other business. We believe that imposing experience qualifications that are tied to referrals, rather than quality, presents a significant program integrity risk. Specifically, such criteria could be a proxy for rewarding past referrals or for encouraging the initiation of an excessive number of EPM episodes. Nevertheless, depending on the circumstances, the consideration of a potential collaborator's experience in performing services that would constitute EPM activities may further the quality and efficiency goals of the EPM. For example, an ACO's experience in providing care coordination services or implementing care redesign strategies may be relevant in evaluating the likelihood that a potential ACO collaborator will have the requisite expertise to contribute to the EPM participant's success in the model. Similarly, we recognize that, in an effort to ensure quality of care and successful outcomes for certain procedures, many hospitals require physicians to perform a reasonable minimum number of procedures as a condition of maintaining medical staff privileges to perform those procedures. Therefore, we are modifying the selection criteria provision in § 512.500(a)(3) to provide that a selection criterion requiring a potential EPM collaborator to have performed a reasonable minimum number of services that would qualify as EPM activities will be deemed not to violate the volume or value standard if </w:t>
      </w:r>
      <w:r>
        <w:rPr>
          <w:rFonts w:ascii="arial" w:eastAsia="arial" w:hAnsi="arial" w:cs="arial"/>
          <w:b/>
          <w:i w:val="0"/>
          <w:strike w:val="0"/>
          <w:noProof w:val="0"/>
          <w:color w:val="000000"/>
          <w:position w:val="0"/>
          <w:sz w:val="20"/>
          <w:u w:val="none"/>
          <w:vertAlign w:val="baseline"/>
        </w:rPr>
        <w:t> [*443] </w:t>
      </w:r>
      <w:r>
        <w:rPr>
          <w:rFonts w:ascii="arial" w:eastAsia="arial" w:hAnsi="arial" w:cs="arial"/>
          <w:b w:val="0"/>
          <w:i w:val="0"/>
          <w:strike w:val="0"/>
          <w:noProof w:val="0"/>
          <w:color w:val="000000"/>
          <w:position w:val="0"/>
          <w:sz w:val="20"/>
          <w:u w:val="none"/>
          <w:vertAlign w:val="baseline"/>
        </w:rPr>
        <w:t xml:space="preserve"> the purpose of the criterion is to ensure the quality of care furnished to EPM beneficiaries. We believe this standard appropriately balances the commenter's concerns and the relevant program integrity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agree with the commenters recommending that EPM participants be required to engage as collaborators all providers and suppliers caring for EPM beneficiaries or any interested provider meeting minimum standards for quality and model beneficiary volume. As discussed previously, there is no requirement that EPM participants enter into sharing arrangements under the EPM, in order to allow EPM participants who are financially responsible for EPM episodes the flexibility to determine whether sharing arrangements would advance the model goals. Should they choose to enter into financial arrangements with collaborators, we believe EPM participants are in the best position to select the collaborators, subject to the requirements we proposed, who are most willing to engage in the model participant's care redesign strategies and provide high quality care. However, we continue to believe it is appropriate to require EPM participants to create a written set of policies for selecting providers, suppliers, and ACOs for sharing risks and gains as EPM collaborators. We are adopting numerous safeguards to address patient steering and protect beneficiary freedom of choice, including the requirement that EPM beneficiaries be informed that they retain freedom of choice to choose providers and services; the requirement that EPM participants not restrict beneficiaries' ability to choose any Medicare-enrolled provider or supplier, or any physician or practitioner who has opted out of Medicare; the caps on gainsharing payments to physicians, nonphysician practitioners, PGPs, and NPPGPs; the requirement that the opportunity to make or receive gainsharing payments (or the opportunity to make or receive alignment payments) may not be conditioned on the volume or value of past or anticipated referrals; the requirement that gainsharing payments be distributed to EPM collaborators substantially based on the quality of care and the provision of EPM activities; and the requirement that opportunity to make or receive distribution payments or downstream distribution payments not be conditioned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 In light of these safeguards, we believe that EPM participants should be allowed to enter into different sharing arrangements with various EPM collaborators. While we appreciate the reasons why some commenters recommended that we require EPM participants to enter into financial relationships with certain entities and individuals, we do not agree that such a requirement is necessary given these protections. Furthermore, we believe these safeguards are sufficient to protect beneficiary choice and ensure that the EPM does not disrupt existing provider-patient relationships.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understand and agree with the commenters who believe that transparency in contracting under the EPM is important, so that providers, suppliers, and ACOs in communities that provide episode care for EPM beneficiaries are knowledgeable about any collaborators working with the EPM participant toward achieving the model goals and understand how the model participant selected those collaborators. This transparency is all the more significant in light of our decision not to require that EPM participants engage with any specific providers, suppliers, or ACOs. To the extent the commenter who mentioned PGP concerns about the transparency of contracting and financial data requirements for sharing arrangements was referring to the internal requirements of the EPM participant, we do not believe that sharing arrangements under the EPM are different in this regard from any other scenario in which a PGP contracts with a hospital. To address the transparency of the EPM participant's selection criteria for EPM collaborators that are required in § 512.500(a)(3), we are requiring EPM participants to make publicly available on the EPM participant's Web site their policies for selecting individuals and entities to be EPM collaborators and to update this information at least quarterly. The public availability of the collaborator selection policies complements the requirement for EPM participants to publicly post on their Web site accurate current and historical lists of all EPM collaborators, including EPM collaborator names and addresses, and to update such lists on at least a quarterly basis. The policy for the lists of EPM collaborators is discussed in section III.I.4.d. of this final rule for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providing standard information to EPM participants that would allow them to select the most cost-effective providers and suppliers as collaborators, as discussed in section III.K.2 of this final rule for EPM participants, upon EPM participant request we are making available beneficiary-identifiable claims data no less frequently than on a quarterly basis for EPM episodes, as applicable to the participant. These data allow the EPM participant to examine episodes where model beneficiaries receive care by specific providers or suppliers in order to identify patterns in quality and cost that may help them identify providers and suppliers that meet the EPM participant's selection criteria for collaborators. However, we will not provide EPM participants with a tool that uses a standard methodology to analyze episode costs of care to allow for specific comparisons among potential collaborators. Instead, EPM participants will need to develop their own methodology to analyze the features of historical episodes that are relevant to their collaborator selection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the interest of potential EPM collaborators in being able to identify the bundled payment model episodes and responsible hospitals for beneficiaries for whom they provide care in order to seek partnerships that may contribute to improvements in the quality of episode care and reductions in cost. We will continue to make available on the CMS Web site information about bundled payment models, model participants, and the episodes that each model participant is testing. We encourage potential EPM collaborators to review this information and to discuss the potential for collaboration with model participants both in their communities and where they have historically provided post-discharge care following hospitalization for the clinical conditions that are the focus of the EPM. Given the complexities of the provider and beneficiary overlap policies among different models and programs as discussed in section III.D.6. of this final rule, we are not able to provide any other specific information about the financially responsible entity for beneficiaries who are hospitalized and then receive related post-discharge care during their recovery.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finalizing the selection criteria for EPM collaborators in § 512.500(a)(3) as modified. We are finalizing in § 512.500(d)(1)(ii)(A) the requirement for public reporting and updating of the current and historical lists of EPM collaborators in § 512.500(d)(1)(ii)(A). </w:t>
      </w:r>
      <w:r>
        <w:rPr>
          <w:rFonts w:ascii="arial" w:eastAsia="arial" w:hAnsi="arial" w:cs="arial"/>
          <w:b/>
          <w:i w:val="0"/>
          <w:strike w:val="0"/>
          <w:noProof w:val="0"/>
          <w:color w:val="000000"/>
          <w:position w:val="0"/>
          <w:sz w:val="20"/>
          <w:u w:val="none"/>
          <w:vertAlign w:val="baseline"/>
        </w:rPr>
        <w:t> [*444] </w:t>
      </w:r>
      <w:r>
        <w:rPr>
          <w:rFonts w:ascii="arial" w:eastAsia="arial" w:hAnsi="arial" w:cs="arial"/>
          <w:b w:val="0"/>
          <w:i w:val="0"/>
          <w:strike w:val="0"/>
          <w:noProof w:val="0"/>
          <w:color w:val="000000"/>
          <w:position w:val="0"/>
          <w:sz w:val="20"/>
          <w:u w:val="none"/>
          <w:vertAlign w:val="baseline"/>
        </w:rPr>
        <w:t xml:space="preserve"> We are adding the requirement in § 512.500(d)(1)(ii)(B) that the EPM participant publicly post on the EPM participant's Web site the written policies for selecting individuals and entities to be EPM collaborators required by § 512.500(a)(3). We are eliminating as redundant the separate verbiage in proposed § 512.500(d)(1)(ii) to obligate the EPM participant to maintain accurate current and historical lists of all EPM collaborators because this obligation is encompassed in the obligations to publicly post and update such lists as required in § 512.500(d)(1)(ii) as finalized.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 about the various "volume or value" standards that CMS proposed to use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EPM and CJR financial arrangements. The commenters pointed out that CMS' proposal made clear that the criteria for the selection of collaborators and the determination of who shall be eligible to make or receive alignment or gainsharing payments cannot be based directly or indirectly on the volume or value of past or anticipated referrals or business otherwise generated between the parties, their various agents, and any individuals or entities affiliated with them or their agents. However, the commenters observed that the proposal did allow for the "amount of EPM activities" to be taken into account in the methodology for calculating gainsharing payments. With respect to the calculation of alignment payments, the commenters observed that CMS proposed that EPM participants may not "directly" take into account the volume or value of past or anticipated referrals, proposing this different "volume or value" standard for these payments. One commenter believes that the varying standards are confusing and will have little effect on the integrity of the models, while EPM participants and CJR participant hospitals will need to seek substantial legal consultation to avoid placing themselves at risk of whistleblower lawsuits. The commenter requested that CMS revisit the reasoning behind the "volume or value" standard in the proposed EPM and CJR model which they believed was imported from the Stark law, while also taking into account the significant safeguards built into the models and the goal of provider-supplier alignment with EPM and CJR participants through financial arrangements. At minimum, the commenter urged CMS to streamline and clarify the provisions that include the "volume and value"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was concerned that EPM participants and CJR participant hospitals participants will avoid entering into financial arrangements due to the fear of liability under the Stark law and requested that CMS clarify specifically what does and does not constitute a violation of the "volume or value" standard for sharing and distribution arrangements. The commenter urged CMS to provide EPM participants and CJR participant hospitals with assurance that compliance with the CMS standard would not result in liability under the fraud and abuse laws. The commenters asserted that this would give model participants the confidence to enter into arrangements that will enable them to achieve the goals of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interest in streamlining and clarifying the proposed standards for various requirements of the EPM and CJR financial arrangements that utilize a specific standard related to "volume or value." We proposed volume or value standards for three things: (1) The selection criteria for EPM collaborators; (2) the opportunity to make or receive a payment (gainsharing, alignment, distribution, or downstream distribution payment); and (3) the alignment payment methodology. Our proposal was designed to ensure that the sole purpose of any financial relationships in the CJR model and the EPM is to align the financial incentives of the participants, collaborators, collaboration agents, and downstream collaboration agents so that the models can achieve the goals of improved episode care quality and efficiency. For the reasons provided later in this section, we believe that the proposed volume or value standard is appropriate in all three instances.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proposed in § 512.500(a)(3) that the selection criteria for EPM collaborators cannot be based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 ("affiliated individuals or entities"). We do not believe it would be appropriate to permit EPM collaborators to be selected based on the volume or value of their referrals to any of the enumerated parties. Without this prohibition, such arrangements could be used to reward collaborators for their referrals, including referrals for business outside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we proposed that the opportunity to make or receive a gainsharing payment, alignment payment, distribution payment, or downstream distribution payment could not be conditioned on the volume or value of past or anticipated referrals or business otherwise generated by, between or among the EPM participant, any EPM collaborator, any collaboration agent, any downstream collaboration agent, or any affiliated individual or entity. As with the collaborator selection criteria, we do not believe that a payment opportunity should be used to reward referrals. We note that in proposed § 512.500(c)(7) (regarding the opportunity to make or receive a gainsharing payment or an alignment payment), we did not explicitly state that the payment opportunity could not be conditioned "directly or indirectly" on the volume or value of referrals or other business. We are revising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at § 512.500(c)(7) to include the words "directly or indirectly" before the volume or value standard. While we do not believe this revision effects a substantive change, we are mindful of the commenters' requests to clarify and streamline all the "volume or value" provisions. This change simply clarifies that the volume or value standard is the same in all payment opportunity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proposed in § 512.500(c)(14) that the methodology for determining alignment payments must not "directly" account for the volume or value of past or anticipated referrals or business otherwise generated by, between or among the EPM participant, any EPM collaborator, any collaboration agent, any downstream collaboration agent, or any affiliated individual or entity. We deliberately avoided proposing that alignment payments must not "directly or </w:t>
      </w:r>
      <w:r>
        <w:rPr>
          <w:rFonts w:ascii="arial" w:eastAsia="arial" w:hAnsi="arial" w:cs="arial"/>
          <w:b w:val="0"/>
          <w:i/>
          <w:strike w:val="0"/>
          <w:noProof w:val="0"/>
          <w:color w:val="000000"/>
          <w:position w:val="0"/>
          <w:sz w:val="20"/>
          <w:u w:val="none"/>
          <w:vertAlign w:val="baseline"/>
        </w:rPr>
        <w:t>indirectly</w:t>
      </w:r>
      <w:r>
        <w:rPr>
          <w:rFonts w:ascii="arial" w:eastAsia="arial" w:hAnsi="arial" w:cs="arial"/>
          <w:b w:val="0"/>
          <w:i w:val="0"/>
          <w:strike w:val="0"/>
          <w:noProof w:val="0"/>
          <w:color w:val="000000"/>
          <w:position w:val="0"/>
          <w:sz w:val="20"/>
          <w:u w:val="none"/>
          <w:vertAlign w:val="baseline"/>
        </w:rPr>
        <w:t xml:space="preserve"> " account for the volume or value of referrals or other business. Alignment payments represent a portion of the EPM participant's repayment liability to CMS, which is determined in part by summing actual EPM episode payments that could include payments for some items or services referred by the EPM collaborator. Thus, our proposal simply recognizes that alignment payments might indirectly account for the volume or value of an EPM collaborator's referrals. The commenters did not specifically object to the volume or value standard in § 512.500(c)(14), and we are finalizing the provision as proposed.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propose a "volume or value" standard for the methodologies used to determine the amount of any gainsharing payment, distribution payment, or downstream distribution payment. As we discussed in the </w:t>
      </w:r>
      <w:r>
        <w:rPr>
          <w:rFonts w:ascii="arial" w:eastAsia="arial" w:hAnsi="arial" w:cs="arial"/>
          <w:b/>
          <w:i w:val="0"/>
          <w:strike w:val="0"/>
          <w:noProof w:val="0"/>
          <w:color w:val="000000"/>
          <w:position w:val="0"/>
          <w:sz w:val="20"/>
          <w:u w:val="none"/>
          <w:vertAlign w:val="baseline"/>
        </w:rPr>
        <w:t> [*445] </w:t>
      </w:r>
      <w:r>
        <w:rPr>
          <w:rFonts w:ascii="arial" w:eastAsia="arial" w:hAnsi="arial" w:cs="arial"/>
          <w:b w:val="0"/>
          <w:i w:val="0"/>
          <w:strike w:val="0"/>
          <w:noProof w:val="0"/>
          <w:color w:val="000000"/>
          <w:position w:val="0"/>
          <w:sz w:val="20"/>
          <w:u w:val="none"/>
          <w:vertAlign w:val="baseline"/>
        </w:rPr>
        <w:t xml:space="preserve"> proposed rule </w:t>
      </w:r>
      <w:hyperlink r:id="rId9" w:history="1">
        <w:r>
          <w:rPr>
            <w:rFonts w:ascii="arial" w:eastAsia="arial" w:hAnsi="arial" w:cs="arial"/>
            <w:b w:val="0"/>
            <w:i/>
            <w:strike w:val="0"/>
            <w:noProof w:val="0"/>
            <w:color w:val="0077CC"/>
            <w:position w:val="0"/>
            <w:sz w:val="20"/>
            <w:u w:val="single"/>
            <w:vertAlign w:val="baseline"/>
          </w:rPr>
          <w:t>(81 FR 50923, 50926, and 50027),</w:t>
        </w:r>
      </w:hyperlink>
      <w:r>
        <w:rPr>
          <w:rFonts w:ascii="arial" w:eastAsia="arial" w:hAnsi="arial" w:cs="arial"/>
          <w:b w:val="0"/>
          <w:i w:val="0"/>
          <w:strike w:val="0"/>
          <w:noProof w:val="0"/>
          <w:color w:val="000000"/>
          <w:position w:val="0"/>
          <w:sz w:val="20"/>
          <w:u w:val="none"/>
          <w:vertAlign w:val="baseline"/>
        </w:rPr>
        <w:t xml:space="preserve"> we proposed that these payments must be determined in accordance with a methodology that is substantially based on quality of care and the provision of EPM activities. We further proposed that the methodology may take into account the amount of EPM activities provided by one EPM collaborator, collaboration agent, or downstream collaboration agent relative to other EPM collaborators, collaboration agents, or downstream collaboration agents, as applicable to the type of payment. We proposed this standard because we recognized that a "volume or value" standard could be interpreted to prohibit a payment methodology that would result in higher compensation to individuals and entities that performed more EPM activities (which may result in referrals) compared to others. In response to the commenters who questioned the need for different standards for gainsharing payments and alignment payments, if the methodology for determining alignment payments was allowed to take into the account the amount of EPM activities provided by an EPM collaborator relative to other EPM collaborators, there would be a significant risk that the financial arrangement could directly account for the volume or value of past or anticipated referrals or business generated by, between or among the EPM participant, any EPM collaborator, any collaboration agent, any downstream collaboration agent, or any affiliated individual or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46 summarizes the applicability of "volume or value" standards being finalized in this rule for EPM financial arrangements.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46--Final Standards Related to "Volume or Value" for EPM Financial</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Arrangements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Volume/value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Scope of</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Citation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prohibition?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volume/value</w:t>
            </w: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prohibition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Collaborator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Cannot be based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512.500(a)(3).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selection criteria</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directly or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indirectly on past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anticipated</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referrals or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business otherwise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generated by,</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or among:</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 EPM participant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 Collaborator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iii. Collaboration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iv. Downstream</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collaboration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 Any individual</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entity</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affiliated with</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(i)-(iv)</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Opportunity to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 as for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512.500(c)(7)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make or receive a</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collaborator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(gainsharing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selection criteria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alignment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512.505(b)(4)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(distribution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512.510(b)(4)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(downstream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distribution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Alignment Payment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Cannot directly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512.500(c)(14).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Methodology</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account for volume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value of past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anticipated</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referrals or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business otherwise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generated by,</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or among</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(i)-(v) above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Gainsharing</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N/A--methodology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512.500(c)(5)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must be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(gainsharing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Methodology</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substantially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 on quality</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 and the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provision of EPM</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 may</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consider relative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amount of EPM</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Distribution and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N/A--same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512.505(b)(5),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Downstream</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methodology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 (distribution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Distribution</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 as for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gainsharing</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512.510(b)(5),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Methodologies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payments, except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 (downstream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amounts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distribution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distributed by 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PGP to a PGP</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 can also be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determined in a</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manner that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complies with §</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411.352(g) of the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self-referral</w:t>
            </w: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regulations</w:t>
            </w:r>
          </w:p>
        </w:tc>
        <w:tc>
          <w:tcPr>
            <w:tcW w:w="2280" w:type="dxa"/>
          </w:tcP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raised concerns about the burdens of writing EPM sharing arrangements and the overall complexity of the requirements for financial arrangements. Several commenters claimed that financial arrangements are underutilized in the BPCI initiative due to the complexity of CMS' requirements, the administrative burden associated with understanding and ensuring compliance with those requirements, and the lack of clearly articulated safe harbors from the fraud and abuse laws implicated by the arrangements. The commenters further asserted that few potential collaborators have sufficient volume of cases in episodes for the financial benefits of gainsharing to outweigh the administrative burdens to develop and maintain these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stated that it is infeasible for EPM participants to write sharing arrangements with each party where the EPM participant will transfer beneficiaries with AMI. The commenter recommended that CMS institute a default sharing arrangement which would come into force when there is no specific sharing arrangement between an EPM participant and another hospital in order to protect receiving hospitals from the effects of adverse patient selection that would inflate the transfer hospital's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that the structure of CJR fraud and abuse waivers have hindered gainsharing arrangements because of CJR participant hospitals' concerns that they may lose waiver protection if they miss any one of the program requirements, including those that the commenter believes pose no fraud and abuse risk to any federal health care program. The commenter asserted that the program requirements for sharing arrangements do not appropriately balance CMS' program integrity interest with need for meaningful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feedback of the commenters, as well as the information provided regarding the potential challenges associated with constructing and executing sharing arrangements, both in the EPM and CJR model and other CMS efforts such as the BPCI initiative. We understand that parties may want to consider a number of factors when assessing whether to enter into a sharing arrangement, including the number of episodes in which the collaborator will be engaged, </w:t>
      </w:r>
      <w:r>
        <w:rPr>
          <w:rFonts w:ascii="arial" w:eastAsia="arial" w:hAnsi="arial" w:cs="arial"/>
          <w:b/>
          <w:i w:val="0"/>
          <w:strike w:val="0"/>
          <w:noProof w:val="0"/>
          <w:color w:val="000000"/>
          <w:position w:val="0"/>
          <w:sz w:val="20"/>
          <w:u w:val="none"/>
          <w:vertAlign w:val="baseline"/>
        </w:rPr>
        <w:t> [*446] </w:t>
      </w:r>
      <w:r>
        <w:rPr>
          <w:rFonts w:ascii="arial" w:eastAsia="arial" w:hAnsi="arial" w:cs="arial"/>
          <w:b w:val="0"/>
          <w:i w:val="0"/>
          <w:strike w:val="0"/>
          <w:noProof w:val="0"/>
          <w:color w:val="000000"/>
          <w:position w:val="0"/>
          <w:sz w:val="20"/>
          <w:u w:val="none"/>
          <w:vertAlign w:val="baseline"/>
        </w:rPr>
        <w:t xml:space="preserve"> the quality measures used to measure performance, as well as purely contractual matters governing payment, appeals, and termination.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overall complexity of the requirements for financial arrangements in the EPM, we note, as we discussed in the proposed rule </w:t>
      </w:r>
      <w:hyperlink r:id="rId101" w:history="1">
        <w:r>
          <w:rPr>
            <w:rFonts w:ascii="arial" w:eastAsia="arial" w:hAnsi="arial" w:cs="arial"/>
            <w:b w:val="0"/>
            <w:i/>
            <w:strike w:val="0"/>
            <w:noProof w:val="0"/>
            <w:color w:val="0077CC"/>
            <w:position w:val="0"/>
            <w:sz w:val="20"/>
            <w:u w:val="single"/>
            <w:vertAlign w:val="baseline"/>
          </w:rPr>
          <w:t>(80 FR 50917),</w:t>
        </w:r>
      </w:hyperlink>
      <w:r>
        <w:rPr>
          <w:rFonts w:ascii="arial" w:eastAsia="arial" w:hAnsi="arial" w:cs="arial"/>
          <w:b w:val="0"/>
          <w:i w:val="0"/>
          <w:strike w:val="0"/>
          <w:noProof w:val="0"/>
          <w:color w:val="000000"/>
          <w:position w:val="0"/>
          <w:sz w:val="20"/>
          <w:u w:val="none"/>
          <w:vertAlign w:val="baseline"/>
        </w:rPr>
        <w:t xml:space="preserve"> that in response to feedback from participant hospitals in the CJR model, other stakeholders, and the general public we have made an effort to simplify the requirements in comparison to what was adopted for the CJR model by removing duplication of requirements in similar provisions; streamlining and reorganizing many of the provisions for clarity and consistency; and providing additional flexibility. We believe that these efforts have resulted in a set of requirements that are more accessible to EPM participants and involved parties. Nevertheless, we note that an EPM participant's decision to enter into sharing arrangements remains voluntary--as it is for EPM collaborators, collaboration agents, and downstream collaboration agents--and as stated in the proposed rule, we expect that all parties will carefully consider the impact of entering into sharing arrangements in order to align the financial incentives of providers and suppliers with the EPM goals of improving the quality and efficiency of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we have proposed to exclude the term "collaborator agreement" from the EPM (and to amend the CJR model to remove this term). We believe that dispensing with this term and the associated mandates for the collaborator agreements removes an unnecessary level of regulatory complexity and offers useful flexibilities to parties developing their sharing arrangements and drafting the written agreements to memorialize those sharing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desire to allow for flexibility is the same reason we decline to develop a default template for written agreements to memorialize sharing arrangements, as requested by one commenter. Given the variation and potential complexity of financial arrangements between EPM participants and collaborators, we believe that a sharing arrangement template is more likely to be constrictive than helpful. We would expect that any template developed by the agency would include provisions to account the diversity of sharing arrangements that could be pursed and therefore would likely include a number of provisions that would be inapplicable or unnecessary for the written agreements in many sharing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specific concern of the commenter about the feasibility of EPM participants writing sharing arrangements with each party where a hospital will transfer beneficiaries with AMI, as discussed in section III.C.4.a.(5) of this final rule, we are finalizing a modification to our proposed policy and will cancel all AMI episodes when a beneficiary initiates an AMI episode at the initial treating hospital and then is transferred to another hospital for inpatient hospital care. We believe this revision to the proposed AMI model episode initiation and transfer attribution policy addresses the concerns of the commenter by eliminating the circumstances that would lead an initial treating hospital to enter into sharing arrangements with hospitals solely because such hospitals are receiving beneficiaries in transfer during AMI care because the initial treating hospital will no longer be responsible for an AMI episode when the beneficiary is transferred.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emphasize that all the requirements in §§ 512.500, 512.505, and 512.510 for sharing arrangements, distribution arrangements, and downstream distribution arrangements, respectively, are EPM programmatic requirements. As noted previously, fraud and abuse waivers for the EPM are outside the scope of this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urged CMS to carefully consider the impact state law, particularly in California, would have on providers' ability to participate in the proposed EPM and allow time for agreements to be structured so hospitals are not put at risk for violating state law and can maintain their relationships with physicians. The commenter asserted that California's corporate practice of medicine prohibition makes financial alignment between EPM participants and certain collaborators particularly complicated because the prohibition mandates a strict separation of hospitals and physicians. They concluded that in developing sharing arrangements, EPM participants would need to undertake careful analysis of their compliance with both federal and state law, including the interaction of federal and state law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information provided by the commenter about the challenges that may arise for EPM participants developing sharing arrangements that comply with the requirements of the EPM and applicable state laws. We are mindful of the time that EPM participants may need to prepare and put into place the sharing arrangements that they believe are necessary to align their financial incentives with those of their collaborators toward the goal of the EPM to improve the quality of care while reducing its cost. Given the first performance year of the EPM begins on July 1, 2017, EPM participants will have knowledge of the federal requirements for EPM financial arrangements several months prior to their implementation in the EPM, which we believe is sufficient for the early planning about these arrangements.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512.500(a) for the general requirements for EPM sharing arrangements, with modification to clarify that an EPM collaborator selection criterion that considers whether a potential collaborator has performed a reasonable minimum number of services that would qualify as EPM activities will be deemed not to violate the volume or value standard if the purpose of the criterion is to ensure the quality of care furnished to EPM beneficiaries. EPM sharing arrangements must comply with the following general provisions:</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EPM participant may enter into a sharing arrangement with an EPM collaborator to make a gainsharing payment, or to receive an alignment payment, or both. An EPM participant must not make a gainsharing payment or receive an alignment payment except in accordance with a sharing arrangement.</w:t>
      </w:r>
    </w:p>
    <w:p>
      <w:pPr>
        <w:keepNext w:val="0"/>
        <w:numPr>
          <w:numId w:val="4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sharing arrangement must comply with the provisions of this section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applicable fraud and abuse laws and all applicable payment and coverage requirements.</w:t>
      </w:r>
    </w:p>
    <w:p>
      <w:pPr>
        <w:keepNext w:val="0"/>
        <w:numPr>
          <w:numId w:val="4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EPM participant must develop, maintain, and use a set of written policies for selecting individuals and entities to be EPM collaborators. These policies must contain criteria related to, and inclusive of, the quality of care delivered by the potential EPM collaborator. The selection criteria cannot be based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 A selection criterion that considers whether a potential EPM collaborator has performed a reasonable minimum number of services that would qualify as </w:t>
      </w:r>
      <w:r>
        <w:rPr>
          <w:rFonts w:ascii="arial" w:eastAsia="arial" w:hAnsi="arial" w:cs="arial"/>
          <w:b/>
          <w:i w:val="0"/>
          <w:strike w:val="0"/>
          <w:noProof w:val="0"/>
          <w:color w:val="000000"/>
          <w:position w:val="0"/>
          <w:sz w:val="20"/>
          <w:u w:val="none"/>
          <w:vertAlign w:val="baseline"/>
        </w:rPr>
        <w:t> [*447] </w:t>
      </w:r>
      <w:r>
        <w:rPr>
          <w:rFonts w:ascii="arial" w:eastAsia="arial" w:hAnsi="arial" w:cs="arial"/>
          <w:b w:val="0"/>
          <w:i w:val="0"/>
          <w:strike w:val="0"/>
          <w:noProof w:val="0"/>
          <w:color w:val="000000"/>
          <w:position w:val="0"/>
          <w:sz w:val="20"/>
          <w:u w:val="none"/>
          <w:vertAlign w:val="baseline"/>
        </w:rPr>
        <w:t xml:space="preserve"> EPM activities will be deemed not to violate the volume or value standard if the purpose of the criterion is to ensure the quality of care furnished to EPM beneficiaries</w:t>
      </w:r>
    </w:p>
    <w:p>
      <w:pPr>
        <w:keepNext w:val="0"/>
        <w:numPr>
          <w:numId w:val="4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EPM participant enters into a sharing arrangement, its compliance program must include oversight of sharing arrangements and compliance with the applicable requirements of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a number of specific requirements for sharing arrangements to help ensure that their sole purpose was to create financial alignment between EPM participants and EPM collaborators toward the goals of the EPM while providing program integrity safeguards. We proposed that the sharing arrangement must be in writing, signed by the parties, and entered into before care was furnished to EPM beneficiaries under the sharing arrangement. In addition, participation in a sharing arrangement must be voluntary and without penalty for nonparticipation. It would be important that providers, suppliers, and ACOs with ACO participants and ACO providers/suppliers rendering items and services to EPM beneficiaries during EPM episodes have the freedom to provide medically necessary items and services to EPM beneficiaries without any requirement that they participate in a sharing arrangement, in order to safeguard beneficiary freedom of choice, access to care, and quality of care. Similarly, we believed that if a provider, supplier, or ACO entered into a sharing arrangement with an EPM participant, that sharing arrangement must precede the provision of care to the EPM beneficiary under the sharing arrangement. We expected the sharing arrangement to set out the mutually agreeable terms for the financial arrangement between the parties to guide and reward EPM care redesign for future EPM episodes, rather than reflect the quality and financial results of EPM episodes that had already occurred and where the financial outcome of the sharing arrangement terms would be known before signing.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the sharing arrangement must require the EPM collaborator and its employees, contractors, and subcontractors to comply with certain requirements that would be important for program integrity under the arrangement. We noted that the terms contractors and subcontractors, respectively, included collaboration agents and downstream collaboration agents as defined later in this section. The sharing arrangement must require all of these individuals and entities to comply with the applicable provisions of proposed Part 512, including requirements regarding beneficiary notifications, access to records, record retention, and participation in any evaluation, monitoring, compliance, and enforcement activities performed by CMS or its designees, because these individuals and entities all would play a role in EPM care redesign and be part of financial arrangements under the EPM. The sharing arrangement must also require all of these individuals and entities to comply with the applicable Medicare provider enrollment requirement at § 424.500, including having a valid and active TIN or NPI, during the term of the sharing arrangement. This would be to ensure that the individuals and entities have the required enrollment relationship with CMS under the Medicare program, although we noted that they would not be responsible for complying with requirements that did not apply to them. Finally, the sharing arrangement must require individuals and entities to comply with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the sharing arrangement must not pose a risk to beneficiary access, beneficiary freedom of choice, or quality of care so that financial relationships between EPM participants and EPM collaborators did not negatively impact beneficiary protections under the EPM. The sharing arrangement must require the EPM collaborator to have a compliance program that included oversight of the sharing arrangement and compliance with the requirements of the EPM, just as we would require EPM participants to have a compliance program for this purpose as a program integrity safeguard. In the proposed rule, we noted our understanding that some stakeholders might have interpreted the substantially similar requirement in the CJR model as obligating CJR collaborators to adopt specific compliance programs components (for example, an externally staffed hotline to receive complaints) and the perceived cost of adopting those components might be a disincentive for certain individuals and entities to be CJR collaborators in the CJR model. However, we noted that the CJR compliance program requirement did not mandate that a CJR collaborator's compliance program take a particular form or include particular components. OIG has repeatedly and consistently emphasized that there is no "one size fits all" compliance program (for example, refer to OIG compliance program guidance for Individual and Small Group Physician Practices, </w:t>
      </w:r>
      <w:hyperlink r:id="rId102" w:history="1">
        <w:r>
          <w:rPr>
            <w:rFonts w:ascii="arial" w:eastAsia="arial" w:hAnsi="arial" w:cs="arial"/>
            <w:b w:val="0"/>
            <w:i/>
            <w:strike w:val="0"/>
            <w:noProof w:val="0"/>
            <w:color w:val="0077CC"/>
            <w:position w:val="0"/>
            <w:sz w:val="20"/>
            <w:u w:val="single"/>
            <w:vertAlign w:val="baseline"/>
          </w:rPr>
          <w:t>65 FR 59434, 59434-52</w:t>
        </w:r>
      </w:hyperlink>
      <w:r>
        <w:rPr>
          <w:rFonts w:ascii="arial" w:eastAsia="arial" w:hAnsi="arial" w:cs="arial"/>
          <w:b w:val="0"/>
          <w:i w:val="0"/>
          <w:strike w:val="0"/>
          <w:noProof w:val="0"/>
          <w:color w:val="000000"/>
          <w:position w:val="0"/>
          <w:sz w:val="20"/>
          <w:u w:val="none"/>
          <w:vertAlign w:val="baseline"/>
        </w:rPr>
        <w:t xml:space="preserve"> (October 5, 2000)). Like OIG, we noted our understanding of the variances and complexities within the industry and appreciated differences in the size and resources of different providers and suppliers, particularly the financial constraints on individual physicians and nonphysician practitioners and small PGPs. Accordingly, we did not believe that the compliance program requirement for CJR collaborators as properly understood should be a disincentive for individuals or small PGPs to become CJR collaborators. Thus, we proposed to adopt a substantially similar requirement for the EPM. We sought comment on the anticipated effect of the proposed compliance program requirement for EPM collaborators, particularly with regard to individual physicians and nonphysician practitioners and small PGPs, and whether alternative compliance program requirements for all or a subset of EPM collaborators should be adopted to mitigate any effect of the proposal that could make participation as an EPM collaborator infeasible for any provider, supplier, or other entity on the proposed list of types of EPM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observed it would be necessary that EPM participants have adequate oversight over sharing arrangements to ensure that all arrangements meet the proposed requirements of this section and provide program integrity protections. Therefore, we proposed that the board or other governing body of the EPM participant have responsibility for overseeing the EPM participant's participation in the EPM, its arrangements with EPM collaborators, its payment of gainsharing payments, its receipt of alignment payments, and its use of beneficiary incentives in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purposes of financial arrangements under the EPM, we proposed to define activities related to promoting accountability for the quality, cost, and overall care for EPM beneficiaries, including managing and coordinating care; encouraging investment in infrastructure and redesigned care processes for high quality and efficient service delivery; the provision of items and services during an EPM episode in a manner that reduces costs and improves quality; or carrying out any other obligation or duty under the EPM as "EPM activities." In addition to the quality of care provided during episodes, we believed the activities that would fall under this proposed definition would encompass </w:t>
      </w:r>
      <w:r>
        <w:rPr>
          <w:rFonts w:ascii="arial" w:eastAsia="arial" w:hAnsi="arial" w:cs="arial"/>
          <w:b/>
          <w:i w:val="0"/>
          <w:strike w:val="0"/>
          <w:noProof w:val="0"/>
          <w:color w:val="000000"/>
          <w:position w:val="0"/>
          <w:sz w:val="20"/>
          <w:u w:val="none"/>
          <w:vertAlign w:val="baseline"/>
        </w:rPr>
        <w:t> [*448] </w:t>
      </w:r>
      <w:r>
        <w:rPr>
          <w:rFonts w:ascii="arial" w:eastAsia="arial" w:hAnsi="arial" w:cs="arial"/>
          <w:b w:val="0"/>
          <w:i w:val="0"/>
          <w:strike w:val="0"/>
          <w:noProof w:val="0"/>
          <w:color w:val="000000"/>
          <w:position w:val="0"/>
          <w:sz w:val="20"/>
          <w:u w:val="none"/>
          <w:vertAlign w:val="baseline"/>
        </w:rPr>
        <w:t xml:space="preserve"> the totality of activities upon which it would be appropriate for certain financial arrangements under the EPM to be based in order to value the contributions of providers, suppliers, and other entities toward meeting the EPM goals of improving the quality and efficiency of episodes. We sought comment on the proposed definition of EPM activities as an inclusive and comprehensive framework for capturing direct care and care redesign for EPM episodes that contributed to improving the quality and efficiency of these episodes. We proposed to use the term EPM activities in identifying certain obligations of parties in a sharing arrangement that were described as "changes in care coordination or delivery" in the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contents of the written agreement memorializing the sharing arrangement. We noted that as discussed in section V.J. of the proposed rule </w:t>
      </w:r>
      <w:hyperlink r:id="rId9" w:history="1">
        <w:r>
          <w:rPr>
            <w:rFonts w:ascii="arial" w:eastAsia="arial" w:hAnsi="arial" w:cs="arial"/>
            <w:b w:val="0"/>
            <w:i/>
            <w:strike w:val="0"/>
            <w:noProof w:val="0"/>
            <w:color w:val="0077CC"/>
            <w:position w:val="0"/>
            <w:sz w:val="20"/>
            <w:u w:val="single"/>
            <w:vertAlign w:val="baseline"/>
          </w:rPr>
          <w:t>(81 FR 50958),</w:t>
        </w:r>
      </w:hyperlink>
      <w:r>
        <w:rPr>
          <w:rFonts w:ascii="arial" w:eastAsia="arial" w:hAnsi="arial" w:cs="arial"/>
          <w:b w:val="0"/>
          <w:i w:val="0"/>
          <w:strike w:val="0"/>
          <w:noProof w:val="0"/>
          <w:color w:val="000000"/>
          <w:position w:val="0"/>
          <w:sz w:val="20"/>
          <w:u w:val="none"/>
          <w:vertAlign w:val="baseline"/>
        </w:rPr>
        <w:t xml:space="preserve"> we proposed to define and use the term CJR activities in the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just as we proposed to define and use the term EPM activities in the EPM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written agreement memorializing a sharing arrangement must specify a number of parameters of the arrangement, including the following:</w:t>
      </w:r>
    </w:p>
    <w:p>
      <w:pPr>
        <w:keepNext w:val="0"/>
        <w:numPr>
          <w:numId w:val="4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purpose and scope of the sharing arrangement.</w:t>
      </w:r>
    </w:p>
    <w:p>
      <w:pPr>
        <w:keepNext w:val="0"/>
        <w:numPr>
          <w:numId w:val="4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identities and obligations of the parties, including specified EPM activities and other services to be performed by the parties under the sharing arrangement.</w:t>
      </w:r>
    </w:p>
    <w:p>
      <w:pPr>
        <w:keepNext w:val="0"/>
        <w:numPr>
          <w:numId w:val="4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of the sharing arrangement.</w:t>
      </w:r>
    </w:p>
    <w:p>
      <w:pPr>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Management and staffing information, including type of personnel or contractors that will be primarily responsible for carrying out EPM activities.</w:t>
      </w:r>
    </w:p>
    <w:p>
      <w:pPr>
        <w:keepNext w:val="0"/>
        <w:numPr>
          <w:numId w:val="4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financial or economic terms for payment, including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Eligibility criteria for a gainsharing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Eligibility criteria for an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Frequency of gainsharing or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Methodology and accounting formula for determining the amount of a gainsharing payment that is substantially based on quality of care and the provision of EPM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Methodology and accounting formula for determining the amount of an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proposed to require that the terms of the sharing arrangement must not induce the EPM participant, EPM collaborator, or any employees, contractors, or subcontractors of the EPM participant or EPM collaborator to reduce or limit medically necessary services to any Medicare beneficiary or restrict the ability of an EPM collaborator to make decisions in the best interests of its patients, including the selection of devices, supplies, and treatments. These proposed requirements were to ensure that the quality of care for EPM beneficiaries would not be negatively affected by sharing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requirements for sharing arrangements under the EPM were included in proposed § 512.500(b). We sought comment about all of the proposed requirements set out in the preceding discussion, including whether additional or different safeguards would be needed to ensure program integrity, protect against abuse, and ensure that the goals of the EPM were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In general, the commenters requested that CMS simplify the requirements for sharing arrangements and allow gainsharing to the fullest extent possible consistent with the goals of preventing fraud and abuse and unfair business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asserted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lack a clear section laying out each and every requirement to be included in the written agreement memorializing the sharing arrangement. The commenter urged CMS to set forth in the final EPM and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 comprehensive list of the requirements for the written sharing arrangement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urged CMS to eliminate proposed requirements for financial arrangements that they believe are overly inclusive or technical. They singled out as unnecessary the requirement that the written agreement memorializing the sharing arrangement include management and staffing information. The commenters stated that it should be sufficient to spell out each party's obligations and allow greater latitude to determine how the management and staffing aspects of those obligations will be met. The commenters also identified as overly technical and confusing the requirement that all gainsharing payments and any alignment payments must be administered by the EPM participant in accordance with generally accepted accounting principles. The commenters asserted this requirement does not lessen the fraud and abuse risk posed by any sharing arrangement.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commenters' feedback on the requirements for sharing arrangements. With the specific exceptions noted later in this section, we continue to believe that the requirements with respect to financial arrangements in the EPM set forth in the proposed rule are necessary for program integrity purposes and to prevent the distribution and receipt of payments for reasons outside the goals of the EPM and we finalize those requirements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direct the commenters suggesting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lack a clear section laying out each and every requirement to be included in the written agreement memorializing the sharing arrangement to § 512.500(b)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with particular emphasis on § 512.500(b)(7). This subsection sets forth the requirements for the written agreement memorializing the sharing arrangement. In addition to providing a list of specifications for the written agreement memorializing a sharing arrangement, § 512.500(b) is intended to offer flexibility to the parties to draft written agreements in a format most useful for them. We note that while EPM participants may conclude that additional provisions in their written agreements are the most appropriate tool to hold their EPM collaborators accountable for compliance with other programmatic requirements, we are not mandating that EPM participants adopt that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previously, we have endeavored to streamline the requirements for financial arrangements under the EPM in areas where we believe the program integrity risk is low. As also noted previously, the removal of the collaborator agreement requirement--a term present in the CJR Final Rule, not included in this final rule--represents a result of that effort. In addition, we agree with the commenters who recommended that we eliminate the requirement that the written agreement memorializing the sharing arrangement include management and staffing information, including the type of personnel or contractors that will be primarily responsible for carrying out EPM activities. Upon further consideration, we believe this requirement for the written agreement is unnecessary as a program safeguard. While we generally expect that EPM participants entering into sharing arrangements will have an EPM care redesign plan that includes management and staffing information, including the types of personnel or contractors that will be primarily be responsible for carrying out EPM activities, we understand that maintaining up-to-date management and staffing information as part of the written agreement for the sharing arrangement could be administratively burdensome to EPM </w:t>
      </w:r>
      <w:r>
        <w:rPr>
          <w:rFonts w:ascii="arial" w:eastAsia="arial" w:hAnsi="arial" w:cs="arial"/>
          <w:b/>
          <w:i w:val="0"/>
          <w:strike w:val="0"/>
          <w:noProof w:val="0"/>
          <w:color w:val="000000"/>
          <w:position w:val="0"/>
          <w:sz w:val="20"/>
          <w:u w:val="none"/>
          <w:vertAlign w:val="baseline"/>
        </w:rPr>
        <w:t> [*449] </w:t>
      </w:r>
      <w:r>
        <w:rPr>
          <w:rFonts w:ascii="arial" w:eastAsia="arial" w:hAnsi="arial" w:cs="arial"/>
          <w:b w:val="0"/>
          <w:i w:val="0"/>
          <w:strike w:val="0"/>
          <w:noProof w:val="0"/>
          <w:color w:val="000000"/>
          <w:position w:val="0"/>
          <w:sz w:val="20"/>
          <w:u w:val="none"/>
          <w:vertAlign w:val="baseline"/>
        </w:rPr>
        <w:t xml:space="preserve"> participants and EPM collaborators and reduce their flexibility to accommodate changes in personnel or in their plans for care redesign in response to their cost and quality performance under the EPM. Therefore, we are removing the proposed requirement in § 512.500(b)(7)(iv) that the written agreement include management and staffing information. However, we decline to remove provisions from the set of requirements for financial arrangements where we believe such changes would increase the risk for fraud and abuse or would be inconsistent with the goals of the model. We disagree with the commenters who suggested that we should remove the requirement that gainsharing payments and alignment payments be administered by the EPM participant in accordance with generally accepted accounting principles (GAAP). For purposes of program integrity, compliance, and monitoring, there is a benefit to all participants across the EPM applying a standard set of accounting principles to these types of payments. Thus, we decline to accept the commenters' suggestion to remove this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concern about CMS' proposal to no longer use the term "collaborator agreement" in the CJR model and to not use this term in the EPM, although the commenter supported CMS' proposed definition of a sharing arrangement and the related requirements. They claimed that not all collaborator agreements would be sharing arrangements. For example, the commenter explained that hospitals that are EPM participants could have agreements with their employed physicians that cascade the programmatic requirements of the EPM, but do not necessarily alter the physicians' underlying compensation or include the potential for gainsharing payments. They urged CMS to retain the term collaborator agreement, rather than adopt the proposed change to sharing arrangement, as the term collaborator agreement would include both the agreements that cascade programmatic requirements as well as those that also create explicit financial arrangements. The commenter added that this distinction is important because CMS proposed to make a financial arrangement a prerequisite to being placed on the list of Affiliated Practitioners for the determination of Eligible Clinicians who could be considered QPs based on services furnished under the EPM and CJR model. However, MACRA states that the "entity" must bear more than nominal risk to qualify for an APM incentive payment, not the clinician. By altering the terms used in the EPM and CJR model to eliminate the term collaborator agreement, the commenter concluded that CMS was suggesting that a shift of risk is required for a clinician to be on the list of Affiliated Practitioners and thus qualify for a bonus, which they believe is inconsistent with the statute. The commenter recommended that CMS retain the term collaborator agreement and clarify that the agreements do not need to include financial arrangements for the clinicians to be placed on the Affiliated Practitioners list for the determination of Eligible Clinicians for QP determinations.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information provided by the commenter on the agreements that hospitals may develop with their employed physicians and their support for the proposed requirements for sharing arrangements. However, the commenter appears to misunderstand the existing CJR provisions regarding collaborator agreements. As finalized in the CJR Final Rule </w:t>
      </w:r>
      <w:hyperlink r:id="rId21" w:history="1">
        <w:r>
          <w:rPr>
            <w:rFonts w:ascii="arial" w:eastAsia="arial" w:hAnsi="arial" w:cs="arial"/>
            <w:b w:val="0"/>
            <w:i/>
            <w:strike w:val="0"/>
            <w:noProof w:val="0"/>
            <w:color w:val="0077CC"/>
            <w:position w:val="0"/>
            <w:sz w:val="20"/>
            <w:u w:val="single"/>
            <w:vertAlign w:val="baseline"/>
          </w:rPr>
          <w:t>(80 FR 73541),</w:t>
        </w:r>
      </w:hyperlink>
      <w:r>
        <w:rPr>
          <w:rFonts w:ascii="arial" w:eastAsia="arial" w:hAnsi="arial" w:cs="arial"/>
          <w:b w:val="0"/>
          <w:i w:val="0"/>
          <w:strike w:val="0"/>
          <w:noProof w:val="0"/>
          <w:color w:val="000000"/>
          <w:position w:val="0"/>
          <w:sz w:val="20"/>
          <w:u w:val="none"/>
          <w:vertAlign w:val="baseline"/>
        </w:rPr>
        <w:t xml:space="preserve"> a collaborator agreement means a written, signed agreement between a CJR collaborator and a participant hospital that meets the requirements of § 510.500(c). Among other requirements, § 510.500(c) mandates that each collaborator agreement "must contain a description of the sharing arrangement between the participant hospital and the CJR collaborator regarding gainsharing payments and alignment payments." </w:t>
      </w:r>
      <w:hyperlink r:id="rId103" w:history="1">
        <w:r>
          <w:rPr>
            <w:rFonts w:ascii="arial" w:eastAsia="arial" w:hAnsi="arial" w:cs="arial"/>
            <w:b w:val="0"/>
            <w:i/>
            <w:strike w:val="0"/>
            <w:noProof w:val="0"/>
            <w:color w:val="0077CC"/>
            <w:position w:val="0"/>
            <w:sz w:val="20"/>
            <w:u w:val="single"/>
            <w:vertAlign w:val="baseline"/>
          </w:rPr>
          <w:t>(81 FR 73553).</w:t>
        </w:r>
      </w:hyperlink>
      <w:r>
        <w:rPr>
          <w:rFonts w:ascii="arial" w:eastAsia="arial" w:hAnsi="arial" w:cs="arial"/>
          <w:b w:val="0"/>
          <w:i w:val="0"/>
          <w:strike w:val="0"/>
          <w:noProof w:val="0"/>
          <w:color w:val="000000"/>
          <w:position w:val="0"/>
          <w:sz w:val="20"/>
          <w:u w:val="none"/>
          <w:vertAlign w:val="baseline"/>
        </w:rPr>
        <w:t xml:space="preserve"> Therefore, an agreement between a CJR participant hospital and its employed physicians to require physicians to meet the programmatic requirements of the CJR model that does not also include the potential for gainsharing payments or alignment payments is not a collaborator agreement. Thus, the commenter's assumption that maintaining the CJR requirements for collaborator agreements and adopting those requirements for the EPM as a mechanism to include clinicians without sharing arrangements on the Affiliated Practitioners lists for these models is incorrect. As noted previously, in developing the proposed rule, we concluded that we could streamline the CJR requirements and adopted less burdensome requirements for the EPM by eliminating the concept of collaborator agreement and the separate requirements associated with these agreements. The example provided by the commenter does not meet the definition of a CJR collaborator agreement. We continue to believe that it is appropriate under the EPM and CJR model to focus on the requirements for a sharing arrangement, without imposing additional regulatory burdens associated with a collaborator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discussion of the identity of the clinicians that are reported on the Affiliated Practitioner List for the EPM and CJR model and the opportunity for clinicians without financial arrangements under the EPM and CJR model to be included on those lists, we refer to sections III.A.2.c. and V.O.3. of this final rule, respectively.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number of commenters commended CMS for its proposal that EPM sharing arrangements remain voluntary and without penalty for nonparticipation. One commenter added that this is especially important for those professionals that are non-patient facing providers who do not select their patients and whose contact, relationship, and services furnished to a beneficiary may occur during a short part of the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commenters who supported the voluntary nature of sharing arrangements, and we continue to believe that it is essential that sharing arrangements be voluntary and without penalty for nonparticipation. We are not requiring EPM participants to offer sharing arrangements to all providers and suppliers caring for EPM beneficiaries. Likewise, EPM participants are prohibited from coercing or requiring individuals or entities to enter into a sharing arrangement. EPM participants may not penalize or discriminate against physicians, nonphysician practitioners, and other providers, suppliers, or ACOs on the grounds that they are not EPM collaborators. For example, EPM participants may not condition the ability of individuals or entities to receive future referrals from the EPM participant on the basis of EPM collaborator status or on criteria that are outside of the goals of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in § 512.500(b)(2) that participation in sharing arrangements be voluntary and without penalty for nonparticipation.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concerns about the level of control given to EPM participants over the amount of gainsharing payments and their allocation, urging CMS to modify its proposal to require greater input from collaborators on the methodology for sharing payments and to provide additional safeguards to ensure continued beneficiary choice of providers and fairness to providers. Specifically, they recommended that </w:t>
      </w:r>
      <w:r>
        <w:rPr>
          <w:rFonts w:ascii="arial" w:eastAsia="arial" w:hAnsi="arial" w:cs="arial"/>
          <w:b/>
          <w:i w:val="0"/>
          <w:strike w:val="0"/>
          <w:noProof w:val="0"/>
          <w:color w:val="000000"/>
          <w:position w:val="0"/>
          <w:sz w:val="20"/>
          <w:u w:val="none"/>
          <w:vertAlign w:val="baseline"/>
        </w:rPr>
        <w:t> [*450] </w:t>
      </w:r>
      <w:r>
        <w:rPr>
          <w:rFonts w:ascii="arial" w:eastAsia="arial" w:hAnsi="arial" w:cs="arial"/>
          <w:b w:val="0"/>
          <w:i w:val="0"/>
          <w:strike w:val="0"/>
          <w:noProof w:val="0"/>
          <w:color w:val="000000"/>
          <w:position w:val="0"/>
          <w:sz w:val="20"/>
          <w:u w:val="none"/>
          <w:vertAlign w:val="baseline"/>
        </w:rPr>
        <w:t xml:space="preserve"> providers who furnished services to EPM beneficiaries should be part of decision-making regarding the amount and allocation of gainsharing payments. The commenters suggested that providers furnishing a minimum percentage of EPM services should be required to be part of the EPM participant governance structure that develops written policies for collaborators and the sharing arrangement methodologies. The commenters urged CMS to establish a maximum amount of reconciliation payments that hospitals may keep and a minimum amount of gainsharing payments that must be paid to each collaborator. They concluded that these modifications would strengthen beneficiary choice and promote fairness.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of the commenters in engagement of providers furnishing care to EPM beneficiaries in decision-making regarding gainsharing payment methodologies. As we discuss in our responses to other comments, as the financially responsible entities for EPM episodes, we believe that EPM participants should have as much flexibility as possible, subject to adequate program integrity safeguards, in decisions about financial arrangements, including whether or not to enter into them; the selection of collaborators; and the methodologies for determining the amounts of gainsharing payments and alignment payments. We do not believe it would be appropriate to specify certain membership of the board or other governing body that we proposed to require an EPM participant to charge with responsibility for the EPM participant's participation in the EPM; its arrangements with EPM collaborators; its payment of gainsharing payments; its receipt of alignment payments; and its use of beneficiary incentives in the EPM. We expect that EPM participants will establish a board or other governing body with sufficient expertise to provide responsible oversight of those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included safeguards in this final rule to protect beneficiary freedom of choice, to require that the potential for financial gain under EPM financial arrangements be based on activities for EPM beneficiaries that are focused on the goals of the EPM to improve quality and reduce the cost of care, and to limit the potential for undue financial gain by certain providers under the EPM. These safeguards include the requirement that EPM beneficiaries be informed that they retain freedom of choice to choose providers and services; the requirement that EPM participants not restrict beneficiaries' ability to choose any Medicare-enrolled provider or supplier, or any physician or practitioner who has opted out of Medicare; the cap on gainsharing payments to physicians, nonphysician practitioners, PGPs, and NPPGPs; the requirement that EPM collaborator selection must be based on written policies that contain criteria related to, and inclusive of, the quality of care delivered by the potential EPM collaborator and cannot be based directly or indirectly on the volume or value of past or anticipated referrals; the requirements that the opportunity to make or receive gainsharing payments, alignment payments, distribution payments, and downstream distribution payments may not be conditioned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 and the requirements that the amount of any gainsharing payments and, with limited exceptions, any distribution payments and downstream distribution payments be determined in accordance with a methodology that is substantially based on the quality of care and the provision of EPM activities. We believe these safeguards are sufficient to protect beneficiary choice and ensure that providers, suppliers, and ACOs that are EPM collaborators, collaboration agents, or downstream collaboration agents receive payments that are based on quality of care and activities specifically related to promoting accountability for the quality, cost, and overall care for EPM beneficiaries, including managing and coordinating care; encouraging investment in infrastructure; enabling technologies, and redesigned care processes for high quality and efficient service delivery; the provision of items and services during an EPM episode in a manner that reduces costs and improves quality; or carrying out any other obligation or duty under the EPM.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that CMS enable individuals and entities, such as small PGPs, to participate in the EPM as collaborators without requiring major investments in infrastructure and electronic health records. The commenter urged CMS to provide appropriate resources and support to enable small practices to participate. They further requested that CMS monitor activities involving distribution of payment to guard against unfair business practices and to promote a fair and equitable distribution of gainsharing payments to all providers who are involved as collaborators. Finally, the commenter urged CMS to mandate distribution of gainsharing payments to EPM collaborators in a timely fashion.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It is our intent that the models offer opportunities for providers and suppliers of all sizes to be EPM collaborators, provided they meet the criteria in this final rule. We note that the EPM does not include requirements for certain infrastructure or use of electronic health records. While we currently do not plan to provide specific resources targeted to providers, suppliers, and ACOs engaged in sharing arrangements with EPM participants, we will broadly disseminate to the public information that may be useful to model collaborators throughout implementation of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commenters' desire to ensure that gainsharing payments are distributed fairly and equitably to EPM collaborators, as noted previously, we believe that the provisions of this final rule adequately address this point. We appreciate the commenter's concern about the potential for unfair business practices, but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such practices is outside the scope of our authority. Accordingly, we will not add a prohibition against unfair business practices. However, we believe that many of the program integrity provisions for sharing arrangements will also serve to deter unfair business practices, and we will be monitoring compliance with these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timely distribution of gainsharing payments, we require that gainsharing payments be distributed on an annual basis. As discussed previously, we are not requiring EPM participants to enter into sharing arrangements with all providers and suppliers caring for EPM beneficiaries, but where an EPM participant does enter into one or more sharing arrangements, the model participant must not distribute any gainsharing payments more than once per year. We believe that this requirement ensures that gainsharing payments are timed to sufficiently maintain an EPM collaborator's commitment to lowering costs and improving quality of care. To the extent the commenter was requesting that CMS prohibit late payment of amounts owed to EPM collaborators, we believe that the consequences for breach of contract offer sufficient protection.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strong support for CMS' proposal to adopt the terms EPM </w:t>
      </w:r>
      <w:r>
        <w:rPr>
          <w:rFonts w:ascii="arial" w:eastAsia="arial" w:hAnsi="arial" w:cs="arial"/>
          <w:b/>
          <w:i w:val="0"/>
          <w:strike w:val="0"/>
          <w:noProof w:val="0"/>
          <w:color w:val="000000"/>
          <w:position w:val="0"/>
          <w:sz w:val="20"/>
          <w:u w:val="none"/>
          <w:vertAlign w:val="baseline"/>
        </w:rPr>
        <w:t> [*451] </w:t>
      </w:r>
      <w:r>
        <w:rPr>
          <w:rFonts w:ascii="arial" w:eastAsia="arial" w:hAnsi="arial" w:cs="arial"/>
          <w:b w:val="0"/>
          <w:i w:val="0"/>
          <w:strike w:val="0"/>
          <w:noProof w:val="0"/>
          <w:color w:val="000000"/>
          <w:position w:val="0"/>
          <w:sz w:val="20"/>
          <w:u w:val="none"/>
          <w:vertAlign w:val="baseline"/>
        </w:rPr>
        <w:t xml:space="preserve"> activities and CJR activities to describe activities in support of the goals of the models, as well as CMS' proposed approach of utilizing these definitions as the comprehensive framework for capturing both direct patient care and care redesign for EPM and CJR episodes. Several commenters also supported CMS' proposal that the methodology for determining gainsharing payments may take into account the amount of EPM or CJR activities provided by an EPM or CJR collaborator relative to other EPM or CJR collaborators, and the application of this same standard to distribution payments and downstream distribution payments. One commenter commended CMS for recognizing that risk-sharing between EPM participants and CJR participant hospital and their collaborators should involve more elasticity by accounting for the effects of the collaborator's overall participation and involvement. Another commenter claimed that this approach would provide EPM participants and CJR participant hospitals greater flexibility to incentivize care redesign by allowing more actively involved physicians who participate in care redesign to receive higher gainsharing payments as compared to physicians that may only care for a few model beneficiaries and may not be actively involved in care redesign. One commenter recommended that CMS should add to the definitions of EPM activities and CJR activities a consideration of the long-term patient experience and outcomes to ensure that these definitions do not undermine consideration of decisions that potentially impact long-term value beyond the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support for our proposal to adopt the terms EPM activities and CJR activities and to use these as a framework for capturing items and services furnished directly to beneficiaries in the EPM and CJR model and care redesign efforts for EPM episodes and CJR episodes. We also appreciate the commenters' support for our proposal that the methodology for determining gainsharing payments may take into account the amount of EPM activities or CJR activities provided by an EPM collaborator or CJR collaborator relative to other EPM collaborators or CJR collaborators, and the use of this same standard for distribution payments and downstream distribution payments. We agree with the commenters that this standard provides important flexibility for EPM participants and CJR participant hospitals to more effectively align the financial incentives of providers, suppliers, and ACO with the goals of the EPM and CJR model to improve the quality of care and reduce the cost of episode care by allowing financial arrangements to account for the level of the collaborator, collaboration agent, or downstream collaboration agent's overall participation and involvement in beneficiary care and care redesign.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appreciate the interest of the commenter who sought to ensure that care redesign under the EPM and CJR model does not lead to care pathways that may negatively impact long-term patient experience and outcomes, we do not believe it would be appropriate to add consideration of long-term patient experience and outcomes to the definition of EPM activities and CJR activities. The goals of the EPM and CJR model are focused on the quality and efficiency of episode care and, therefore, we believe that the definition of EPM activities and CJR activities that are part of the basis for payments under financial arrangements in the EPM and CJR model should include only those activities related to the immediate goals of the EPM and CJR model. However, as discussed in section IV. of this final rule, the evaluation of the EPM, like the evaluation of the CJR model </w:t>
      </w:r>
      <w:hyperlink r:id="rId21" w:history="1">
        <w:r>
          <w:rPr>
            <w:rFonts w:ascii="arial" w:eastAsia="arial" w:hAnsi="arial" w:cs="arial"/>
            <w:b w:val="0"/>
            <w:i/>
            <w:strike w:val="0"/>
            <w:noProof w:val="0"/>
            <w:color w:val="0077CC"/>
            <w:position w:val="0"/>
            <w:sz w:val="20"/>
            <w:u w:val="single"/>
            <w:vertAlign w:val="baseline"/>
          </w:rPr>
          <w:t>(80 FR 73528</w:t>
        </w:r>
      </w:hyperlink>
      <w:r>
        <w:rPr>
          <w:rFonts w:ascii="arial" w:eastAsia="arial" w:hAnsi="arial" w:cs="arial"/>
          <w:b w:val="0"/>
          <w:i w:val="0"/>
          <w:strike w:val="0"/>
          <w:noProof w:val="0"/>
          <w:color w:val="000000"/>
          <w:position w:val="0"/>
          <w:sz w:val="20"/>
          <w:u w:val="none"/>
          <w:vertAlign w:val="baseline"/>
        </w:rPr>
        <w:t xml:space="preserve"> through 73530), will examine the impact of the EPM on outcomes and quality, including during the period following the end of episodes and on measures of relevant long-term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finalizing in § 512.2 the definition of EPM activities and use that term throughout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EPM financial arrangements.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requested that CMS provide additional guidance on the compliance program required for EPM collaborators. The commenter expressed appreciation for the discussion in the proposed rule that a collaborator's compliance program need not take any one particular form and further, that there is no "one size fits all" compliance program. However, the commenter stated that the requirement that an EPM collaborator include oversight of not only the sharing arrangement, but compliance with the requirements of the entire EPM, is a large undertaking for any one collaborator, let alone a collaborator who is a solo practitioner. The commenter urged CMS to consider the practical implications of this compliance program requirement in the event an EPM participant contracts with a physician individually, and that physician is also a member of a PGP that is not an EPM collaborator.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of the commenter in the implication of the proposed requirement for an EPM collaborator to have a compliance program, particularly for collaborators who are individuals. In our proposed requirements for sharing arrangements, we proposed in § 512.500(b)(4) that the sharing arrangement must require the EPM collaborator to have a compliance program that includes oversight of the sharing arrangement and compliance with the requirements of the EPM. Any individual or entity that wants the benefits of becoming a collaborator must also accept the responsibility to ensure that its collaboration complies with the requirements of the EPM. The proposal requires that each collaborator implement mechanisms to promote compliance, while giving each collaborator the discretion to determine which mechanisms are appropriate for that individual or entity. Our intent is to require the EPM collaborator's compliance program to monitor its own conduct and relationships only, in contrast with policing independent, third parties with whom it does not have any direct relationship. The goal is for the EPM collaborator's compliance efforts to look not just at its financial relationship with the EPM participant but at the collaborator's overall compliance with the requirements of the model (for example, collaborator performance of clinical care under the model; the propriety of any distribution arrangements). Moreover, we believe that the requirement for a collaborator to have a compliance program should not be understood as requiring each collaborator to independently maintain a separate compliance program, but rather that every collaborator must be covered by a compliance program that includes the required oversight. For example, it may not be practical for each member of a PGP to separately maintain his or her own compliance program. However, the EPM requirement could still be met if the PGP has a compliance program that covers the PGP member and that includes oversight of the PGP member's sharing arrangement and the PGP member's compliance with the requirements of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while we continue to believe that it is appropriate to require all EPM collaborators, including individual practitioners, to be covered by a compliance program that includes oversight of the sharing arrangement, we are clarifying that the collaborator's obligations may be met if the collaborator either has or is covered by a compliance program that includes the appropriate oversight of the collaborator, and that the requirements of the EPM that are relevant for the EPM </w:t>
      </w:r>
      <w:r>
        <w:rPr>
          <w:rFonts w:ascii="arial" w:eastAsia="arial" w:hAnsi="arial" w:cs="arial"/>
          <w:b/>
          <w:i w:val="0"/>
          <w:strike w:val="0"/>
          <w:noProof w:val="0"/>
          <w:color w:val="000000"/>
          <w:position w:val="0"/>
          <w:sz w:val="20"/>
          <w:u w:val="none"/>
          <w:vertAlign w:val="baseline"/>
        </w:rPr>
        <w:t> [*452] </w:t>
      </w:r>
      <w:r>
        <w:rPr>
          <w:rFonts w:ascii="arial" w:eastAsia="arial" w:hAnsi="arial" w:cs="arial"/>
          <w:b w:val="0"/>
          <w:i w:val="0"/>
          <w:strike w:val="0"/>
          <w:noProof w:val="0"/>
          <w:color w:val="000000"/>
          <w:position w:val="0"/>
          <w:sz w:val="20"/>
          <w:u w:val="none"/>
          <w:vertAlign w:val="baseline"/>
        </w:rPr>
        <w:t xml:space="preserve"> collaborator's compliance program are those requirements of the EPM that apply to its role as an EPM collaborator, including any distribution arrangements, rather than all requirements of the entire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in § 512.500(b)(4) that the EPM collaborator must have or be covered by a compliance program that includes oversight of the sharing arrangement and compliance with the requirements of the EPM that apply to its role as an EPM collaborator, including any distribution arrangements.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clarification about the timing for entering into sharing arrangements, distribution arrangements, or downstream distribution arrangements with respect to EPM episodes in view of CMS' proposals that the three types of arrangements must be in writing and signed by the parties, and entered into before care is furnished to EPM beneficiaries under the applicable arrangement. One commenter further inquired about whether a sharing arrangement needs to be signed prior to an episode beginning in order for an EPM collaborator to receive a gainsharing payment for savings associated with the episode or whether it is also possible for a collaborator to receive a gainsharing payment for savings associated with the episode if the sharing arrangement is signed prior to an episode ending.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need to understand when "care is furnished to EPM beneficiaries under the applicable arrangement" in order to ensure that execution of the written agreements is timely. A sharing arrangement, distribution arrangement, or downstream distribution arrangement requires that the amount of a gainsharing payment, distribution payment, or downstream distribution payment to an EPM collaborator, collaboration agent, or downstream collaboration agent, respectively be determined in accordance with a methodology that is substantially based on the quality of care and the provision of EPM activities, which by definition must be for EPM beneficiaries during EPM episodes. EPM activities include, but are not limited to, billable items and services furnished to EPM beneficiaries during EPM episodes. Therefore, "care is furnished to EPM beneficiaries under the applicable arrangement" when the individual or entity in the financial arrangement (or designee to the extent permitted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first provides EPM activities that may be considered in the methodology for determining the amount of the applicable payment. Accordingly, the written agreement memorializing the sharing arrangement, distribution arrangement, or downstream distribution arrangement must have been signed by the parties and entered into before the date the first EPM activities that may be considered in the methodology for determining the applicable payment amount are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once a sharing arrangement is signed by an EPM collaborator in a performance year, there is no restriction for that performance year on the timing of the specific episodes that result in savings that can be paid to the EPM collaborator as a gainsharing payment. According to our requirements in § 512.500(b)(2), to be eligible to receive a gainsharing payment, an EPM collaborator must meet quality of care criteria for the performance year for which the EPM participant accrued the internal cost savings or earned the reconciliation payment that comprises the gainsharing payment, as well as meet the other criteria specific to the type of collaborator, namely directly furnished an item or service to an EPM beneficiary during an EPM episode; billed for an item or service that was rendered by one or more PGP member, NPPGP member, or TGP member respectively to an EPM beneficiary during an EPM episode, contributed to EPM activities, and been clinically involved in the care of EPM beneficiaries; or had an ACO provider/supplier that directly furnished, or an ACO participant that billed for, an item or service that was rendered to an EPM beneficiary during an EPM episode, contributed to EPM activities, and been clinically involved in the care of EPM beneficiaries during the same performance year for which the EPM participant accrued the internal cost savings or earned the reconciliation payment that comprises the gainsharing payment.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512.500(b) for the requirements for EPM sharing arrangements, with modification to specify that the EPM collaborator must have or be covered by a compliance program which must include oversight of the sharing arrangement and compliance with the requirements of the EPM that apply to its role as an EPM collaborator, including any distribution arrangements. We are also modifying our proposal as discussed previously and removing the requirement that the written agreement memorializing a sharing arrangement include management and staffing information, a change which results in renumbering proposed § 512.500(b)(7)(v) (requiring the financial or economic terms for payment be specified in the written agreement about the sharing arrangement) to § 512.500(b)(7)(iv). EPM sharing arrangements must meet the following general requirements:</w:t>
      </w:r>
    </w:p>
    <w:p>
      <w:pPr>
        <w:keepNext w:val="0"/>
        <w:numPr>
          <w:numId w:val="4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sharing arrangement must be in writing and signed by the parties, and entered into before care is furnished to EPM beneficiaries under the sharing arrangement.</w:t>
      </w:r>
    </w:p>
    <w:p>
      <w:pPr>
        <w:keepNext w:val="0"/>
        <w:numPr>
          <w:numId w:val="4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a sharing arrangement must be voluntary and without penalty for nonparticipation.</w:t>
      </w:r>
    </w:p>
    <w:p>
      <w:pPr>
        <w:keepNext w:val="0"/>
        <w:numPr>
          <w:numId w:val="4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require the EPM collaborator and its employees, contractors (including collaboration agents), and subcontractors (including downstream collaboration agents) to comply with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applicable provisions of this part (including requirements regarding beneficiary notifications, access to records, record retention, and participation in any evaluation, monitoring, compliance, and enforcement activities performed by CMS or its designees);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All applicable Medicare provider enrollment requirements at § 424.500 of this chapter, including having a valid and active TIN or NPI, during the term of the sharing arrangement;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require the EPM collaborator to have or be covered by a compliance program that includes oversight of the sharing arrangement and compliance with the requirements of the EPM that apply to its role as an EPM collaborator, including any distribution arrangements.</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not pose a risk to beneficiary access, beneficiary freedom of choice, or quality of care.</w:t>
      </w:r>
    </w:p>
    <w:p>
      <w:pPr>
        <w:keepNext w:val="0"/>
        <w:numPr>
          <w:numId w:val="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board or other governing body of the EPM participant must have responsibility for overseeing the EPM participant's participation in the EPM, its arrangements with EPM collaborators, its payment of gainsharing payments, its receipt of alignment payments, and its use of beneficiary incentives in the EPM.</w:t>
      </w:r>
    </w:p>
    <w:p>
      <w:pPr>
        <w:keepNext w:val="0"/>
        <w:numPr>
          <w:numId w:val="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written agreement memorializing a sharing arrangement must specify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purpose and scope of the sharing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identities and obligations of the parties, including specified EPM activities and other services to be performed by the parties under the sharing arrangement; </w:t>
      </w:r>
      <w:r>
        <w:rPr>
          <w:rFonts w:ascii="arial" w:eastAsia="arial" w:hAnsi="arial" w:cs="arial"/>
          <w:b/>
          <w:i w:val="0"/>
          <w:strike w:val="0"/>
          <w:noProof w:val="0"/>
          <w:color w:val="000000"/>
          <w:position w:val="0"/>
          <w:sz w:val="20"/>
          <w:u w:val="none"/>
          <w:vertAlign w:val="baseline"/>
        </w:rPr>
        <w:t> [*453]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date of the sharing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financial or economic terms for payment, including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criteria for a gainsharing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criteria for an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--Frequency of gainsharing or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--Methodology and accounting formula for determining the amount of a gainsharing payment that is substantially based on quality of care and the provision of EPM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--Methodology and accounting formula for determining the amount of an alignment payment.</w:t>
      </w:r>
    </w:p>
    <w:p>
      <w:pPr>
        <w:keepNext w:val="0"/>
        <w:numPr>
          <w:numId w:val="5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Induce the EPM participant, EPM collaborator, or any employees, contractors, or subcontractors of the EPM participant or EPM collaborator to reduce or limit medically necessary services to any Medicare beneficiary;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Restrict the ability of an EPM collaborator to make decisions in the best interests of its patients, including the selection of devices, supplies, and treatments.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Gainsharing Payment, Alignment Payment, and Internal Cost Savings Conditions and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a number of conditions and limitations for gainsharing payments, alignment payments, and internal cost savings as program integrity protections for the payments to and from EPM collaborators. We proposed to require that gainsharing payments be derived solely from reconciliation payments, internal costs savings, or both; that they be distributed on an annual basis, not more than once per calendar year; that they not be a loan, advance payment, or payment for referrals or other business; and that they be clearly identified as a gainsharing payment at the time they are paid.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discussed our belief that gainsharing payment eligibility for EPM collaborators should be conditioned on two requirements--(1) meeting quality of care criteria; and (2) rendering items and services to EPM beneficiaries during EPM episodes--as safeguards to ensure that eligibility for gainsharing payments would be solely based on aligning financial incentives for EPM collaborators with the EPM goals of improving EPM episode quality and efficiency. With respect to the first requirement, we proposed that to be eligible to receive a gainsharing payment, an EPM collaborator must meet quality of care criteria for the performance year for which the EPM participant accrued the internal cost savings or earned the reconciliation payment that comprised the gainsharing payment. The quality of care criteria that would be established by the EPM participant must be directly related to EPM episodes. With regard to the second requirement, which is also applicable to being required to make an alignment payment, we proposed different criteria depending on the type of collaborator involved. We proposed that to be eligible to receive a gainsharing payment, an EPM collaborator other than a PGP or an ACO must have directly furnished a billable item or service to an EPM beneficiary during an EPM episode that occurred in the same performance year for which the EPM participant accrued the internal cost savings or earned the reconciliation payment that comprised the gainsharing payment or was assessed a repayment amount. For purposes of this requirement, we considered a collaborator that is a hospital, CAH, or post-acute care provider to have "directly furnished" a billable service if one of these entities billed for an item or service for an EPM beneficiary during an EPM episode that occurred in the same performance year for which the EPM participant accrued the internal cost savings or earned the reconciliation payment that comprised the gainsharing payment or was assessed a repayment amount. We explained that the phrase "performance year for which the EPM participant accrued the internal cost savings or earned the reconciliation payment that comprised the gainsharing payment or was assessed a repayment amount" did not mean the year in which the gainsharing payment was made. These proposed requirements would ensure that there is a required relationship between eligibility for a gainsharing payment and the quality of direct care for EPM beneficiaries during EPM episodes for these EPM collaborators. We believed the provision of direct care was essential to the implementation of effective care redesign, and the requirement would provide a safeguard against payments to EPM collaborators other than a PGP or an ACO that were unrelated to direct care for EPM beneficiaries during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establish variations on this requirement for PGPs and ACOs because these entities do not themselves directly furnish billable services. We proposed that for a PGP to be eligible to receive a gainsharing payment or required to make an alignment payment, the PGP must have billed for an item or service that was rendered by one or more members of the PGP to an EPM beneficiary during an EPM episode that occurred during the same performance year for which the EPM participant accrued the internal cost savings or earned the reconciliation payment that comprised the gainsharing payment or was assessed a repayment amount. We proposed that for an ACO to be eligible to receive a gainsharing payment or required to make an alignment payment, the ACO must have had an ACO provider/supplier that directly furnished, or an ACO participant that billed for, an item or service that was rendered to an EPM beneficiary during an EPM episode that occurred during the same performance year for which the EPM participant accrued the internal cost savings or earned the reconciliation payment that comprised the gainsharing payment or was assessed a repayment amount. With respect to ACOs, we proposed that an "ACO participant" and "ACO provider/supplier" have the meaning set forth in § 425.20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Thus, these proposed variations on the requirements for other collaborator types also required a linkage between the EPM collaborator that is the PGP or ACO and the provision of items and services to EPM beneficiaries during EPM episodes by PGP members or ACO participants or ACO providers/suppliers,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we further proposed that because PGPs and ACOs do not directly furnish items and services to beneficiaries, in order to be eligible to receive a gainsharing payment or be required to make an alignment payment, the PGP or ACO must have contributed to EPM activities and been clinically involved in the care of EPM beneficiaries during the same performance year for which the EPM participant accrued the internal cost savings or earned the reconciliation payment that comprised the gainsharing payment or was assessed a repayment amount. For example, a PGP or ACO might have been clinically involved in the care of EPM beneficiaries by providing care coordination services to EPM beneficiaries during and/or after inpatient admission; engaging with an EPM participant in care redesign strategies, and actually performing a role in implementing such strategies that were designed to improve the quality of care for EPM episodes and reduce EPM episode spending; or in coordination with providers and suppliers (such as members of the PGP, ACO participants, ACO providers/suppliers, the EPM participant, and post-acute care providers), </w:t>
      </w:r>
      <w:r>
        <w:rPr>
          <w:rFonts w:ascii="arial" w:eastAsia="arial" w:hAnsi="arial" w:cs="arial"/>
          <w:b/>
          <w:i w:val="0"/>
          <w:strike w:val="0"/>
          <w:noProof w:val="0"/>
          <w:color w:val="000000"/>
          <w:position w:val="0"/>
          <w:sz w:val="20"/>
          <w:u w:val="none"/>
          <w:vertAlign w:val="baseline"/>
        </w:rPr>
        <w:t> [*454] </w:t>
      </w:r>
      <w:r>
        <w:rPr>
          <w:rFonts w:ascii="arial" w:eastAsia="arial" w:hAnsi="arial" w:cs="arial"/>
          <w:b w:val="0"/>
          <w:i w:val="0"/>
          <w:strike w:val="0"/>
          <w:noProof w:val="0"/>
          <w:color w:val="000000"/>
          <w:position w:val="0"/>
          <w:sz w:val="20"/>
          <w:u w:val="none"/>
          <w:vertAlign w:val="baseline"/>
        </w:rPr>
        <w:t xml:space="preserve"> implementing strategies designed to address and manage the comorbidities of EPM beneficiaries.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internal cost savings might be shared through gainsharing payments with EPM collaborators, we proposed certain requirements for their calculation as a program integrity safeguard. First, the methodology for accruing, calculating and verifying internal cost savings must be transparent, measurable, and verifiable in accordance with generally accepted accounting principles (GAAP) and Government Auditing Standards (The Yellow Book). Second, because we believed it would be necessary that the internal cost savings reflect care redesign under the EPM in order to be eligible to be shared through gainsharing payments, the methodology used to calculate internal cost savings must reflect the actual, internal cost savings achieved by the EPM participant through the documented implementation of EPM activities identified by the EPM participant and must exclude any savings realized by any individual or entity that was not the EPM participant and "paper" savings from accounting conventions or past investment in fixed costs. In the proposed rule, we noted that, unlike the current CJR model policy where we require that sharing arrangements document the methodology for accruing, calculating, and verifying the internal cost savings generated by the participant hospital based on the care redesign elements specifically associated with the particular collaborator </w:t>
      </w:r>
      <w:hyperlink r:id="rId21" w:history="1">
        <w:r>
          <w:rPr>
            <w:rFonts w:ascii="arial" w:eastAsia="arial" w:hAnsi="arial" w:cs="arial"/>
            <w:b w:val="0"/>
            <w:i/>
            <w:strike w:val="0"/>
            <w:noProof w:val="0"/>
            <w:color w:val="0077CC"/>
            <w:position w:val="0"/>
            <w:sz w:val="20"/>
            <w:u w:val="single"/>
            <w:vertAlign w:val="baseline"/>
          </w:rPr>
          <w:t>(80 FR 73431),</w:t>
        </w:r>
      </w:hyperlink>
      <w:r>
        <w:rPr>
          <w:rFonts w:ascii="arial" w:eastAsia="arial" w:hAnsi="arial" w:cs="arial"/>
          <w:b w:val="0"/>
          <w:i w:val="0"/>
          <w:strike w:val="0"/>
          <w:noProof w:val="0"/>
          <w:color w:val="000000"/>
          <w:position w:val="0"/>
          <w:sz w:val="20"/>
          <w:u w:val="none"/>
          <w:vertAlign w:val="baseline"/>
        </w:rPr>
        <w:t xml:space="preserve"> we did not propose to require in the EPM that the calculation of internal cost savings be tied to the activities of any specific EPM collaborator. Rather, we believed it would be appropriate for EPM participants to calculate internal cost savings based on the implementation of EPM activities and then provide gainsharing payments to EPM collaborators that might include internal cost savings, reconciliation payments, or both based on a methodology that met the requirements described later in this section. We proposed this same change to the internal cost savings calculation requirements for the CJR model in section V.J. of the proposed rule </w:t>
      </w:r>
      <w:hyperlink r:id="rId9" w:history="1">
        <w:r>
          <w:rPr>
            <w:rFonts w:ascii="arial" w:eastAsia="arial" w:hAnsi="arial" w:cs="arial"/>
            <w:b w:val="0"/>
            <w:i/>
            <w:strike w:val="0"/>
            <w:noProof w:val="0"/>
            <w:color w:val="0077CC"/>
            <w:position w:val="0"/>
            <w:sz w:val="20"/>
            <w:u w:val="single"/>
            <w:vertAlign w:val="baseline"/>
          </w:rPr>
          <w:t>(81 FR 50961).</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limit the total amount of gainsharing payments for a performance year to EPM collaborators that were physicians, nonphysician practitioners, or PGPs. For EPM collaborators that were physicians or nonphysician practitioners, that proposed limit was 50 percent of the Medicare-approved amounts under the PFS for items and services furnished by that physician or nonphysician practitioner to the EPM participant's EPM beneficiaries during EPM episodes that occurred during the same performance year for which the EPM participant accrued the internal cost savings or earned the reconciliation payment that comprised the gainsharing payment being made. For EPM collaborators that were PGPs, the proposed limit was 50 percent of the Medicare-approved amounts under the PFS for items and services billed by the PGP and furnished to the EPM participant's EPM beneficiaries by members of the PGP during EPM episodes that occurred during the same performance year for which the EPM participant accrued the internal cost savings or earned the reconciliation payment that comprised the gainsharing payment being made. These proposed limits were consistent with those in the CJR model </w:t>
      </w:r>
      <w:hyperlink r:id="rId21" w:history="1">
        <w:r>
          <w:rPr>
            <w:rFonts w:ascii="arial" w:eastAsia="arial" w:hAnsi="arial" w:cs="arial"/>
            <w:b w:val="0"/>
            <w:i/>
            <w:strike w:val="0"/>
            <w:noProof w:val="0"/>
            <w:color w:val="0077CC"/>
            <w:position w:val="0"/>
            <w:sz w:val="20"/>
            <w:u w:val="single"/>
            <w:vertAlign w:val="baseline"/>
          </w:rPr>
          <w:t>(80 FR 73430).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amount of any gainsharing payments must be determined in accordance with a methodology that was substantially based on quality of care and the provision of EPM activities. The methodology could take into account the amount of such EPM activities provided by an EPM collaborator relative to other EPM collaborators. While we emphasized in the proposed rule that financial arrangements may not be conditioned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 so that their sole purpose was to align the financial incentives of the EPM participant and EPM collaborators toward the EPM goals of improved EPM episode care quality and efficiency, we believed that accounting for the relative amount of EPM activities by EPM collaborators in the determination of gainsharing payments did not undermine this objective. Rather, the proposed requirement would allow flexibility in the determination of gainsharing payments where the amount of an EPM collaborator's provision of EPM activities (including direct care) to EPM beneficiaries during EPM episodes might contribute to both the internal cost savings and EPM participant's reconciliation payment that might be available for making a gainsharing payment. Greater contributions of EPM activities by one EPM collaborator versus another EPM collaborator that resulted in greater differences in the funds available for gainsharing payments could be appropriately valued in the methodology used to make gainsharing payments to those EPM collaborators in order to reflect these differences in EPM activities among EPM collaborators. For example, a physician who was an EPM collaborator who treated 100 EPM beneficiaries during EPM episodes that resulted in high quality, less costly care could receive a larger gainsharing payment than a physician who was an EPM collaborator who treated 10 EPM beneficiaries during episodes that similarly resulted in high quality, less costly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we did not believe it would be appropriate to allow the selection of EPM collaborators or the opportunity to make or receive a gainsharing payment or an alignment payment to take into the account the amount of EPM activities provided by a potential or actual EPM collaborator relative to other potential or actual EPM collaborators because these financial relationships were not to be based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 Specifically, with respect to the selection of EPM collaborators or the opportunity to make or receive a gainsharing payment or an alignment payment, we did not believe that the amount of EPM activities provided by a potential or actual EPM collaborator relative to other potential or actual EPM collaborators could be taken into consideration by the EPM participant without a significant risk that the financial arrangement in those instances could be based directly or indirectly on the volume or value of past or anticipated referrals or business generated by, between or among the parties. Similarly, if the methodology for determining alignment payments was allowed to take into the account the amount of EPM activities provided by an EPM collaborator relative to other EPM collaborators there would be a significant risk that the financial arrangement could directly account for the volume or value of past or anticipated referrals or business generated by, between or among the </w:t>
      </w:r>
      <w:r>
        <w:rPr>
          <w:rFonts w:ascii="arial" w:eastAsia="arial" w:hAnsi="arial" w:cs="arial"/>
          <w:b/>
          <w:i w:val="0"/>
          <w:strike w:val="0"/>
          <w:noProof w:val="0"/>
          <w:color w:val="000000"/>
          <w:position w:val="0"/>
          <w:sz w:val="20"/>
          <w:u w:val="none"/>
          <w:vertAlign w:val="baseline"/>
        </w:rPr>
        <w:t> [*455] </w:t>
      </w:r>
      <w:r>
        <w:rPr>
          <w:rFonts w:ascii="arial" w:eastAsia="arial" w:hAnsi="arial" w:cs="arial"/>
          <w:b w:val="0"/>
          <w:i w:val="0"/>
          <w:strike w:val="0"/>
          <w:noProof w:val="0"/>
          <w:color w:val="000000"/>
          <w:position w:val="0"/>
          <w:sz w:val="20"/>
          <w:u w:val="none"/>
          <w:vertAlign w:val="baseline"/>
        </w:rPr>
        <w:t xml:space="preserve"> parties and, therefore, we proposed that the methodology for determining alignment payments could not directly take into account the volume or value of past or anticipated referrals or business generated by, between or among the parties.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a change to this same standard for gainsharing payments under the CJR model as discussed in section V.J. of the proposed rule </w:t>
      </w:r>
      <w:hyperlink r:id="rId9" w:history="1">
        <w:r>
          <w:rPr>
            <w:rFonts w:ascii="arial" w:eastAsia="arial" w:hAnsi="arial" w:cs="arial"/>
            <w:b w:val="0"/>
            <w:i/>
            <w:strike w:val="0"/>
            <w:noProof w:val="0"/>
            <w:color w:val="0077CC"/>
            <w:position w:val="0"/>
            <w:sz w:val="20"/>
            <w:u w:val="single"/>
            <w:vertAlign w:val="baseline"/>
          </w:rPr>
          <w:t>(81 FR 50961</w:t>
        </w:r>
      </w:hyperlink>
      <w:r>
        <w:rPr>
          <w:rFonts w:ascii="arial" w:eastAsia="arial" w:hAnsi="arial" w:cs="arial"/>
          <w:b w:val="0"/>
          <w:i w:val="0"/>
          <w:strike w:val="0"/>
          <w:noProof w:val="0"/>
          <w:color w:val="000000"/>
          <w:position w:val="0"/>
          <w:sz w:val="20"/>
          <w:u w:val="none"/>
          <w:vertAlign w:val="baseline"/>
        </w:rPr>
        <w:t xml:space="preserve"> through 50962). We sought comment on this proposal for gainsharing payments, where the methodology may take into account the amount of EPM activities provided by an EPM collaborator relative to other EPM collaborators. We were particularly interested in comments about whether this standard would provide sufficient additional flexibility in the gainsharing payment methodology to allow the financial reward of EPM collaborators commensurate with their level of effort that achieved improvements in EPM episode quality and efficiency. In addition, we were interested in comments on whether additional safeguards or a different standard was needed to allow for greater flexibility to provide certain performance-based payments consistent with the goals of program integrity, protecting against abuse and ensuring the goals of the EPM were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for a performance year, the aggregate amount of all gainsharing payments that were derived from a reconciliation payment must not exceed the amount of the reconciliation payment the EPM participant received from CMS. In accordance with the prior discussion, no entity or individual, whether a party to a sharing arrangement or not, may condition the opportunity to make or receive gainsharing payments or to make or receive alignment payments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 We proposed that an EPM participant must not make a gainsharing payment to an EPM collaborator that was subject to any action for noncompliance with this part or the fraud and abuse laws, or for the provision of substandard care in EPM episodes or other integrity problems. Finally, we proposed that the sharing arrangement must require the EPM participant to recoup any gainsharing payment that contained funds derived from a CMS overpayment on a reconciliation report or was based on the submission of false or fraudulent data. These requirements would provide program integrity safeguards for gainsharing under sharing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alignment payments, we proposed that alignment payments from an EPM collaborator to an EPM participant may be made at any interval that was agreed upon by both parties. They must not be issued, distributed, or paid prior to the calculation by CMS of a repayment amount reflected in a reconciliation report; loans, advance payments, or payments for referrals or other business; or assessed by an EPM participant if it did not owe a repayment amount. The EPM participant must not receive any amounts under a sharing arrangement from an EPM collaborator that were not alignment payments.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proposed certain limitations on alignment payments that were consistent with the CJR model </w:t>
      </w:r>
      <w:hyperlink r:id="rId21" w:history="1">
        <w:r>
          <w:rPr>
            <w:rFonts w:ascii="arial" w:eastAsia="arial" w:hAnsi="arial" w:cs="arial"/>
            <w:b w:val="0"/>
            <w:i/>
            <w:strike w:val="0"/>
            <w:noProof w:val="0"/>
            <w:color w:val="0077CC"/>
            <w:position w:val="0"/>
            <w:sz w:val="20"/>
            <w:u w:val="single"/>
            <w:vertAlign w:val="baseline"/>
          </w:rPr>
          <w:t>(80 FR 73430).</w:t>
        </w:r>
      </w:hyperlink>
      <w:r>
        <w:rPr>
          <w:rFonts w:ascii="arial" w:eastAsia="arial" w:hAnsi="arial" w:cs="arial"/>
          <w:b w:val="0"/>
          <w:i w:val="0"/>
          <w:strike w:val="0"/>
          <w:noProof w:val="0"/>
          <w:color w:val="000000"/>
          <w:position w:val="0"/>
          <w:sz w:val="20"/>
          <w:u w:val="none"/>
          <w:vertAlign w:val="baseline"/>
        </w:rPr>
        <w:t xml:space="preserve"> For a performance year, we proposed that the aggregate amount of all alignment payments received by the EPM participant must not exceed 50 percent of the EPM participant's repayment amount. Given that the EPM participant would be responsible for developing and coordinating care redesign strategies in response to its EPM participation, we believed it was important that the participant retain a significant portion of its responsibility for repayment to CMS. For example, upon receipt of a reconciliation report indicating that the EPM participant owed $ 100 to CMS, the EPM participant would be permitted to receive no more than $ 50 in alignment payments, in the aggregate, from its EPM collaborators. In addition, we proposed that the aggregate amount of all alignment payments from an EPM collaborator to the EPM participant may not be greater than 25 percent of the EPM participant's repayment amount for an EPM collaborator that was not an ACO and 50 percent of the EPM participant's repayment amount for an EPM collaborator that was an ACO. We proposed to allow a higher percentage of the EPM participant's repayment amount to be paid by an ACO than by EPM collaborators that were not ACOs in recognition that some ACOs are sizable organizations with significant financial and other resources. In addition, their expertise in managing the cost and quality of care for Medicare beneficiaries over a period of time may make some ACOs uniquely capable of sharing a higher percentage of downside risk under the EPM with the EPM participant under a sharing arrangement between the ACO and EPM participant that met all requirements for such arrangements, including that participation in the sharing arrangement must be voluntary and without penalty for nonparticipation as discussed previously. We sought comment on our proposed aggregate and individual EPM collaborator limitations on alignment payments, and particularly on the proposed limitation that would apply to ACOs that are EPM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examples in the proposed rule illustrated the effects of the proposed limitations on alignment payments. In one scenario, upon receipt of a reconciliation report indicating that the EPM participant owed $ 100 to CMS, the EPM participant would be permitted to receive no more than $ 25 in an alignment payment from a single entity or individual that was one of the EPM participant's EPM collaborators that was not an ACO. In the second scenario where an ACO was an EPM collaborator, upon receipt of that same reconciliation report, the EPM participant would be permitted to receive no more than $ 50 in an alignment payment from the ACO. Finally, in accordance with the prior discussion, the methodology for determining alignment payments must not directly account for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all gainsharing payments and any alignment payments must be administered by the EPM participant in accordance with GAAP and Government Auditing Standards (The Yellow Book). Additionally, we proposed that all gainsharing payments and alignment payments must be made by check, electronic funds transfer, or another traceable cash transaction. We noted that while the CJR model required gainsharing payments and alignment payments to be made by electronic funds transfer (EFT) </w:t>
      </w:r>
      <w:hyperlink r:id="rId21" w:history="1">
        <w:r>
          <w:rPr>
            <w:rFonts w:ascii="arial" w:eastAsia="arial" w:hAnsi="arial" w:cs="arial"/>
            <w:b w:val="0"/>
            <w:i/>
            <w:strike w:val="0"/>
            <w:noProof w:val="0"/>
            <w:color w:val="0077CC"/>
            <w:position w:val="0"/>
            <w:sz w:val="20"/>
            <w:u w:val="single"/>
            <w:vertAlign w:val="baseline"/>
          </w:rPr>
          <w:t>(80 FR 73431),</w:t>
        </w:r>
      </w:hyperlink>
      <w:r>
        <w:rPr>
          <w:rFonts w:ascii="arial" w:eastAsia="arial" w:hAnsi="arial" w:cs="arial"/>
          <w:b w:val="0"/>
          <w:i w:val="0"/>
          <w:strike w:val="0"/>
          <w:noProof w:val="0"/>
          <w:color w:val="000000"/>
          <w:position w:val="0"/>
          <w:sz w:val="20"/>
          <w:u w:val="none"/>
          <w:vertAlign w:val="baseline"/>
        </w:rPr>
        <w:t xml:space="preserve"> we proposed a different requirement for the EPM to provide additional flexibility for entities making gainsharing payments and alignment payments. We made this proposal to mitigate the administrative burden that the EFT requirement would place on the financial arrangements between certain EPM participants and EPM collaborators, especially individual physicians and nonphysician practitioners and small PGPs, which could discourage participation of those suppliers as EPM collaborators. We </w:t>
      </w:r>
      <w:r>
        <w:rPr>
          <w:rFonts w:ascii="arial" w:eastAsia="arial" w:hAnsi="arial" w:cs="arial"/>
          <w:b/>
          <w:i w:val="0"/>
          <w:strike w:val="0"/>
          <w:noProof w:val="0"/>
          <w:color w:val="000000"/>
          <w:position w:val="0"/>
          <w:sz w:val="20"/>
          <w:u w:val="none"/>
          <w:vertAlign w:val="baseline"/>
        </w:rPr>
        <w:t> [*456] </w:t>
      </w:r>
      <w:r>
        <w:rPr>
          <w:rFonts w:ascii="arial" w:eastAsia="arial" w:hAnsi="arial" w:cs="arial"/>
          <w:b w:val="0"/>
          <w:i w:val="0"/>
          <w:strike w:val="0"/>
          <w:noProof w:val="0"/>
          <w:color w:val="000000"/>
          <w:position w:val="0"/>
          <w:sz w:val="20"/>
          <w:u w:val="none"/>
          <w:vertAlign w:val="baseline"/>
        </w:rPr>
        <w:t xml:space="preserve"> proposed a change to adopt this same standard under the CJR model as discussed in section V.J. of the proposed rule </w:t>
      </w:r>
      <w:hyperlink r:id="rId9" w:history="1">
        <w:r>
          <w:rPr>
            <w:rFonts w:ascii="arial" w:eastAsia="arial" w:hAnsi="arial" w:cs="arial"/>
            <w:b w:val="0"/>
            <w:i/>
            <w:strike w:val="0"/>
            <w:noProof w:val="0"/>
            <w:color w:val="0077CC"/>
            <w:position w:val="0"/>
            <w:sz w:val="20"/>
            <w:u w:val="single"/>
            <w:vertAlign w:val="baseline"/>
          </w:rPr>
          <w:t>(81 FR 50962).</w:t>
        </w:r>
      </w:hyperlink>
      <w:r>
        <w:rPr>
          <w:rFonts w:ascii="arial" w:eastAsia="arial" w:hAnsi="arial" w:cs="arial"/>
          <w:b w:val="0"/>
          <w:i w:val="0"/>
          <w:strike w:val="0"/>
          <w:noProof w:val="0"/>
          <w:color w:val="000000"/>
          <w:position w:val="0"/>
          <w:sz w:val="20"/>
          <w:u w:val="none"/>
          <w:vertAlign w:val="baseline"/>
        </w:rPr>
        <w:t xml:space="preserve"> We sought comment on the effect of this proposal on reducing the administrative barriers to individual physician and nonphysician practitioner and small PGP participation in the EPM as EPM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conditions and restrictions on gainsharing payments, alignment payments, and internal cost savings under the EPM were included in proposed § 512.500(c). We sought comment about all of the conditions and restrictions set out in the preceding discussion, including the feasibility of implementing the proposed safeguards in the context of the current regulatory framework applicable to ACOs and whether additional or different safeguards would be needed to ensure program integrity, protect against abuse, and ensure that the goals of the EPM were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opposed CMS' proposal that gainsharing payments be distributed on annual basis, but not more than once per year. The commenters believe this periodicity is too restrictive and creates an unintended advantage for BPCI participants who distribute gainsharing payments monthly and quarterly. While one commenter acknowledged that CMS responded to this same concern in the CJR Final Rule based primarily on operational considerations regarding the frequency of the reconciliation process, the commenter does not believe that such challenges should be resolved at the expense of an effective gainsharing program for EPM participants and CJR participant hospitals. The commenter pointed out that current CJR participant hospitals choosing to make gainsharing payments containing NPRA are prohibited from making any gainsharing payment until after the annual reconciliation process, which may take up to 18 months from the start of a performance year. They claimed that this lengthy process is stifling meaningful change and ultimately reducing quality and cost savings because the potential rewards for CJR collaborators are so far removed from the care for beneficiaries during CJR episodes. The commenter requested that quarterly gainsharing payments be permitted under the EPM and CJR model. As an alternative, the commenter recommended that CMS consider adopting a modified gainsharing payment schedule, limiting gainsharing payments to no more than once per performance year for the initial performance year and then thereafter allow for quarterly gainsharing payments. They believe this alternative could alleviate some of the operational concerns, while allowing EPM participants and CJR participant hospitals the flexibility to create a more impactful, long-term gainsharing strategy.</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that some commenters are interested in aligning the periodicity for gainsharing payments under the EPM and CJR model with the periodicity of similar payments permitted in the BPCI models. However, we believe the differences in periodicity are warranted in light of the substantive difference between BPCI and the EPM and CJR model. Under the BPCI initiative, the frequency of gainsharing of internal cost savings is not specified, while quarterly gainsharing of reconciliation payments is permitted in association with the BPCI quarterly reconciliation process. BPCI participants are also required to submit their gainsharing methodologies in an implementation plan for review and acceptance by CMS prior to their use. In contrast, as finalized for the CJR model </w:t>
      </w:r>
      <w:hyperlink r:id="rId21" w:history="1">
        <w:r>
          <w:rPr>
            <w:rFonts w:ascii="arial" w:eastAsia="arial" w:hAnsi="arial" w:cs="arial"/>
            <w:b w:val="0"/>
            <w:i/>
            <w:strike w:val="0"/>
            <w:noProof w:val="0"/>
            <w:color w:val="0077CC"/>
            <w:position w:val="0"/>
            <w:sz w:val="20"/>
            <w:u w:val="single"/>
            <w:vertAlign w:val="baseline"/>
          </w:rPr>
          <w:t>(80 FR 73386)</w:t>
        </w:r>
      </w:hyperlink>
      <w:r>
        <w:rPr>
          <w:rFonts w:ascii="arial" w:eastAsia="arial" w:hAnsi="arial" w:cs="arial"/>
          <w:b w:val="0"/>
          <w:i w:val="0"/>
          <w:strike w:val="0"/>
          <w:noProof w:val="0"/>
          <w:color w:val="000000"/>
          <w:position w:val="0"/>
          <w:sz w:val="20"/>
          <w:u w:val="none"/>
          <w:vertAlign w:val="baseline"/>
        </w:rPr>
        <w:t xml:space="preserve"> and as discussed and finalized for the EPM in section III.D.5. of this final rule, the reconciliation process for the EPM and CJR model will be conducted annually, and specific gainsharing methodologies are not required to be submitted to CMS, although the EPM and CJR gainsharing methodologies must meet all the requirements finalized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again that gainsharing payments may only consist of reconciliation payments and internal cost savings, although, as discussed in more detail later in this section, we expect a majority of gainsharing payments to not include internal cost savings, and thus would contain only dollars from reconciliation payments. Given that gainsharing of reconciliation payments cannot be carried out until after reconciliation is performed and the funds available are known to the model participant, we cannot change the permissible frequency of gainsharing payments derived from reconciliation payments to allow a closer temporal linkage between the gainsharing payment and the performance period for which the EPM participant or CJR participant hospital earned the reconciliation payment without carrying out the reconciliation process more frequently. Under our annual reconciliation process, there is a delay of 6 to18 month between the time EPM episode care occurs and savings are represented in a reconciliation payment from which gainsharing payments can be made. We do not believe the commenters are requesting that quarterly reconciliation payments be permissible after the reconciliation payment is made under an annual reconciliation process, which would only lead to an even longer delay between the EPM episode care that occurred and the gainsharing payment that ultimately was made. Thus, the only way to allow more frequent gainsharing payments than annually, and to shorten the time lag between EPM episode care and gainsharing payments derived from reconciliation payments, would be to carry out the reconciliation process on a more frequent basis, such as quarterly. However, for the reasons discussed in section III.D.5. of this final rule, we will not conduct the reconciliation process more frequently than annually for any performance years of the EPM, including for any performance year after the first year of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an EPM participant's calculation of internal cost savings could occur more frequently than annually, because internal cost savings do not rely on determinations by CMS, to allow more frequent gainsharing of internal cost savings would increase the documentation burden on EPM participants. Based on the comments received, we believe the commenters' primary interest is in being able to make more frequent gainsharing payments derived from reconciliation payments, rather than those derived from internal cost savings. Additionally, based on the implementation plans submitted by BPCI Awardees and anecdotal information from CJR participant hospitals, we expect that few EPM participants will choose to distribute gainsharing payments derived from internal cost savings. Therefore, while we will consider whether a change may be warranted in the future to allow more frequent gainsharing of internal cost savings under the EPM and CJR model as we gain implementation experience with the models, we are not making a change now to allow gainsharing payments to be made more frequently than annually because we do not expect the increased complexity of such a policy would be useful to EPM participants and CJR participant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that the BPCI initiative is scheduled to end late in CY 2018 and no longer is adding participants, we do not believe the different EPM and CJR gainsharing payment periodicity policies in comparison with those of the BPCI initiative provide any meaningful advantage to BPCI Awardees for those EPM participants and CJR participant </w:t>
      </w:r>
      <w:r>
        <w:rPr>
          <w:rFonts w:ascii="arial" w:eastAsia="arial" w:hAnsi="arial" w:cs="arial"/>
          <w:b/>
          <w:i w:val="0"/>
          <w:strike w:val="0"/>
          <w:noProof w:val="0"/>
          <w:color w:val="000000"/>
          <w:position w:val="0"/>
          <w:sz w:val="20"/>
          <w:u w:val="none"/>
          <w:vertAlign w:val="baseline"/>
        </w:rPr>
        <w:t> [*457] </w:t>
      </w:r>
      <w:r>
        <w:rPr>
          <w:rFonts w:ascii="arial" w:eastAsia="arial" w:hAnsi="arial" w:cs="arial"/>
          <w:b w:val="0"/>
          <w:i w:val="0"/>
          <w:strike w:val="0"/>
          <w:noProof w:val="0"/>
          <w:color w:val="000000"/>
          <w:position w:val="0"/>
          <w:sz w:val="20"/>
          <w:u w:val="none"/>
          <w:vertAlign w:val="baseline"/>
        </w:rPr>
        <w:t xml:space="preserve"> hospitals seeking to enter into sharing arrangements with EPM collaborators and CJR collaborators. While we appreciate the potential financial reward for EPM collaborators and CJR collaborators may be initially 6 to 18 months removed from their contributions of EPM activities and CJR activities to beneficiaries in the EPM and CJR model, we expect that many collaborators will have sustained engagement in the EPM and CJR model and will understand that assessing the cost and quality outcomes of care redesign for episodes requires a substantial period of time for relevant, reliable performance information to become available. For EPM collaborators and CJR collaborators that do have sustained engagement in the model(s), gainsharing payments to those collaborators could potentially be distributed as early as two quarters following the end of the performance year. We also expect that some EPM participants and CJR participant hospitals who request beneficiary-identifiable data as discussed in section III.D.K.2. of this final rule will be monitoring episode spending performance throughout the EPM and CJR performance years. Thus, model participants may be able to provide their collaborators with interim information regarding their estimates of episode spending performance and the implications for gainsharing payments that may ultimately be available to help sustain collaborator engagement throughout the performance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in § 512.500(c)(1)(ii) the annual distribution of gainsharing payments (not more than once per calendar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number of commenters urged CMS to allow EPM participants to financially reward collaborators through gainsharing payments on the basis of the individual collaborator's performance as CMS proposed. One commenter in favor of this approach interpreted CMS' proposal as requiring payment of gainsharing payments to post-acute care providers based on the pool of post-acute care providers with which the EPM participant had a sharing arrangement rather than based on individual collaborator performance. Another commenter requested that CMS advise EPM participants to treat advanced practice nurses and physicians equally in their gainsharing methodologies. In general, many commenters urged CMS to ensure reconciliation payments are distributed in a fair and equitable manner to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MedPAC expressed support for the proposed gainsharing safeguards in the EPM. In addition, they recommended that gainsharing payments to individual physicians and nonphysician practitioners who are part of the same sharing arrangement should not be allowed to vary based on whether these practitioners were involved in high- or low cost-episodes. MedPAC claimed this requirement would reduce practitioners' incentive to treat primarily low-cost patients and steer high-cost patients to other physicians or nonphysician practitioners at the EPM participant. To operationalize this policy, MedPAC suggested that if a gainsharing arrangement results in hospital internal cost savings or savings on episode spending, the total gainsharing payment under that sharing arrangement should be divided evenly among all the episodes that are part to the arrangement. In other words, the per-episode gainsharing payment amount should be equal for all practitioners in the arrangement, although practitioners who are responsible for more episodes could receive higher total payments, yet they would receive the same per-episode gainsharing payment as all physicians and nonphysician practitioners who are part of the same sharing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MedPAC further urged CMS to adopt safeguards similar to those they recommended for gainsharing between EPM participants and physicians for sharing arrangements between hospitals and post-acute care providers. They recommended that EPM participants not be required to offer risk-sharing arrangements to all post-acute care providers in their markets and that model participants should be able to discontinue their risk-sharing arrangements with post-acute care providers that do not contribute to lowering episode spending. MedPAC further suggested that the risk or reward should be calculated for all post-acute care providers in the arrangement, not on a patient-specific or post-acute care provider-specific basis. They stated that pooling the savings on episode spending and quality performance of the post-acute care providers would create incentives for them to cooperate to jointly lower EPM episode spending. Under this approach, the risk-sharing arrangement between an EPM participant and its post-acute care provider collaborators would be based on the change in per-episode spending in the performance period, resulting in the same per-episode gainsharing payment for all post-acute care providers in the arrangement.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of the commenters in ensuring that reconciliation payments are distributed in a fair and equitable manner to collaborators, including different types of individual providers and post-acute care providers. We further appreciate the support of the commenters for our proposal to allow EPM participants to use a methodology for determining a gainsharing payment that is substantially based on quality of care and the provision of EPM activities for each collaborator, without requiring standardization of the methodologies across any groups of collaborators. Thus, our proposal would allow each sharing arrangement to be based on the contributions of the specific collaborator. With regard to the commenter who interpreted our proposal as requiring gainsharing payment based on a pool of post-acute care providers with which the EPM participant enters into sharing arrangements, rather than based on individual collaborator performance, we note that we did not propose any pooling of funds for making gainsharing payment to groups of collaborators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understand the potential benefits of a policy standardizing sharing arrangements to protect against selection of low-cost patients and the resulting patient steering, as well as to provide an incentive for providers of the same type to cooperate to jointly improve quality and reduce episode spending, we believe that EPM participants may have legitimate reasons to enter into a sharing arrangement with a particular provider, supplier, or ACO that differs from the EPM participant's arrangements with other similar providers, suppliers, or ACO. For example, it is possible there may be instances in which a particular SNF that has greater capacity to monitor the cardiac status of beneficiaries or has resources that an EPM participant believes will especially benefit beneficiaries with cognitive impairments who are recovering from hip fracture surgery. In these instances, it may be prudent for an EPM participant to enter into a different sharing arrangement with that SNF, as opposed to other SNFs. Furthermore, EPM participants may have legitimate reasons to enter into different sharing arrangements with EPM collaborators that agree to take on a portion of the EPM participant's downside risk, such as one particular ACO, compared to sharing arrangements with other EPM participants, including other ACOs that do not take on such downside risk. The EPM policies that hold EPM participants responsible for episode quality and cost performance will </w:t>
      </w:r>
      <w:r>
        <w:rPr>
          <w:rFonts w:ascii="arial" w:eastAsia="arial" w:hAnsi="arial" w:cs="arial"/>
          <w:b/>
          <w:i w:val="0"/>
          <w:strike w:val="0"/>
          <w:noProof w:val="0"/>
          <w:color w:val="000000"/>
          <w:position w:val="0"/>
          <w:sz w:val="20"/>
          <w:u w:val="none"/>
          <w:vertAlign w:val="baseline"/>
        </w:rPr>
        <w:t> [*458] </w:t>
      </w:r>
      <w:r>
        <w:rPr>
          <w:rFonts w:ascii="arial" w:eastAsia="arial" w:hAnsi="arial" w:cs="arial"/>
          <w:b w:val="0"/>
          <w:i w:val="0"/>
          <w:strike w:val="0"/>
          <w:noProof w:val="0"/>
          <w:color w:val="000000"/>
          <w:position w:val="0"/>
          <w:sz w:val="20"/>
          <w:u w:val="none"/>
          <w:vertAlign w:val="baseline"/>
        </w:rPr>
        <w:t xml:space="preserve"> encourage EPM participants to seek EPM collaborators that are especially supportive of these goals. As discussed earlier in our response to comments on EPM participant policies for selecting collaborators, we have included robust safeguards in this final rule to address concerns about patient steering and protect beneficiary freedom of choice.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 MedPAC recommendation to require the same per-episode payments for collaborators of the same type (physicians and post-acute care providers) would likely limit physician and post-acute care provider commitment to the goals of the EPM, resulting in less chance of model success. Our experience in other models that incorporate gainsharing has indicated that the financially responsible entity may have legitimate reasons to construct different sharing arrangements with different physicians, depending on factors such as the involvement of the physician in the entity's care redesign efforts, adoption of leadership roles requiring direction and instruction of other physicians, and the number and magnitude of disruptions in the physician's existing practice patterns. Similarly, the responsible entity may have legitimate reasons to construct different sharing arrangements with different post-acute care providers, such as the higher care capacity of a SNF that allows the SNF to accept an EPM beneficiary earlier than typical post-surgery or greater capacity of one HHA versus other to closely coordinate care for frail beneficiaries discharged directly to home following a hospitalization.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stress that there is no requirement that EPM participants enter into sharing arrangements with any providers, suppliers, or ACOs. Accordingly, EPM participants are not required to enter into sharing arrangements with all post-acute care providers in their markets. There also are no requirements for EPM participants to continue any specific sharing arrangements, so EPM participants would be able to discontinue sharing arrangements if they believe those arrangements are not contributing to meeting the EPM goals, subject to any contract termination provisions in their contracts with EPM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in § 512.500(c)(5) that the amount of any gainsharing payments must be determined in accordance with a methodology that is substantially based on the quality of care and the provision of EPM activities. The methodology may take into account the amount of such EPM activities provided by an EPM collaborator relative to other EPM collaborators.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urged CMS to amend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 512.500(c)(6) which states, "For a performance year, the aggregate amount of all gainsharing payments that are derived from a reconciliation payment must not exceed the amount of the reconciliation payment the EPM participant receives from CMS." The commenter asserted that this text is unclear regarding whether the gainsharing amount can also include internal cost savings. The commenter believes the proposed text is confusing because it either suggests that the total dollars available for gainsharing are limited to the total reconciliation payment amount, which is inconsistent with the definition of gainsharing, or it suggests that the proportion of the gainsharing that is from the reconciliation payment cannot be more than that payment, which by definition is true.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suggestion that we clarify whether a gainsharing payment may include internal cost savings; however, we believe that the commenter's suggested change to the proposed provision in § 512.500(c)(6) is inadvisable. The purpose of this requirement is to ensure that the total amount of all gainsharing payments made to collaborators and derived from the reconciliation payment the EPM participant receives from CMS does not exceed the amount of that reconciliation payment. The commenter is correct that as specified in § 512.500(c)(1)(i), gainsharing payments, if any, must be derived solely from reconciliation payments, or internal cost savings, or both. We believe it would be confusing to revise § 512.500(c)(6) as the commenter suggested to add that the gainsharing amount can include internal cost savings, as that is specified elsewhere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is not necessary for this requirement specific to gainsharing payments derived from a reconciliation payment. However, we believe that reordering of the terms in the provision eliminates any confusion about the requirement. Therefore, we are modifying § 512.500(c)(6) to state, "For a performance year, the aggregate amount of all gainsharing payments that are derived from a reconciliation payment the EPM participant receives from CMS must not exceed the amount of that reconciliation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in § 512.500(c)(6) the limit on the aggregate amount of all gainsharing payments that are derived from a reconciliation payment with the modifications discussed.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While several commenters, including MedPAC, supported CMS' proposal to cap the amount of gainsharing payments to physicians, nonphysician practitioners, and PGPs, most commenters either recommended that CMS eliminate the caps for PGPs; eliminate the caps altogether for PGPs, physicians, and nonphysician practitioners; or apply the caps on a different basis than CMS' proposal of 50 percent of the Medicare-approved amounts under the PFS for items and services furnished by the physician or nonphysician practitioner to the EPM participant's EPM beneficiaries during the EPM episodes that occurred during the same performance year for which the EPM participant accrued the internal cost savings or earned the reconciliation payment that comprises the gainsharing payment being distributed.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who objected to the proposed caps on physicians stated that physicians are singled out for different treatment than other provider and supplier types because the commenter believed physicians were the only type of EPM collaborator with a cap, and contended that the cap dampens the ability of gainsharing to support physician behavior change by relegating payments to a nominal amount. Another commenter claimed that the proposed EPM financial arrangements may not be sufficiently flexible for the breadth of agreements EPM participants may wish to set up with PGPs, noting that the proposed gainsharing cap of 50 percent was based on services furnished by individual physicians in the PGP to EPM beneficiaries as opposed to the BPCI initiative where the commenter believes the cap is set at 50 percent for the entire physician group. They claimed that under CMS' proposal, there is no way for a PGP to stabilize risk among higher- and lower-performing physicians and, therefore, the group risk-sharing potential will be less than 50 percent in total.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recommended changes to the proposed methodology for setting the cap on physician, nonphysician practitioner, and PGP gainsharing payments. One commenter asserted that due to the importance of primary care management in preventing readmissions, it is likely that the potential value of care management services provided during the post-discharge period is significantly greater than the total PFS payments a physician will receive for these services. The commenter urged CMS to increase the proposed 50 percent cap to reflect the value provided by these primary care physicians' services. Several other commenters requested that if the cap was not </w:t>
      </w:r>
      <w:r>
        <w:rPr>
          <w:rFonts w:ascii="arial" w:eastAsia="arial" w:hAnsi="arial" w:cs="arial"/>
          <w:b/>
          <w:i w:val="0"/>
          <w:strike w:val="0"/>
          <w:noProof w:val="0"/>
          <w:color w:val="000000"/>
          <w:position w:val="0"/>
          <w:sz w:val="20"/>
          <w:u w:val="none"/>
          <w:vertAlign w:val="baseline"/>
        </w:rPr>
        <w:t> [*459] </w:t>
      </w:r>
      <w:r>
        <w:rPr>
          <w:rFonts w:ascii="arial" w:eastAsia="arial" w:hAnsi="arial" w:cs="arial"/>
          <w:b w:val="0"/>
          <w:i w:val="0"/>
          <w:strike w:val="0"/>
          <w:noProof w:val="0"/>
          <w:color w:val="000000"/>
          <w:position w:val="0"/>
          <w:sz w:val="20"/>
          <w:u w:val="none"/>
          <w:vertAlign w:val="baseline"/>
        </w:rPr>
        <w:t xml:space="preserve"> dropped altogether, the cap should be set at 50 percent of episode savings rather than Part B billings, reasoning that limiting the cap based on the Medicare-approved amounts paid under the PFS negatively impacts EPM participants' flexibility in determining the amount of savings to share, as well as targets physicians individually. The commenters reasoned that physicians are the key to driving improved quality and efficiency due to their direct relationships with patients, access to the patient's current health status, and ability to recommend the appropriate level of post-acute care services, and that the proposed cap would eliminate meaningful financial incentives for physicians to fully engage in the EPM. Several commenters further added that because CMS has entrusted hospitals with the responsibility to oversee and implement EPM care redesign, CMS should grant hospitals greater flexibility in designing their respective gainsharing programs and determining the amount of episode savings to share with their EPM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interpreted CMS' proposal as allowing EPM participants to share up to 50 percent of savings achieved via Part B services with physicians and recommended that the cap be revised to include savings from both Part A and Part B services in gainsharing payments. The commenters asserted that accounting for unplanned care necessitating Part B services is critical, and that to improve patient outcomes, unplanned clinically appropriate care must be accounted for which potentially results in more physician involvement than originally anticipated. They concluded that significant reductions in Part A spending may be achieved through reducing the lengths-of-stay and unnecessary readmissions during EPM episodes, but those savings are unlikely to be accomplished without active physician participation and, therefore, physicians should be eligible to share in those Part A savings.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the many different perspectives of the commenters on the proposed cap on gainsharing payments to physicians, nonphysician practitioners, and PGPs in the EPM. We reiterate that we proposed to limit the total amount of gainsharing payments for a performance year to EPM collaborators, collaboration agents, or downstream collaboration agents that are physicians, nonphysician practitioners, or PGPs. For physicians and nonphysician practitioners the proposed limit was 50 percent of the Medicare-approved amounts under the PFS for items and services furnished by that physician or nonphysician practitioner to the EPM participant's EPM beneficiaries during EPM episodes that occurred during the same performance year for which the EPM participant accrued the internal cost savings or earned the reconciliation payment that is included in the payment being made to the physician or nonphysician practitioner. For PGPs, the proposed limit on gainsharing payments was 50 percent of the Medicare-approved amounts under the PFS for items and services billed by the PGP and furnished to the EPM participant's EPM beneficiaries by members of the PGP during EPM episodes that occurred during the same performance year for which the EPM participant accrued the internal cost savings or earned the reconciliation payment that is included in the payment being made to the PGP. We note that the proposed EPM gainsharing caps for PGP members operate in the same way as the caps on PGP member gainsharing in the BPCI initiative. In both instances, the cap is set at 50 percent of the total Medicare-approved amounts under the PFS for services furnished by the physician or nonphysician practitioner PGP member to model beneficiaries during the applicable time period. Accordingly, it is not correct that the proposal for gainsharing caps under the EPM provides less flexibility than under the BPCI initiative.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agree with commenters that the proposed caps on payments under EPM financial arrangements to physicians, nonphysician practitioners, and PGPs should be eliminated because we proposed these caps for a specific purpose. The purpose of the cap is to serve as a safeguard against the potential risks of stinting, steering, and denial of medically necessary care due to financial arrangements specifically allowed under the EPM by providing an upper limit on the potential additional funds a physician, nonphysician practitioner, or PGP can receive for their engagement with EPM participants in caring for EPM beneficiaries beyond the FFS payments that those suppliers are also paid and that are included in the actual episode spending calculation for the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believe it would be appropriate to identify certain types of physicians, such as those providing primary care management services, for higher caps under the EPM because we believe EPM participants should have the flexibility to enter into sharing arrangements with those EPM collaborators that help them execute their care redesign plans, which we expect to vary from EPM participant to EPM participant. We further note that the proposed caps were based on the Medicare-approved amounts under the PFS paid to physicians and nonphysician practitioners for care furnished to EPM beneficiaries, and not based on Part B episode savings as some commenters interpreted the proposal. Therefore, we do not agree with concerns of some commenters that Part B spending could increase even if total episode spending decreased and, therefore, could affect the potential for physician gainsharing payments because we do not specify where the episode savings included in a reconciliation payment must come from (Part A or Part B) in order for part of the reconciliation payment to be paid to a physician, nonphysician practitioner, or PGP as a gainsharing payment. While we appreciate the information provided by the commenters regarding the valuable role physicians may play in reducing Part A spending, we do not believe it would be appropriate to cap physician, nonphysician practitioner, and PGP gainsharing payments at 50 percent of total episode savings beyond the quality-adjusted target price. Historical EPM episodes include average episode spending ranging from approximately $ 23,000 to $ 47,000, with Part B spending (predominantly PFS) accounting for 7 percent to 14 percent of the total. n129 Thus, depending on actual episode savings experienced by the EPM participant, we believe the proposed cap at 50 percent of Part B billings would generally allow a physician, nonphysician practitioner, or PGP to receive a gainsharing payment that is comprised of a reconciliation payment that includes Part A savings. Further, setting the gainsharing cap based on Part B billings for physicians, nonphysician practitioners, and PGPs helps to maintain a connection between their gainsharing payments and their payments under the PFS for items and services furnished to EPM beneficiaries so as not to create a disproportionate opportunity and associated program integrity risk for physicians, nonphysician practitioners, and PGPs to dramatically increase their payments on behalf of Medicare beneficiaries based on their participation in EPM financial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n129 Episodes for AMI, CABG, and SHFFT beneficiaries initiated by all U.S. IPPS hospitals not in Maryland and constructed using standardized Medicare FFS Parts A and B claims, as proposed in the proposed rule that began in CYs 2012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emphasize that we have applied the 50 percent cap on gainsharing payments to physicians, nonphysician </w:t>
      </w:r>
      <w:r>
        <w:rPr>
          <w:rFonts w:ascii="arial" w:eastAsia="arial" w:hAnsi="arial" w:cs="arial"/>
          <w:b/>
          <w:i w:val="0"/>
          <w:strike w:val="0"/>
          <w:noProof w:val="0"/>
          <w:color w:val="000000"/>
          <w:position w:val="0"/>
          <w:sz w:val="20"/>
          <w:u w:val="none"/>
          <w:vertAlign w:val="baseline"/>
        </w:rPr>
        <w:t> [*460] </w:t>
      </w:r>
      <w:r>
        <w:rPr>
          <w:rFonts w:ascii="arial" w:eastAsia="arial" w:hAnsi="arial" w:cs="arial"/>
          <w:b w:val="0"/>
          <w:i w:val="0"/>
          <w:strike w:val="0"/>
          <w:noProof w:val="0"/>
          <w:color w:val="000000"/>
          <w:position w:val="0"/>
          <w:sz w:val="20"/>
          <w:u w:val="none"/>
          <w:vertAlign w:val="baseline"/>
        </w:rPr>
        <w:t xml:space="preserve"> practitioners, and PGPs in the CJR model as well as the BPCI initiative, and participants have not voiced significant complaints that this financial limitation has hampered their ability to engage physicians, nonphysician practitioners, and PGPs in care redesign to improve episode quality and reduce costs. We acknowledge the important role physicians play in providing quality, efficient health care to beneficiaries, but we believe that allowing a physician, nonphysician practitioner, and PGP to be paid up to 50 percent more for engagement with the episode care of EPM beneficiaries than the payments they are paid for furnishing direct services to those beneficiaries under the PFS provides EPM participants with substantial flexibility to develop and implement meaningful financial arrangements that align the financial interests of physicians, nonphysician practitioners, and PGPs with the quality and cost goals of the EPM participant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as discussed previously in this section, we are adding NPPGPs to the list of EPM collaborators. Consistent with our cap on gainsharing payments to PGPs, as well as our cap on gainsharing payments to physicians and nonphysician practitioners, we are adding NPPGPs to § 512.500(4)(ii) where we specify the cap on gainsharing payments to PGPs so that those caps are also applied to gainsharing payments to NPPGPs.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in §§ 512.500(4)(i) and 512.500(4)(ii) the caps on the total amount of gainsharing payments for a performance year paid to physicians, nonphysician practitioners, PGPs, and NPPGs.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our proposals were not clear or consistent regarding whether caps applied to individual therapists or TGPs. We did not propose to cap gainsharing payments to EPM collaborators that are providers or suppliers of outpatient therapy services, which include individual therapists and therapy group practices, and we did not propose to cap the distribution payments to therapists who are members of a PGP under proposed § 512.505(8)(i). However, we proposed that therapists who are members of a PGP and receive downstream collaboration payments would have their payments capped under proposed § 512.510(b)(7) as members of the PGP. As discussed in section III.I.3. of this final rule, we have created new terms and revised certain proposed terms for this final rule to separately define therapist in private practice and TGP and the revised definition of EPM collaborator now separately identifies therapists in private practice and TGPs as eligible to be collaborators. While capping gainsharing payments to therapists and TGPs would be most consistent with our treatment of gainsharing payments to other individual clinicians and their practice groups and it would be possible to apply such caps in view of the new definitions of therapist in private practice and TGP adopted in this final rule, we do not believe it would be appropriate to adopt gainsharing caps for therapists in private practice or TGPs because we did not solicit comment on caps for any providers or suppliers of outpatient therapy services, including therapists in private practice and TGPs. However, our reasoning for the caps on gainsharing payments to physicians, nonphysician practitioners, PGPs, and NPPGs could similarly apply to therapists and TGPs. Namely, a cap on therapists and TGPs could serve as a safeguard against the potential risks of stinting, steering, and denial of medically necessary care due to financial arrangements specifically allowed under the EPM by providing an upper limit on the potential additional funds the clinician or group can receive for their engagement with EPM participants in caring for EPM beneficiaries beyond the FFS payments that those suppliers are also paid and that are included in the actual episode spending calculation for the episodes. Therefore, while we are not adopting gainsharing caps for therapists in private practice and TGPs in this final rule and we are revising proposed § 512.510(b)(7) which is final § 512.510(b)(8) to remove the cap as applied to therapists who are PGP members, we will monitor payments under financial arrangements to these individuals and entities and may consider proposing caps in the future if we have program integrity concerns during EPM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the in § 512.500(c)(4) the cap on the aggregate amount of gainsharing payments for a performance year paid to physicians, nonphysician practitioners, and PGPs, with modification to also apply the cap to NPPGPs.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urged CMS to eliminate the proposed caps on alignment payments at the entity level, specifically mentioning ACOs, PGPs, and post-acute care providers in their discussion. One commenter was concerned that under CMS' proposal a single EPM collaborator other than an ACO could possibly be accountable for up to 25 percent of an EPM participant's repayment amount, highlighting that such an amount could post serious financial jeopardy to the EPM collaborator's existence. To mitigate this risk, the commenter recommended that all the EPM collaborators other than ACOs in aggregate would pay no more than 25 percent of the EPM participant's repayment amount or, alternatively would pay proportionally based upon the Medicare-approved amounts the EPM collaborator was paid for items and services furnished to EPM beneficiaries.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recommendation to eliminate caps on alignment payments by entities that are EPM collaborators. We note that we proposed for a performance year, the aggregate amount of all alignment payments received by the EPM participant must not exceed 50 percent of the EPM participant's repayment amount. In regards to the 50 percent cap on the aggregate amount of alignment payments, the commenters did not provide specific justification for eliminating this cap on alignment payments provided to EPM participants. As such, given that the EPM participant is responsible for developing and coordinating care redesign strategies in response to its EPM participation, we believe it is important that the EPM participant retain a significant portion of its responsibility for repayment to CMS. Therefore, we are maintaining the cap on the aggregate amount of all alignment payments at 50 percent of the EPM participant's repayment amount, ensuring that EPM participants retain a minimum of 50 percent of the repayment amount as their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proposed that the aggregate amount of all alignment payments from an EPM collaborator other than an ACO to the EPM participant may not be greater 25 percent of the EPM participant's repayment amount. In response to the commenter's concern about the potential for an EPM collaborator that is not an ACO to experience serious financial jeopardy due to this amount, we emphasize that there is no requirement that any provider, supplier, or ACO enter into a sharing arrangement as an EPM collaborator, including a sharing arrangement that requires them to make an alignment payment. We also emphasize that the 25 percent cap on alignment payments represents the upper threshold for risk sharing that a single EPM collaborator may assume, and that the parties may agree to lower amounts. Furthermore, participation in sharing arrangements must be voluntary and without penalty for nonparticipation. Thus, we cap the aggregate amount of all alignment payments from an EPM collaborator </w:t>
      </w:r>
      <w:r>
        <w:rPr>
          <w:rFonts w:ascii="arial" w:eastAsia="arial" w:hAnsi="arial" w:cs="arial"/>
          <w:b/>
          <w:i w:val="0"/>
          <w:strike w:val="0"/>
          <w:noProof w:val="0"/>
          <w:color w:val="000000"/>
          <w:position w:val="0"/>
          <w:sz w:val="20"/>
          <w:u w:val="none"/>
          <w:vertAlign w:val="baseline"/>
        </w:rPr>
        <w:t> [*461] </w:t>
      </w:r>
      <w:r>
        <w:rPr>
          <w:rFonts w:ascii="arial" w:eastAsia="arial" w:hAnsi="arial" w:cs="arial"/>
          <w:b w:val="0"/>
          <w:i w:val="0"/>
          <w:strike w:val="0"/>
          <w:noProof w:val="0"/>
          <w:color w:val="000000"/>
          <w:position w:val="0"/>
          <w:sz w:val="20"/>
          <w:u w:val="none"/>
          <w:vertAlign w:val="baseline"/>
        </w:rPr>
        <w:t xml:space="preserve"> other than an ACO at 25 percent of the EPM participant's repayment amount as a broad safeguard for EPM collaborators and EPM participants from excessive financial risk or undue influence from the EPM participant's contractual relationship with a single EPM collaborator. However, this cap is not a substitute for the deliberation of both the EPM participant and EPM collaborator before entering into a sharing arrangement that would require the EPM collaborator to make an alignment payment to the EPM participant if the EPM participant has a repayment amount due to Medicare. We believe that the EPM collaborator is best-positioned to make financial decisions on its own behalf and to bear the consequence of those decisions, and that flexibility in sharing arrangements between different parties is important. Therefore, we see no need to provide a more protective cap on the accountability for a single EPM collaborator by aggregating the accountability of all EPM collaborators or requiring that the EPM collaborator only assume accountability for paying a portion of the EPM participant's repayment amount that is proportionate to the EPM episode spending on items and services furnished by that EPM collaborator. Therefore, we are maintaining the cap on the aggregate amount of all alignment payments from an EPM collaborator other than an ACO to the EPM participant at 25 percent of the EPM participant's repayment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in §§ 512.500(c)(12) and 512.500(c)(13) the cap on the aggregate amount of all alignment payments received by the EPM participant and the cap on alignment payments that may be made by EPM collaborators to the EPM participant.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opposed CMS' proposal to cap the aggregate amount of all alignment payments from an EPM collaborator that is an ACO to an EPM participant at 50 percent of the EPM participant's repayment amount, arguing that setting such a limit interferes the negotiations between an EPM participant and its collaborators. The commenter asserted that ACOs should be able to use their substantial expertise and resources to contribute to the EPM's dual goals of limiting spending and increasing quality. They urged CMS to permit an EPM participant and its collaborators to jointly agree on the terms and conditions of a sharing arrangement, including specifics around gainsharing or repayment percentages, because it is unnecessary to place limits on repayment amounts as long as they do not collectively exceed the amount the EPM participant would have to repay. Another commenter pointed out that the risk threshold for an EPM consisting of beneficiaries discharged from several MS-DRGs is substantially less than that of two-sided risk ACO models, approximately $ 500,000 versus $ 2,000,000 for a small ACO, respectively. They suggested that CMS consider the risk alignment of ACOs and the EPM as an opportunity for ACOs to phase-in downside risk incrementally and at a substantially lower entry point of dollars than current two-sided ACO options. The commenter believes that adopting such an approach would encourage ACOs to take on more downside risk.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recommendation to eliminate the proposed cap on alignment payments made by an EPM collaborator that is an ACO to an EPM participant. We agree with the commenter about the expertise that ACOs may offer EPM participants with regard to managing the cost and quality of care Medicare beneficiaries receive. We proposed that the aggregate amount of all alignment payments from an EPM collaborator to the EPM participant may not be greater than 25 percent of the EPM participant's repayment amount for an EPM collaborator that is not an ACO and 50 percent of the EPM participant's repayment amount for an EPM collaborator that is an ACO. We proposed to allow a higher percentage of the EPM participant's repayment amount to be paid by an ACO than by EPM collaborators that are not ACOs in recognition that some ACOs are sizable organizations with significant financial and other resources that can may benefit EPM episode spending and quality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constructed a framework for EPM financial arrangements that we believe leaves EPM participants and EPM collaborators relatively unconstrained to develop sharing arrangements in a manner they see fit based on the contributions of different parties to the goals of the EPM, provided that all the requirements for financial arrangements included in this final rule are met. We did not propose that EPM participants would need to use a particular methodology for determining alignment payments that are made by either an EPM collaborator that is an ACO or an EPM collaborator that is not an ACO. However, as discussed in the response to the previous comment, given that the EPM participant is responsible for developing and coordinating care redesign strategies in response to its EPM participation, we believe it is important that the EPM participant retain a significant portion of its responsibility for repayment to CMS. The EPM was not designed to test the phase-in of ACO downside risk or specifically encourage ACOs to take on more downside risk, but rather to test the EPM where acute care hospitals are the financially accountable entity to CMS for episode quality and cost performance, with sufficient flexibility to share their upside and downside risk with EPM collaborators based on the financial alignment needs arising from EPM episode care redesign.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are maintaining the cap on the aggregate amount of all alignment payments at 50 percent of the EPM participant's repayment amount, while allowing an ACO to assume responsibility for the remaining 50 percent of the repayment amount through an alignment payment to be made to the EPM participant. While we appreciate the commenter's view that we should let the market determine the best arrangements for the parties without constrain, in the early performance years of the first required episode payment models and in our first experience with ACOs as model collaborators, we believe the alignment payment limit allows sufficient flexibility for the development of market-based arrangements between EPM participants and ACOs, while providing assurance of the EPM participant's active involvement in developing and implementing EPM care redesign strategies.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urged CMS to apply a cap on gainsharing payments to all EPM collaborators, arguing that because CMS proposed caps only on gainsharing payments to physicians, nonphysician practitioners, and PGPs that EPM participants may conclude that sharing arrangements with other types of providers, such as post-acute care providers, is not encouraged by CMS. The commenter further contended that CMS' proposal to cap gainsharing payments for physician, nonphysician practitioners, and PGPs at a certain percentage of the amount billed to Medicare is ill-advised given that the goal of the EPM is to reduce costs to Medicare by better managing services and reducing unnecessary services. They recommended that CMS adopt a gainsharing cap policy that specifies that no one type of collaborator (for example, physicians) nor individual provider or organization can receive more than 50 percent of the available gainsharing amount in order to ensure that all EPM collaborators may be eligible for a gainsharing payment </w:t>
      </w:r>
      <w:r>
        <w:rPr>
          <w:rFonts w:ascii="arial" w:eastAsia="arial" w:hAnsi="arial" w:cs="arial"/>
          <w:b/>
          <w:i w:val="0"/>
          <w:strike w:val="0"/>
          <w:noProof w:val="0"/>
          <w:color w:val="000000"/>
          <w:position w:val="0"/>
          <w:sz w:val="20"/>
          <w:u w:val="none"/>
          <w:vertAlign w:val="baseline"/>
        </w:rPr>
        <w:t> [*462] </w:t>
      </w:r>
      <w:r>
        <w:rPr>
          <w:rFonts w:ascii="arial" w:eastAsia="arial" w:hAnsi="arial" w:cs="arial"/>
          <w:b w:val="0"/>
          <w:i w:val="0"/>
          <w:strike w:val="0"/>
          <w:noProof w:val="0"/>
          <w:color w:val="000000"/>
          <w:position w:val="0"/>
          <w:sz w:val="20"/>
          <w:u w:val="none"/>
          <w:vertAlign w:val="baseline"/>
        </w:rPr>
        <w:t xml:space="preserve"> should they meet the requirements of their sharing arrangement.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agree with the commenter that the lack of a proposed cap on gainsharing payments to providers, suppliers, and ACOs other than physicians, nonphysician practitioners, and PGPs in our proposal implies that these other individuals and entities are not worthy of consideration by EPM participants as potential EPM collaborators. We note that we proposed to add ACOs, hospitals, and CAHs, none of whom have gainsharing caps, to the list of types of providers and suppliers that may be EPM collaborators, thereby expanding the list initially adopted for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the final cap on gainsharing payments for physicians, nonphysician practitioners, PGPs, and NPPGs (as adopted in this final rule) is to serve as a safeguard against the potential risks of stinting, steering, and denial of medically necessary care due to financial arrangements specifically allowed under the EPM by providing an upper limit on the potential additional funds a physician, nonphysician practitioner, PGP, or NPPGP can receive for their engagement with EPM participants in caring for beneficiaries in the EPM beyond the FFS payments that those suppliers are also paid and that are included in the actual episode spending calculation for the episodes. With the exception of physicians, nonphysician practitioners, PGPs, and NPPGPs, we do not limit the amount of gainsharing payments to other eligible EPM collaborators. As discussed earlier in this section, as the financially responsible entities for EPM episodes, we believe that EPM participants should have as much flexibility as possible, subject to adequate program integrity safeguards, in decisions about financial arrangements, including whether or not to enter into them; the selection of collaborators; and the methodologies for determining the amounts of gainsharing payments and alignment payments. Therefore, we do not believe it would be appropriate to limit the gainsharing payment of an EPM participant to any EPM collaborator or single type of EPM collaborator based on the available gainsharing amount in order to ensure that all EPM collaborators receive a portion of the gainsharing amount that is 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claimed that CMS' proposal applies some unnecessary limits to when an EPM collaborator can receive a gainsharing payment. The commenter reasoned that if the goal of the EPM is to redesign care, then the possibility should be considered that an EPM collaborator may furnish a service that is not "billable" under Medicare FFS today and yet could play an important role in changing the outcomes and cost under an EPM episode. They recommended that CMS not limit the eligibility for receiving gainsharing payments to just services that are billable but instead allow the EPM collaborator to receive some payment after the fact for a service or item that contributed positively to the EPM episode. To accomplish this change, the commenter specifically suggested that CMS delete "billable" in proposed § 512.500(c)(2)(ii) where CMS proposed to require that to be eligible to receive a gainsharing payment or to be required to make an alignment payment, an EPM collaborator other than a PGP or an ACO must have directly furnished a billable item or service to an EPM beneficiary during an EPM episode that occurred in the same performance year for which the EPM participant accrued the internal cost savings or earned the reconciliation payment that comprises the gainsharing payment or was assessed a repayment amount. They believe it is unlikely that this change would be abused as it is not in the EPM participant's best interest to issue a gainsharing payment to an EPM collaborator that offered them no benefit in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further recommended that the proposed gainsharing eligibility criteria for ACOs, specifically that their involvement in an EPM beneficiary's care was either: 1) related to the provision of care coordination services and/or 2) related to engaging in care redesign strategies and helping to implement those strategies, be added to the gainsharing eligibility requirement for other EPM collaborators that are not ACOs or PGPs in § 512.500(c)(2)(ii). They believe that providers and suppliers should also be eligible for gainsharing if they engage in those tasks. The commenter concluded that making both of their recommended changes to § 512.500(c)(2)(ii) would contribute to comparable gainsharing opportunities being available for EPM collaborators carrying out the same activities to advance the goals of the EPM.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detailed suggestions about changes to the proposed gainsharing eligibility criteria for EPM collaborators that are not PGPs or ACOs to ensure comparable gainsharing opportunities for different types of EPM collaborators. First, we want to clarify that while our proposal would require an EPM collaborator other than a PGP or an ACO to have directly furnished a billable item or service to an EPM beneficiary during an EPM episode that occurred in the same performance year for which the EPM participant accrued the internal cost savings or earned the reconciliation payment that comprises the gainsharing payment to be eligible to receive a gainsharing payment, there is no requirement that the gainsharing payment methodology rely only upon billable items and services. As proposed in § 512.500(c)(5), the amount of any gainsharing payments must be determined in accordance with a methodology that is substantially based on the quality of care and the provision of EPM activities. We proposed that EPM activities means activities related to promoting accountability for the overall quality, cost, and overall care for EPM beneficiaries, including managing and coordinating care; encouraging investment in infrastructure, enabling technologies, and redesigned care processes for high quality and efficient service delivery; the provision of items and services that reduce costs and improves quality, or carrying out any other obligation of duty under the EPM. Thus, all EPM collaborators may receive a gainsharing payment determined by a methodology that takes into account their contribution of items and services that are not billable but which contributed to changes in EPM episode outcomes and cost, an outcome which is consistent with the commenter's recommendation.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those EPM collaborators who can directly furnish items and services to Medicare beneficiaries, which are all EPM collaborators that are not ACOs, PGPs, NPPGPs, or TGPs, we believe a connection to the actual care of EPM beneficiaries is essential so that the financial incentives of providers furnishing billable items and services to EPM beneficiaries are aligned with those of EPM participants to improve the quality of care and reduce the costs of episode. It is difficult to contemplate how model success can be achieved without significant care redesign that involves billable items and services furnished by the providers and suppliers actually caring for EPM beneficiaries. The requirement that EPM collaborators other than ACOs, PGPs, NPPGPs, and TGPs directly furnish billable items or services to EPM beneficiaries to be eligible for gainsharing payments ensures a nexus between the financial incentives and actual care to EPM beneficiaries. This requirement also provides a program integrity safeguard against the free flow of gainsharing payments to an EPM collaborator who does not furnish items or services to EPM beneficiaries as a </w:t>
      </w:r>
      <w:r>
        <w:rPr>
          <w:rFonts w:ascii="arial" w:eastAsia="arial" w:hAnsi="arial" w:cs="arial"/>
          <w:b/>
          <w:i w:val="0"/>
          <w:strike w:val="0"/>
          <w:noProof w:val="0"/>
          <w:color w:val="000000"/>
          <w:position w:val="0"/>
          <w:sz w:val="20"/>
          <w:u w:val="none"/>
          <w:vertAlign w:val="baseline"/>
        </w:rPr>
        <w:t> [*463] </w:t>
      </w:r>
      <w:r>
        <w:rPr>
          <w:rFonts w:ascii="arial" w:eastAsia="arial" w:hAnsi="arial" w:cs="arial"/>
          <w:b w:val="0"/>
          <w:i w:val="0"/>
          <w:strike w:val="0"/>
          <w:noProof w:val="0"/>
          <w:color w:val="000000"/>
          <w:position w:val="0"/>
          <w:sz w:val="20"/>
          <w:u w:val="none"/>
          <w:vertAlign w:val="baseline"/>
        </w:rPr>
        <w:t xml:space="preserve"> means of impacting the referral patterns of the EPM collaborator to particular hospitals. Thus, we do not believe that adopting the recommendation of the commenter that we use the criteria for ACOs, that do not directly furnish items or services to beneficiaries, to define the clinical involvement of EPM collaborators that are not ACOs PGPs, NPPGPs, or TGPs in the care of EPM beneficiaries that is required for gainsharing eligibility is necessary or appropriate. It is only in the case of ACOs, PGPs, NPPGPs, and TGPs that do not directly furnish items or services to EPM beneficiaries that we needed to develop another definition for the clinical involvement that is a requirement for gainsharing payment eligibility. We expect that EPM collaborators that are not ACOs, PGPs, NPPGPs, or TGPs will commonly provide care coordination services to EPM beneficiaries, engage in care redesign strategies, and perform a role in implementing such strategies, just as we expect similar activities for ACOs, PGPs, NPPGPs, and TGPs that are EPM collaborators. We further note that an EPM participant can factor these types of activities into the methodology that determines the amount of the gainsharing payment for EPM collaborators. However, for the reasons described previously, we will not allow EPM collaborators that are not ACOs, PGPs, NPPGPs, or TGPs to be eligible for gainsharing payments if they have not directly furnished a billable item or service to an EPM beneficiary during an EPM episode during the applicable time period. We believe that the gainsharing payment eligibility policies provide the potential for comparable gainsharing opportunities for all types of EPM collaborators, while taking into consideration the reality that individuals and entities with different potential for providing billable services to EPM beneficiaries may be EPM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in § 512.500(c)(2)(ii) that to be eligible to receive a gainsharing payment or to be required to make an alignment payment, an EPM collaborator that is not an ACO, PGP, NPPGP, or TGP must have directly furnished a billable item or service to an EPM beneficiary during an EPM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 about the proposed restrictions on paper savings in the methodology used to calculate the EPM participant's internal cost savings from which the participant may make gainsharing payments to EPM collaborators. The commenters claimed that very few hospital accounting systems can clearly separate "paper" savings from "real" savings. They claimed that introducing systems to account for savings will require time and resources that may restrict ability of many EPM participants to meet the proposed requirements, yet "paper" savings may yield real benefits for patients. As an example, one commenter pointed out that "paper" savings due to reductions in nursing time may permit that time to be dedicated to other patients improving coverage and benefiting the quality of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information provided by the commenters on the types of internal cost savings that EPM participants might achieve based on care redesign under the EPM. We note that we proposed in § 512.500(c)(3)(ii) that the methodology used to calculate internal cost savings must reflect the actual, internal cost savings achieved by the EPM participant through the documented implementation of EPM activities identified by the EPM participant, and in § 512.500(c)(3)(ii)(B) proposed that the methodology must exclude "paper" savings from accounting conventions or past investment in fixed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considering the EPM participant's methodology for calculating internal cost savings achieved based on their implementation of EPM activities, EPM participants should consider all of these requirements and others we proposed for internal cost savings in their totality. We believe that any methodology that meets the proposed requirements for the methodology to calculate internal cost savings would require some system to account for savings. Moreover, we do not believe it would be appropriate to allow gainsharing payments derived from an EPM participant's internal cost savings that cannot be specifically accounted for due to the program integrity risk that such payments may pose. We appreciate that accounting for the savings resulting from the implementation of EPM activities by the EPM participant could require accounting systems of different complexities based on the specific types of internal cost savings that the EPM participant wants to capture for purposes of making gainsharing payments. For example, internal cost savings due to physician collaboration to achieve device standardization in EPM episodes that results in the EPM participant being able to purchase the device at a lower price reflecting volume discounts may be relatively easily accounted for by comparing device purchase invoices during the EPM performance year to those during the immediately prior period. On the other hand, reductions in nursing time for EPM beneficiaries due to a shorter hospital stay that results from streamlined discharge planning may require more complex systems to track and compare nursing time and its associated hospital cost for EPM beneficiaries during the EPM performance period to those during the immediately prior period. Thus, while we recognize the challenges identified by the commenters in tracking real savings associated with EPM care redesign, given that we proposed to allow EPM participants to select their own methodologies for calculating internal cost savings (provided that such methodologies meet the requirements in this final rule to be included in gainsharing payments to EPM collaborators), we believe that we have provided sufficient flexibility to allow each EPM participant the ability to develop a methodology for calculating internal cost savings that aligns with its technical capacity to track those savings. We note that the purpose of this prohibition on paper savings is to bar the distribution of gainsharing payments comprised of funds that did not derive from real savings, as well as bar payments made for purposes other than the provision of EPM activities by EPM collaborators that results in reduced episode spending or increased quality. As such, we believe the proposed requirements prohibiting EPM participants from sharing internal cost savings that results merely from paper savings--rather than real savings arising from the successful implementation of care redesign strategies by the EPM participant--are necessary as a program integrity safeguard, and so we are declining to accept the commenters' suggestion.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in § 512.500(c)(3)(ii)(B) that the methodology used to calculate internal cost savings must exclude paper savings from accounting conventions or past investment in fixed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clarification regarding CMS' proposal that an EPM participant must not make a gainsharing payment to an EPM collaborator that is subject to any action for noncompliance with the EPM requirements or fraud and abuse laws, or for the provision of substandard care in EPM episodes or other integrity problems. The commenter expressed concerns regarding the absence of a bright line standard EPM participants could use to ensure compliance with this standard. The commenter expressed particular concern about how a participant could determine if a collaborator was subject to an action for </w:t>
      </w:r>
      <w:r>
        <w:rPr>
          <w:rFonts w:ascii="arial" w:eastAsia="arial" w:hAnsi="arial" w:cs="arial"/>
          <w:b/>
          <w:i w:val="0"/>
          <w:strike w:val="0"/>
          <w:noProof w:val="0"/>
          <w:color w:val="000000"/>
          <w:position w:val="0"/>
          <w:sz w:val="20"/>
          <w:u w:val="none"/>
          <w:vertAlign w:val="baseline"/>
        </w:rPr>
        <w:t> [*464] </w:t>
      </w:r>
      <w:r>
        <w:rPr>
          <w:rFonts w:ascii="arial" w:eastAsia="arial" w:hAnsi="arial" w:cs="arial"/>
          <w:b w:val="0"/>
          <w:i w:val="0"/>
          <w:strike w:val="0"/>
          <w:noProof w:val="0"/>
          <w:color w:val="000000"/>
          <w:position w:val="0"/>
          <w:sz w:val="20"/>
          <w:u w:val="none"/>
          <w:vertAlign w:val="baseline"/>
        </w:rPr>
        <w:t xml:space="preserve"> the "provision of substandard care in EPM episodes or other integrity problems." The commenter further recommended that CMS should apply a reasonable knowledge standard to compliance with this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interest in additional clarification regarding how a participant can ensure it complies with this payment restriction. We believe that we can provide additional clarity to the standard for not making a gainsharing payment by establishing that this provision only restricts an EPM participant's ability to make a gainsharing payment if CMS notifies the EPM participant of the action that would trigger the payment restriction. Specifically, we are modifying the provision to state, "An EPM participant must not make a gainsharing payment to an EPM collaborator if CMS has notified the EPM participant that such collaborator is subject to any action for noncompliance with this part or the fraud and abuse laws, or for the provision of substandard care in EPM episodes or has other integrity problems." This change should eliminate any uncertainty by the EPM participant about circumstances in which an EPM collaborator must not be paid a gainsharing payment, while also providing a sufficient safeguard against gainsharing with individuals and entities that present risk of patient harm or program abuse. Therefore, we are revising § 512.500(c)(8) accordingly.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adopting the alternative approach recommended by the commenter and using a reasonable knowledge standard would make enforcing this prohibition of distributing gainsharing payments to EPM collaborators under certain circumstances highly challenging, if not impossible. We believe the notification approach discussed previously allows for the "bright line" that the commenter was seeking, while maintaining the agency's ability to prevent gainsharing payments to an EPM collaborator that has program integrity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in § 512.500(c)(8) that an EPM participant must not make a gainsharing payment to an EPM collaborator if CMS has notified the EPM participant that such collaborator is subject to any action for noncompliance with this part or the fraud and abuse laws, or for the provision of substandard care in EPM episodes or has other integrity problems.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that CMS extend financial arrangements permitted under the EPM and CJR model to scenarios that extend beyond EPM episodes. The commenters believe that these requests would require fraud and abuse law waivers. One commenter encouraged CMS to allow for gainsharing on commercial and Medicaid episode payment arrangements that are similar to the CJR model or proposed under the EPM to increase the volume of cases on which hospitals can share gains with collaborators. Another commenter urged CMS to allow EPM participants and CJR participant hospitals to provide care management tools and services to beneficiaries and providers prior the start of the episode, consistent with activities contemplated by the Medicare Shared Savings Program, ACO participation waiver. While acknowledging that CMS is not inclined to start the episode prior to the date of the admission for the anchor hospitalization, the commenter explained that pre-episode services have been proven to not only improve patient outcomes and satisfaction but also to result in the delivery of more efficient and higher quality care. The commenter provided examples of pre-episode services they requested be allowed under the EPM and CJR model: comprehensive patient evaluation to assess a beneficiary's overall condition and chronic comorbid conditions' patient education videos and materials; discharge planning review and counseling; home safety reviews; and patient and caregiver education. Finally, another commenter requested that EPM participants and CJR participant hospitals be able to provide other providers, including post-acute care providers and PGPs in their communities with whom they collaborate, necessary telehealth equipment, health IT support, and items and services necessary to achieve the type of care integration necessary for the EPM and CJR model without fear of liability under anti-kickback, physician self-referral, and beneficiary inducement prohibitions.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descriptions provides by the commenters of additional care redesign strategies beyond care for EPM and CJR beneficiaries that could ultimately contribute to improvements in the quality of care and reductions in the cost of EPM and CJR episodes. While we understand that being able to share cost savings based on a larger volume of cases that includes patients in similar episode payment arrangements under Medicaid and commercial insurers could provide EPM participants and CJR participant hospitals more funds for aligning the financial incentives of their collaborators with the goals of the episode payment arrangements, we will not regulate arrangements for beneficiaries outside of those in EPM and CJR episodes in this rulemaking because it would be inappropriate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finalizing the initiation of EPM episodes with admission for the anchor hospitalization as discussed in sections III.4.a.(2) through (4) of this final rule, just as we finalized that same policy for the CJR model </w:t>
      </w:r>
      <w:hyperlink r:id="rId21" w:history="1">
        <w:r>
          <w:rPr>
            <w:rFonts w:ascii="arial" w:eastAsia="arial" w:hAnsi="arial" w:cs="arial"/>
            <w:b w:val="0"/>
            <w:i/>
            <w:strike w:val="0"/>
            <w:noProof w:val="0"/>
            <w:color w:val="0077CC"/>
            <w:position w:val="0"/>
            <w:sz w:val="20"/>
            <w:u w:val="single"/>
            <w:vertAlign w:val="baseline"/>
          </w:rPr>
          <w:t>(80 FR 73318).</w:t>
        </w:r>
      </w:hyperlink>
      <w:r>
        <w:rPr>
          <w:rFonts w:ascii="arial" w:eastAsia="arial" w:hAnsi="arial" w:cs="arial"/>
          <w:b w:val="0"/>
          <w:i w:val="0"/>
          <w:strike w:val="0"/>
          <w:noProof w:val="0"/>
          <w:color w:val="000000"/>
          <w:position w:val="0"/>
          <w:sz w:val="20"/>
          <w:u w:val="none"/>
          <w:vertAlign w:val="baseline"/>
        </w:rPr>
        <w:t xml:space="preserve"> We note that all AMI and SHFFT beneficiaries, as well as a significant percentage of CABG and CJR beneficiaries, would be admitted emergently to the EPM participant or CJR participant hospital, making pre-episode services not possible for these beneficiaries even if we were to permit them under the models. We did not propose to allow sharing arrangements for pre-episode services under the EPM and CJR model because we believe there are significant program integrity risks of patient steering and adverse patient selection for admissions for elective surgery, such as some CABG surgery and LEJR, that would be difficult to overcome if EPM participants and CJR participant hospitals were permitted to furnish pre-episode services beyond those allowed under current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we did not propose parameters for the provision of equipment and other items and services by EPM participants and CJR participant hospitals to their collaborators to aid in care integration beyond those that are permissible under current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 We believe that it would be very challenging to establish sufficient safeguards to protect beneficiary freedom of choice and guard against patient steering in such EPM and CJR model scenarios where EPM participants and CJR participant hospitals provided resources to collaborators that were not specifically based on the quality of care and the provision of EPM activities or CJR activities for beneficiaries in EPM episodes or CJR episodes by that collaborator.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that disclosure of sharing arrangements be required by the EPM participant to receive a reconciliation payment, so that CMS can confirm that hospitals have contracts in place with all the involved clinicians and post-acute care providers. The commenter further urged CMS to also require full disclosure of the total amount of all gainsharing payments and how much is </w:t>
      </w:r>
      <w:r>
        <w:rPr>
          <w:rFonts w:ascii="arial" w:eastAsia="arial" w:hAnsi="arial" w:cs="arial"/>
          <w:b/>
          <w:i w:val="0"/>
          <w:strike w:val="0"/>
          <w:noProof w:val="0"/>
          <w:color w:val="000000"/>
          <w:position w:val="0"/>
          <w:sz w:val="20"/>
          <w:u w:val="none"/>
          <w:vertAlign w:val="baseline"/>
        </w:rPr>
        <w:t> [*465] </w:t>
      </w:r>
      <w:r>
        <w:rPr>
          <w:rFonts w:ascii="arial" w:eastAsia="arial" w:hAnsi="arial" w:cs="arial"/>
          <w:b w:val="0"/>
          <w:i w:val="0"/>
          <w:strike w:val="0"/>
          <w:noProof w:val="0"/>
          <w:color w:val="000000"/>
          <w:position w:val="0"/>
          <w:sz w:val="20"/>
          <w:u w:val="none"/>
          <w:vertAlign w:val="baseline"/>
        </w:rPr>
        <w:t xml:space="preserve"> being distributed to each provider or supplier who furnished care to an EPM beneficiary, in order to ensure that payments for care delivery are as transparent as possible. Another commenter requested that CMS collect documents related to the calculation, distribution, receipt, or recoupment of gainsharing payments, alignment payments, distribution payments, and downstream distribution payments and other savings-related payments and the distribution to collaborating physicians and other healthcare professionals. The commenter believes that CMS could utilize these data for future efforts and to ensure program integrity, as well as to help examine the extent to which savings are equitably being shared by EPM participants with collaborating physicians and other healthcare professionals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previously in this section, we do not require EPM participants to enter into sharing arrangements, and we do not require that those sharing arrangements include any specific groups of providers, suppliers, or ACOs. Thus, we do not need to confirm the sharing arrangements that are in place with specific EPM collaborators prior to making a reconciliation payment to an EPM participant. However, we do require that EPM participants report the historical and current lists of collaborators on a Web page on the EPM participant's Web site of EPM collaborators as discussed in section III.I.4.d. of this final rule, which provides transparency regarding the identities of collaborators with EPM participants. In addition, CMS has the ability to request this information from EPM participants under the provisions regarding access to records and retention for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the requests that CMS consider routinely collecting specific information on the calculation, distribution, receipt, or recoupment of gainsharing payments, alignment payments, distribution payments, and downstream distribution payments and other savings-related payments and the distribution to collaborators. While EPM participants are required to provide this information to CMS upon request under the access to records and retention provisions for the EPM and CMS will exercise this authority where appropriate, we believe the routine submission of this information would create a substantial and unnecessary administrative burden on EPM participants given the large number of potential EPM collaborators and the expected varied nature of their respective arrangements with EPM participants. We also are mindful of the challenges associated with creating a universal collection tool that would account for all the various iterations of financial arrangements into which EPM participants and their collaborators may enter into.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agree with the commenters that transparency is important to ensure program integrity and to assist with evaluation of the model. We have tried, where possible, to ensure transparency regarding sharing, distribution, and downstream distribution arrangements without imposing undue administrative burden on the individuals and entities that enter into such arrangements. Because documenting financial arrangements is consistent with general business practices, we believe that our documentation requirements impose minimal additional administrative burden on EPM participants, their collaborators, collaboration agents, and downstream collaboration agents.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contemporaneous documentation of all arrangements and the written agreements must be in writing and signed by the parties, contain the date of the agreement, and be entered into before care is furnished to EPM beneficiaries under the arrangement. The written agreement for sharing arrangements also must specify the purpose and scope of the sharing arrangement, the identities and obligations of the parties, management and staffing information, and the financial or economic terms for payment. We believe that the goals of transparency and program integrity can be achieved by requiring EPM participants, EPM collaborators, collaboration agents, downstream collaboration agents, and any other individual and entities performing EPM activities maintain documentation for at least 10 years following the last day of the EPM participant's participation in the EPM and allowing CMS, OIG, HHS, and the Comptroller General or their designees access to such records. The evaluation for the EPM intends to examine factors associated with variations in success under the EPM and the likelihood of experiencing unintended consequences. Factors of interest include variations in how gainsharing, distribution, and downstream distribution payments are implemented between the parties. At this time, it is intended that such information on payments will be collected through mechanisms such as provider surveys, interviews and in case studies.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512.500(c) for EPM gainsharing payment, alignment payment, and internal cost savings conditions and restrictions, with modifications. In addition to the modifications previously discussed in this section, we are specifying that like PGPs, to be eligible to receive a gainsharing payment or to be required to make an alignment payment, a NPPGP or TGP must have billed for an item or service that was rendered by one or more NPPGP member or TGP member respectively to an EPM beneficiary during an EPM episode that occurred during the same performance year for which the EPM participant accrued the internal cost savings or earned the reconciliation payment that comprises the gainsharing payment or was assessed a repayment amount. In addition, like PGPs, the NPPGP or TGP must have contributed to EPM activities and been clinically involved in the care of EPM beneficiaries during the same performance year for which the EPM participant accrued the internal cost savings or earned the reconciliation payment that comprises the gainsharing payment or was assessed a repayment amount. Gainsharing payments, alignment payments, and internal cost savings must meet the following conditions and restrictions:</w:t>
      </w:r>
    </w:p>
    <w:p>
      <w:pPr>
        <w:keepNext w:val="0"/>
        <w:numPr>
          <w:numId w:val="5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Gainsharing payments, if any, must--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 derived solely from reconciliation payments, or internal cost savings, or both;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 distributed on an annual basis (not more than once per calendar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 be a loan, advance payment, or payment for referrals or other business;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 clearly identified as a gainsharing payment at the time it is paid.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be eligible to receive a gainsharing payment, an EPM collaborator must meet quality of care criteria for the performance year for which the EPM participant accrued the internal cost savings or earned the reconciliation payment that comprises the gainsharing payment. The quality of care criteria must be established by the EPM participant and directly related to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be eligible to receive a gainsharing payment, or to be required to make an alignment payment, an EPM collaborator other than an ACO, PGP, NPPGP, or TGP must have directly furnished a billable item or service to an EPM beneficiary during an EPM episode that occurred in the same performance year for which the EPM participant accrued the internal cost savings or earned the reconciliation payment that </w:t>
      </w:r>
      <w:r>
        <w:rPr>
          <w:rFonts w:ascii="arial" w:eastAsia="arial" w:hAnsi="arial" w:cs="arial"/>
          <w:b/>
          <w:i w:val="0"/>
          <w:strike w:val="0"/>
          <w:noProof w:val="0"/>
          <w:color w:val="000000"/>
          <w:position w:val="0"/>
          <w:sz w:val="20"/>
          <w:u w:val="none"/>
          <w:vertAlign w:val="baseline"/>
        </w:rPr>
        <w:t> [*466] </w:t>
      </w:r>
      <w:r>
        <w:rPr>
          <w:rFonts w:ascii="arial" w:eastAsia="arial" w:hAnsi="arial" w:cs="arial"/>
          <w:b w:val="0"/>
          <w:i w:val="0"/>
          <w:strike w:val="0"/>
          <w:noProof w:val="0"/>
          <w:color w:val="000000"/>
          <w:position w:val="0"/>
          <w:sz w:val="20"/>
          <w:u w:val="none"/>
          <w:vertAlign w:val="baseline"/>
        </w:rPr>
        <w:t xml:space="preserve"> comprises the gainsharing payment or was assessed a repayment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be eligible to receive a gainsharing payment, or to be required to make an alignment payment, an EPM collaborator that is a PGP, NPPGP, or TGP must meet the following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PGP, NPPGP, or TGP must have billed for an item or service that was rendered by one or more PGP member, NPPGP member, or TGP member respectively to an EPM beneficiary during an EPM episode that occurred during the same performance year for which the EPM participant accrued the internal cost savings or earned the reconciliation payment that comprises the gainsharing payment or was assessed a repayment amount;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PGP, NPPGP, or TGP must have contributed to EPM activities and been clinically involved in the care of EPM beneficiaries during the same performance year for which the EPM participant accrued the internal cost savings or earned the reconciliation payment that comprises the gainsharing payment or was assessed a repayment amount. For example, a PGP, NPPGP, or TGP might have been clinically involved in the care of EPM beneficiaries 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[caret][caret] Providing care coordination services to EPM beneficiaries during and/or after inpatient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[caret][caret] Engaging with an EPM participant in care redesign strategies, and actually performing a role in implementing such strategies, that are designed to improve the quality of care for EPM episodes and reduce EPM episode spending;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[caret][caret] In coordination with other providers and suppliers (such as PGP members, NPPGP members, or TGP members; the EPM participant; and post-acute care providers), implementing strategies designed to address and manage the comorbidities of EPM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be eligible to receive a gainsharing payment, or to be required to make an alignment payment, an EPM collaborator that is an ACO must meet the following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ACO must have had an ACO provider/supplier that directly furnished, or an ACO participant that billed for, an item or service that was rendered to an EPM beneficiary during an EPM episode that occurred during the same performance year for which the EPM participant accrued the internal cost savings or earned the reconciliation payment that comprises the gainsharing payment or was assessed a repayment amount;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ACO must have contributed to EPM activities and been clinically involved in the care of EPM beneficiaries during the same performance year for which the EPM participant accrued the internal cost savings or earned the reconciliation payment that comprises the gainsharing payment or was assessed a repayment amount. For example, an ACO might be have been clinically involved in the care of EPM beneficiaries 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[caret][caret] Providing care coordination services to EPM beneficiaries during and/or after inpatient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[caret][caret] Engaging with an EPM participant in care redesign strategies, and actually performing a role in implementing such strategies, that are designed to improve the quality of care and reduce spending for EPM episodes;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[caret][caret] In coordination with providers and suppliers (such as ACO participants, ACO providers/suppliers, the EPM participant, and post-acute care providers), implementing strategies designed to address and manage the comorbidities of EPM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methodology for accruing, calculating and verifying internal cost savings must be transparent, measurable, and verifiable in accordance with generally accepted accounting principles (GAAP) and Government Auditing Standards (The Yellow Book).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methodology used to calculate internal cost savings must reflect the actual, internal cost savings achieved by the EPM participant through the documented implementation of EPM activities identified by the EPM participant and must exclude: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savings realized by any individual or entity that is not the EPM participant;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"Paper" savings from accounting conventions or past investment in fixed costs.</w:t>
      </w:r>
    </w:p>
    <w:p>
      <w:pPr>
        <w:keepNext w:val="0"/>
        <w:numPr>
          <w:numId w:val="5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a gainsharing payment for a performance year paid to certain individuals and entities that are EPM collaborators must not exceed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the case of an EPM collaborator who is a physician or nonphysician practitioner, 50 percent of the Medicare-approved amounts under the PFS for items and services furnished by that physician or nonphysician practitioner to the EPM participant's EPM beneficiaries during EPM episodes that occurred during the same performance year for which the EPM participant accrued the internal cost savings or earned the reconciliation payment that comprises the gainsharing payment being made.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the case of an EPM collaborator that is a PGP or NPPGP, 50 percent of the Medicare-approved amounts under the PFS for items and services billed by that PGP or NPPGP and furnished to the EPM participant's EPM beneficiaries by the PGP members or NPPGP members respectively during EPM episodes that occurred during the same performance year for which the EPM participant accrued the internal cost savings or earned the reconciliation payment that comprises the gainsharing payment being made.</w:t>
      </w:r>
    </w:p>
    <w:p>
      <w:pPr>
        <w:keepNext w:val="0"/>
        <w:numPr>
          <w:numId w:val="5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gainsharing payments must be determined in accordance with a methodology that is substantially based on quality of care and the provision of EPM activities. The methodology may take into account the amount of such EPM activities provided by an EPM collaborator relative to other EPM collaborators.</w:t>
      </w:r>
    </w:p>
    <w:p>
      <w:pPr>
        <w:keepNext w:val="0"/>
        <w:numPr>
          <w:numId w:val="5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performance year, the aggregate amount of all gainsharing payments that are derived from a reconciliation payment the EPM participant receives from CMS must not exceed the amount of that reconciliation payment.</w:t>
      </w:r>
    </w:p>
    <w:p>
      <w:pPr>
        <w:keepNext w:val="0"/>
        <w:numPr>
          <w:numId w:val="5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entity or individual, whether a party to a sharing arrangement or not, may condition the opportunity to make or receive gainsharing payments or to make or receive alignment payments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w:t>
      </w:r>
    </w:p>
    <w:p>
      <w:pPr>
        <w:keepNext w:val="0"/>
        <w:numPr>
          <w:numId w:val="5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EPM participant must not make a gainsharing payment to an EPM collaborator if CMS has notified the EPM participant that such collaborator is subject to any action for noncompliance with this part or the fraud and abuse laws, or for the provision of substandard care to EPM beneficiaries or other integrity problems.</w:t>
      </w:r>
    </w:p>
    <w:p>
      <w:pPr>
        <w:keepNext w:val="0"/>
        <w:numPr>
          <w:numId w:val="5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require the EPM participant to recoup any gainsharing payment that contained funds derived from a CMS overpayment on a reconciliation report or was based on the submission of false or fraudulent data.</w:t>
      </w:r>
    </w:p>
    <w:p>
      <w:pPr>
        <w:keepNext w:val="0"/>
        <w:numPr>
          <w:numId w:val="5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Alignment payments from an EPM collaborator to an EPM participant may be made at any interval that is agreed upon by both parties, and must not 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Issued, distributed, or paid prior to the calculation by CMS of a </w:t>
      </w:r>
      <w:r>
        <w:rPr>
          <w:rFonts w:ascii="arial" w:eastAsia="arial" w:hAnsi="arial" w:cs="arial"/>
          <w:b/>
          <w:i w:val="0"/>
          <w:strike w:val="0"/>
          <w:noProof w:val="0"/>
          <w:color w:val="000000"/>
          <w:position w:val="0"/>
          <w:sz w:val="20"/>
          <w:u w:val="none"/>
          <w:vertAlign w:val="baseline"/>
        </w:rPr>
        <w:t> [*467] </w:t>
      </w:r>
      <w:r>
        <w:rPr>
          <w:rFonts w:ascii="arial" w:eastAsia="arial" w:hAnsi="arial" w:cs="arial"/>
          <w:b w:val="0"/>
          <w:i w:val="0"/>
          <w:strike w:val="0"/>
          <w:noProof w:val="0"/>
          <w:color w:val="000000"/>
          <w:position w:val="0"/>
          <w:sz w:val="20"/>
          <w:u w:val="none"/>
          <w:vertAlign w:val="baseline"/>
        </w:rPr>
        <w:t xml:space="preserve"> repayment amount reflected in a reconciliation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Loans, advance payments, or payments for referrals or other business;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Assessed by an EPM participant if it does not owe a repayment amount.</w:t>
      </w:r>
    </w:p>
    <w:p>
      <w:pPr>
        <w:keepNext w:val="0"/>
        <w:numPr>
          <w:numId w:val="5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must not receive any amounts under a sharing arrangement from an EPM collaborator that are not alignment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performance year, the aggregate amount of all alignment payments received by the EPM participant must not exceed 50 percent of the EPM participant's repayment amount.</w:t>
      </w:r>
    </w:p>
    <w:p>
      <w:pPr>
        <w:keepNext w:val="0"/>
        <w:numPr>
          <w:numId w:val="5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aggregate amount of all alignment payments from an EPM collaborator to the EPM participant may not be greater than--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 respect to an EPM collaborator other than an ACO, 25 percent of the EPM participant's repayment amount;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 respect to an EPM collaborator that is an ACO, 50 percent of the EPM participant's repayment amount.</w:t>
      </w:r>
    </w:p>
    <w:p>
      <w:pPr>
        <w:keepNext w:val="0"/>
        <w:numPr>
          <w:numId w:val="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alignment payments must be determined in accordance with a methodology that does not directly account for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w:t>
      </w:r>
    </w:p>
    <w:p>
      <w:pPr>
        <w:keepNext w:val="0"/>
        <w:numPr>
          <w:numId w:val="5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gainsharing payments and any alignment payments must be administered by the EPM participant in accordance with generally accepted accounting principles (GAAP) and Government Auditing Standards (The Yellow Book).</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gainsharing payments and alignment payments must be made by check, electronic funds transfer, or another traceable cash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Documentation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the integrity of the sharing arrangements, we proposed that EPM participants must meet a variety of documentation requirements for these arrangements. Specifically, we proposed that the EPM participant must--</w:t>
      </w:r>
    </w:p>
    <w:p>
      <w:pPr>
        <w:keepNext w:val="0"/>
        <w:numPr>
          <w:numId w:val="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 the sharing arrangement contemporaneously with the establishment of the arrangement;</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accurate current and historical lists of all EPM collaborators, including EPM collaborator names and addresses; update such lists on at least a quarterly basis; and publicly report the current and historical lists of EPM collaborators on a Web page on the EPM participant's Web site; and</w:t>
      </w:r>
    </w:p>
    <w:p>
      <w:pPr>
        <w:keepNext w:val="0"/>
        <w:numPr>
          <w:numId w:val="5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and require each EPM collaborator to maintain contemporaneous documentation with respect to the payment or receipt of any gainsharing payment or alignment payment that includes at a minimum the--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Nature of the payment (gainsharing payment or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Identity of the parties making and receiving the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 of the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Amount of the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 and amount of any recoupment of all or a portion of an EPM collaborator's gainsharing payment;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Explanation for each recoupment, such as whether the EPM collaborator received a gainsharing payment that contained funds derived from a CMS overpayment on a reconciliation report, or was based on the submission of false or fraudulent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proposed that the EPM participant must keep records for all of the following:</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process for determining and verifying its potential and current EPM collaborators' eligibility to participate in Medicare.</w:t>
      </w:r>
    </w:p>
    <w:p>
      <w:pPr>
        <w:keepNext w:val="0"/>
        <w:numPr>
          <w:numId w:val="5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plan to track internal cost savings.</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on the accounting systems used to track internal cost savings;</w:t>
      </w:r>
    </w:p>
    <w:p>
      <w:pPr>
        <w:keepNext w:val="0"/>
        <w:numPr>
          <w:numId w:val="5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current health information technology, including systems to track reconciliation payments and internal cost savings; and</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plan to track gainsharing payments and alignment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proposed that the EPM participant must retain and provide access to, and must require each EPM collaborator to retain and provide access to, the required documentation in accordance with proposed § 512.110.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requirements for documentation of sharing arrangements under the EPM were included in proposed § 512.500(d). We sought comment about all of the requirements set out in the preceding discussion, including whether additional or different safeguards would be needed to ensure program integrity, protect against abuse, and ensure that the goals of the EPM were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specific comments on the proposed documentation requirements for EPM sharing arrangements other than the comment discussed previously requesting further documentation related to the criteria for selection of EPM collaborators.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the proposals in § 512.500(d) for EPM documentation requirements, with the modification previously discussed to require the EPM participant to publicly post the written policies for selecting EPM collaborators on a Web page on the EPM participant's Web site and the reorganization to consolidate and streamline the documentation requirements related to public posting. EPM sharing arrangements must meet the following documentation requirements:</w:t>
      </w:r>
    </w:p>
    <w:p>
      <w:pPr>
        <w:keepNext w:val="0"/>
        <w:numPr>
          <w:numId w:val="5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must do all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Document the sharing arrangement contemporaneously with the establishment of the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Publicly post (and update on at least a quarterly basis) on a Web page on the EPM participant's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Accurate current and historical lists of all EPM collaborators, including EPM collaborator names and addresses.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Written policies for selecting individuals and entities to be EPM collaborators required by § 512.500(a)(3).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Maintain and require each EPM collaborator to maintain contemporaneous documentation with respect to the payment or receipt of any gainsharing payment or alignment payment that includes at a minimum all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--Nature of the payment (gainsharing payment or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--Identity of the parties making and receiving the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of the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--Amount of the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and amount of any recoupment of all or a portion of an EPM collaborator's gainsharing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--Explanation for each recoupment, such as whether the EPM collaborator received a gainsharing payment that contained funds derived from a CMS overpayment on a reconciliation report, or was based on the submission of false or fraudulent data.</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must keep records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Its process for determining and verifying its potential and current EPM collaborators' eligibility to participate in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Its plan to track internal cost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Information on the accounting systems used to track internal cost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description of current health information technology, including systems to track reconciliation payments and internal cost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Its plan to track gainsharing payments and alignment payments. </w:t>
      </w:r>
      <w:r>
        <w:rPr>
          <w:rFonts w:ascii="arial" w:eastAsia="arial" w:hAnsi="arial" w:cs="arial"/>
          <w:b/>
          <w:i w:val="0"/>
          <w:strike w:val="0"/>
          <w:noProof w:val="0"/>
          <w:color w:val="000000"/>
          <w:position w:val="0"/>
          <w:sz w:val="20"/>
          <w:u w:val="none"/>
          <w:vertAlign w:val="baseline"/>
        </w:rPr>
        <w:t> [*468] </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must retain and provide access to, and must require each EPM collaborator to retain and provide access to, the required documentation in accordance with § 512.110.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Distribution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CJR model, we proposed that certain financial arrangements between EPM collaborators and other individuals or entities called "collaboration agents" be termed "distribution arrangements." A distribution arrangement would be a financial arrangement between an EPM collaborator that was an ACO or PGP and a collaboration agent for the sole purpose of sharing a gainsharing payment received by the ACO or PGP. We proposed that a collaboration agent would be an individual or entity that was not an EPM collaborator and that was either a PGP member that had entered into a distribution arrangement with the same PGP in which he or she was an owner or employee or an ACO participant or ACO provider/supplier that had entered into a distribution arrangement with the same ACO in which it was participating. Where a payment from an EPM collaborator to a collaboration agent was made pursuant to an EPM distribution arrangement, we proposed to define that payment as a "distribution payment." A collaboration agent could only make a distribution payment in accordance with a distribution arrangement which complied with the provisions of proposed § 512.505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general provisions for distribution arrangements under the EPM were included in proposed § 512.505(a). We sought comment about all of the provisions set out in the preceding discussion, including whether additional or different safeguards would be needed to ensure program integrity, protect against abuse, and ensure that the goals of the EPM were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specific comments on the proposed general provisions for distribution arrangements under the EPM.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the proposals in § 512.505(a) for the general requirements for EPM distribution arrangements, with modification to allow NPPGPs or TGPs to enter into distribution arrangements with NPPGP members or TGP members respectively. Similar to PGPs when they are EPM collaborators, we believe it is appropriate to allow NPPGPs or TGPs to enter into distribution arrangements with NPPGP members or TGP members respectively for the sole purpose of sharing a gainsharing payment received by the NPPGP or TGP. Distribution arrangements under the EPM must comply with the following general provisions:</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ACO, PGP, NPPGP, or TGP that has entered into a sharing arrangement with an EPM participant may distribute all or a portion of any gainsharing payment it receives from the EPM participant only in accordance with a distribution arrangement.</w:t>
      </w:r>
    </w:p>
    <w:p>
      <w:pPr>
        <w:keepNext w:val="0"/>
        <w:numPr>
          <w:numId w:val="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distribution arrangements must comply with the provisions of this section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a number of specific requirements for distribution arrangements as a program integrity safeguard to help ensure that their sole purpose was to create financial alignment between EPM collaborators and collaboration agents toward the goals of the EPM to improve the quality and efficiency of EPM episodes. These requirements largely paralleled those proposed in § 512.500(b) and (c) for sharing arrangements and gainsharing payments based on similar reasoning for these two types of arrangements and payments. We proposed that all distribution arrangements must be in writing and signed by the parties, contain the date of the agreement, and be entered into before care was furnished to EPM beneficiaries under the distribution arrangement. Furthermore, we proposed that participation must be voluntary and without penalty for nonparticipation, and the distribution arrangement must require the collaboration agent to comply with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our proposal for gainsharing payments, we proposed that the opportunity to make or receive a distribution payment must not be conditioned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 We proposed more flexible standards for the determination of the amount of distribution payments from ACOs and PGPs for the same reasons we proposed this standard for the determination of gainsharing payments. Specifically, for ACOs we proposed that the amount of any distribution payments must be determined in accordance with a methodology that was substantially based on quality of care and the provision of EPM activities and that may take into account the amount of such EPM activities provided by a collaboration agent relative to other collaboration agents. In the proposed rule, we discussed our belief that the amount of a collaboration agent's provision of EPM activities (including direct care) to EPM beneficiaries during EPM episodes might contribute to the EPM participant's internal cost savings and reconciliation payment that might be available for making a gainsharing payment to the EPM collaborator with which the collaboration agent had a distribution arrangement. Greater contributions of EPM activities by one collaboration agent versus another collaboration agent that resulted in different contributions to the gainsharing payment made to the EPM collaborator with which those collaboration agents both had a distribution arrangement might be appropriately valued in the methodology used to make distribution payments to those collaboration agents. Accordingly, we believed this would be the appropriate standard for determining the amount of distribution payments from an ACO to its collaboration agents.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noted that for distribution payments made by a PGP to PGP members, the requirement that the amount of any distribution payments must be determined in accordance with a methodology that was substantially based on quality of care and the provision of EPM activities might be more limiting in how a PGP paid its members than was allowed under existing law. Therefore, to retain existing flexibility for distribution payments by a PGP to PGP members, we proposed that the amount of the distribution payment from a PGP to PGP members must be determined either using the methodology previously described for distribution payments from an ACO or in a manner that complied with § 411.352(g). We noted that the proposed option to allow the amount of the distribution payment from a PGP to a PGP member to be determined in a manner that complied with § 411.352(g) was not currently permitted under the CJR model, although we proposed this change for </w:t>
      </w:r>
      <w:r>
        <w:rPr>
          <w:rFonts w:ascii="arial" w:eastAsia="arial" w:hAnsi="arial" w:cs="arial"/>
          <w:b/>
          <w:i w:val="0"/>
          <w:strike w:val="0"/>
          <w:noProof w:val="0"/>
          <w:color w:val="000000"/>
          <w:position w:val="0"/>
          <w:sz w:val="20"/>
          <w:u w:val="none"/>
          <w:vertAlign w:val="baseline"/>
        </w:rPr>
        <w:t> [*469] </w:t>
      </w:r>
      <w:r>
        <w:rPr>
          <w:rFonts w:ascii="arial" w:eastAsia="arial" w:hAnsi="arial" w:cs="arial"/>
          <w:b w:val="0"/>
          <w:i w:val="0"/>
          <w:strike w:val="0"/>
          <w:noProof w:val="0"/>
          <w:color w:val="000000"/>
          <w:position w:val="0"/>
          <w:sz w:val="20"/>
          <w:u w:val="none"/>
          <w:vertAlign w:val="baseline"/>
        </w:rPr>
        <w:t xml:space="preserve"> the CJR model in section V.J. of the proposed rule </w:t>
      </w:r>
      <w:hyperlink r:id="rId9" w:history="1">
        <w:r>
          <w:rPr>
            <w:rFonts w:ascii="arial" w:eastAsia="arial" w:hAnsi="arial" w:cs="arial"/>
            <w:b w:val="0"/>
            <w:i/>
            <w:strike w:val="0"/>
            <w:noProof w:val="0"/>
            <w:color w:val="0077CC"/>
            <w:position w:val="0"/>
            <w:sz w:val="20"/>
            <w:u w:val="single"/>
            <w:vertAlign w:val="baseline"/>
          </w:rPr>
          <w:t>(81 FR 50965).</w:t>
        </w:r>
      </w:hyperlink>
      <w:r>
        <w:rPr>
          <w:rFonts w:ascii="arial" w:eastAsia="arial" w:hAnsi="arial" w:cs="arial"/>
          <w:b w:val="0"/>
          <w:i w:val="0"/>
          <w:strike w:val="0"/>
          <w:noProof w:val="0"/>
          <w:color w:val="000000"/>
          <w:position w:val="0"/>
          <w:sz w:val="20"/>
          <w:u w:val="none"/>
          <w:vertAlign w:val="baseline"/>
        </w:rPr>
        <w:t xml:space="preserve"> This proposal would allow a PGP the choice either to comply with the general standard that the amount of a distribution payment must be substantially based on quality of care and the provision of EPM activities or to provide its members a financial benefit through the EPM without consideration of the PGP member's individual quality of care. In the latter case, PGP members who were not collaboration agents (including those who furnished no services to EPM beneficiaries) would be able receive a share of the profits from their PGP that included the monies contained in a gainsharing payment. We believed this would be an appropriate exception to the general standard for determining the amount of distribution payment under the EPM from a PGP to a PGP member because CMS has determined under the physician self-referral law that payments from a group practice as defined under § 411.352 to its members that comply with § 411.352(g) are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this proposal and specifically whether there were additional safeguards or a different standard was needed to allow for greater flexibility in calculating the amount of distribution payments that would avoid program integrity risks and whether additional or different safeguards were reasonable, necessary, or appropriate for the amount of distribution payments from a PGP to its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our proposed requirements for sharing arrangements for those EPM collaborators that furnished or billed for items and services, except for a distribution payment from a PGP to a PGP member that complied with § 411.352(g), we proposed that a collaboration agent would be eligible to receive a distribution payment only if the collaboration agent furnished or billed for an item or service rendered to an EPM beneficiary during an EPM episode that occurred during the same performance year for which the EPM participant accrued the internal cost savings or earned the reconciliation payment that comprised the gainsharing payment being distributed. We noted that all individuals and entities that fell within our proposed definition of collaboration agent might either directly furnish or bill for items and services rendered to EPM beneficiaries. This proposal ensured that, absent the alternative safeguards afforded by a PGP's distribution payments in compliance with § 411.352(g), there would be the same required relationship between direct care for EPM beneficiaries during EPM episodes and distribution payment eligibility that we proposed to require for gainsharing payment eligibility. We believed this requirement would provide a safeguard against payments to collaboration agents that were unrelated to direct care for EPM beneficiaries during EPM episodes when the amount of the distribution payment was not determined in a manner that complies with § 411.352(g).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Except for a distribution payment from a PGP to a PGP member that complied with § 411.352(g), we proposed the same limitations on the total amount of distribution payments to physicians, nonphysician practitioners, and PGPs as we proposed for gainsharing payments. In the case of a collaboration agent that was a physician or nonphysician practitioner, we proposed to limit the total amount of distribution payments paid for a performance year to the collaboration agent to 50 percent of the total Medicare-approved amounts under the PFS for items and services furnished by the collaboration agent to the EPM participant's EPM beneficiaries during EPM episodes that occurred during the same performance year for which the EPM participant accrued the internal cost savings or earned the reconciliation payment that comprised the gainsharing payment being distributed. In the case of a collaboration agent that was a PGP, we proposed that the limit would be 50 percent of the total Medicare-approved amounts under the PFS for items and services billed by the PGP for items and services furnished by members of the PGP to the EPM participant's EPM beneficiaries during EPM episodes that occurred during the same performance year for which the EPM participant accrued the internal cost savings or earned the reconciliation payment that comprised the gainsharing payment being distributed. In the proposed rule, we discussed our belief that, absent the alternative safeguards afforded by a PGP's distribution payments in compliance with § 411.352(g), these proposed limitations on distribution payments, which were the same as those for proposed for gainsharing payments to physicians, nonphysician practitioners, and PGPs, were necessary to eliminate any financial incentives for these individuals or entities to engage in a financial arrangement as an EPM collaborator versus as a collaboration agent. Furthermore, we believed that PGPs should be able to choose whether to engage in financial arrangements directly with EPM participants as EPM collaborators or in distribution arrangements with the ACO in which they were an ACO participant if that ACO played a role in EPM care redesign as an EPM collaborator, without having a different limit on their maximum financial gain from one arrangement versus another.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proposed that with respect to the distribution of any gainsharing payment received by a PGP or ACO, the total amount of all distribution payments must not exceed the amount of the gainsharing payment received by the EPM collaborator from the EPM participant. Like gainsharing and alignment payments, we proposed that all distribution payments must be made by check, electronic funds transfer, or another traceable cash transaction. The collaboration agent must retain the ability to make decisions in the best interests of the patient, including the selection of devices, supplies, and treatments. Finally, we proposed that the distribution arrangement must not induce the collaboration agent to reduce or limit medically necessary items and services to any Medicare beneficiary or reward the provision of items and services that were medically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EPM collaborator must maintain contemporaneous documentation regarding distribution arrangements in accordance with proposed § 512.110, including:</w:t>
      </w:r>
    </w:p>
    <w:p>
      <w:pPr>
        <w:keepNext w:val="0"/>
        <w:numPr>
          <w:numId w:val="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relevant written agreements;</w:t>
      </w:r>
    </w:p>
    <w:p>
      <w:pPr>
        <w:keepNext w:val="0"/>
        <w:numPr>
          <w:numId w:val="5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and amount of any distribution payment(s);</w:t>
      </w:r>
    </w:p>
    <w:p>
      <w:pPr>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identity of each collaboration agent that received a distribution payment; and</w:t>
      </w:r>
    </w:p>
    <w:p>
      <w:pPr>
        <w:keepNext w:val="0"/>
        <w:numPr>
          <w:numId w:val="5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methodology and accounting formula for determining the amount of any distribution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the EPM collaborator may not enter into a distribution arrangement with any individual or entity that has a sharing arrangement with the same EPM participant. This proposal would ensure that the proposed separate limitations on the total amount of gainsharing payment and distribution payment to PGPs, physicians, and nonphysician practitioners that were substantially based on quality of care and the provision of EPM activities were not exceeded in absolute dollars by a PGP, physician, or nonphysician practitioner's participation in both a sharing arrangement and distribution arrangement for the care of the same EPM beneficiaries during EPM episodes. Allowing both types of arrangements for the same individual or entity for care of the same EPM beneficiaries during EPM episodes could also allow for duplicate counting of the individual or entity's </w:t>
      </w:r>
      <w:r>
        <w:rPr>
          <w:rFonts w:ascii="arial" w:eastAsia="arial" w:hAnsi="arial" w:cs="arial"/>
          <w:b/>
          <w:i w:val="0"/>
          <w:strike w:val="0"/>
          <w:noProof w:val="0"/>
          <w:color w:val="000000"/>
          <w:position w:val="0"/>
          <w:sz w:val="20"/>
          <w:u w:val="none"/>
          <w:vertAlign w:val="baseline"/>
        </w:rPr>
        <w:t> [*470] </w:t>
      </w:r>
      <w:r>
        <w:rPr>
          <w:rFonts w:ascii="arial" w:eastAsia="arial" w:hAnsi="arial" w:cs="arial"/>
          <w:b w:val="0"/>
          <w:i w:val="0"/>
          <w:strike w:val="0"/>
          <w:noProof w:val="0"/>
          <w:color w:val="000000"/>
          <w:position w:val="0"/>
          <w:sz w:val="20"/>
          <w:u w:val="none"/>
          <w:vertAlign w:val="baseline"/>
        </w:rPr>
        <w:t xml:space="preserve"> same quality of care and provision of EPM activities in the methodologies for both gainsharing and distribution payments, leading to financial gain that was disproportionate to the quality of care and provision of EPM activities by that individual or entity. Finally, we proposed that the EPM collaborator must retain and provide access to, and must require collaboration agents to retain and provide access to, the required documentation in accordance with proposed § 512.110.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proposals for requirements for distribution arrangements under the EPM were included in proposed § 512.505(b). We sought comment about all of the requirements set out in the preceding discussion, including whether additional or different safeguards would be needed to ensure program integrity, protect against abuse, and ensure that the goals of the EPM were met. In addition, we sought comment on how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the financial arrangements under this proposal might interact with how these or similar financial arrangements are regulated under the Medicare Shared Savings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who expressed support for the proposed cap on distribution and downstream distribution payments by PGPs to individual clinicians at 50 percent of the total Medicare-approved amounts under the PFS for items and services furnished by the clinician to the EPM participant's EPM beneficiaries during EPM episodes in the applicable time period opposed CMS' proposal to eliminate the requirements to link quality to these payments and for the clinicians to provide services to EPM beneficiaries in EPM episodes for PGP payments to clinicians under a methodology that complies with § 411.352(g). The commenter observed that under CMS' proposal, distribution arrangements would be subject to many of the same requirements as sharing arrangements. They claimed that while some PGPs may want to cascade funds in the same way as other funds that are paid in accordance with § 411.352(g), a provision that prohibits physicians in a group practice from being directly or indirectly compensated based on the volume or value of his or her referrals, the commenter believes that the provision of all payments under EPM financial arrangements, including gainsharing payments, distribution payments, and downstream distribution payments, should have a direct association with high-quality, cost-effective care furnished to EPM beneficiaries.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concerns about our proposal to allow distribution payments and downstream distribution payments to be made by a PGP to PGP members either based on a methodology that complies with § 411.352(g) or in accordance with a methodology that is substantially based on quality of care and the provision of EPM activities. Under the latter methodology, we proposed that the PGP member who is a collaboration agent or a downstream collaboration agent would be eligible to receive a payment if he or she furnished or billed for an item or service rendered to an EPM beneficiary during an EPM episode during the applicable time period and the total amount of payment for a performance year would be subject to a cap. These requirements would not apply to distribution or downstream distribution payments by a PGP to PGP members based on a methodology that complies with § 411.352(g).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remain concerned that without the § 411.352(g) exception that we proposed, the distribution and downstream distribution methodologies would be more limiting in how a PGP pays its members than is allowed under existing law. Our proposal would allow a PGP the choice either to comply with the standard under the EPM that the amount of a distribution payment or downstream distribution payment must be substantially based on quality of care and the provision of EPM activities or to provide its members a financial benefit under the general standard at § 411.352(g) without consideration of the PGP member's individual quality of care. In the latter case, PGP members who are not collaboration agents or downstream collaboration agents (including those who furnished no services to EPM beneficiaries) would be able receive a share of the profits from their PGP that includes the monies contained in a gainsharing or distribution payment. We continue to believe this is an appropriate exception to the standard created under the EPM for determining the amount of distribution payment under the EPM from a PGP to a PGP member because CMS has determined under the physician self-referral law that payments from a group practice as defined under § 411.352 to its members that comply with § 411.352(g) are appropriate. We note that even in such cases, our proposal includes some requirements to ensure a nexus between the financial arrangements and the care provided by PGP members to beneficiaries in EPM episodes. In addition to the requirement in § 512.500(c)(2)(i) that for any EPM collaborator to be eligible receive a gainsharing payment, the EPM collaborator must meet quality of care criteria for the performance year, under § 512.500(c)(2)(iii) we further specify that for PGPs to be eligible to receive a gainsharing payment the PGP also must have billed for an item or service that was rendered by one or more members of the PGP to an EPM beneficiary during an EPM episode during the applicable time period and that the PGP must have contributed substantially to EPM activities and been clinically involved in the care of EPM beneficiaries during that same time period. We believe these requirements for gainsharing eligibility establish a clear link between the quality of care furnished to EPM beneficiaries by PGP members and EPM activities by the PGP and the subsequent financial arrangements between the PGP and its members. In addition, we require in § 512.505(b)(5) that the amount of any distribution payments from an ACO (including those to a PGP) must be determined in accordance with a methodology that is substantially based on quality of care and the provision of EPM activities. Therefore, we believe there is a sufficiently close link between distribution payments and downstream distribution payments that comply with § 411.352(g) and the quality of care furnished to EPM beneficiaries by PGP members and EPM activities by the PGP that allowing payments by the PGP to its members that comply with § 411.352(g) does not substantially threaten the important relationship between payments under the EPM financial arrangements and the quality of furnished to EPM beneficiaries in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in §§ 512.505(6) and 512.510(6) that the amount of any distribution payments or downstream distribution payments from a PGP to a PGP member must be determined either in a manner that complies with § 411.352(g) of this chapter or in accordance with a methodology that is substantially based on quality of care and the provision EPM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clarification about whether a provider of outpatient therapy services can receive distribution payments or downstream distribution payments as either a member of a PGP who is an EPM collaborator or as a member of a PGP that is an ACO participant in an ACO that has a distribution arrangement with an EPM collaborator.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sought to clarify whether groups of nonphysician </w:t>
      </w:r>
      <w:r>
        <w:rPr>
          <w:rFonts w:ascii="arial" w:eastAsia="arial" w:hAnsi="arial" w:cs="arial"/>
          <w:b/>
          <w:i w:val="0"/>
          <w:strike w:val="0"/>
          <w:noProof w:val="0"/>
          <w:color w:val="000000"/>
          <w:position w:val="0"/>
          <w:sz w:val="20"/>
          <w:u w:val="none"/>
          <w:vertAlign w:val="baseline"/>
        </w:rPr>
        <w:t> [*471] </w:t>
      </w:r>
      <w:r>
        <w:rPr>
          <w:rFonts w:ascii="arial" w:eastAsia="arial" w:hAnsi="arial" w:cs="arial"/>
          <w:b w:val="0"/>
          <w:i w:val="0"/>
          <w:strike w:val="0"/>
          <w:noProof w:val="0"/>
          <w:color w:val="000000"/>
          <w:position w:val="0"/>
          <w:sz w:val="20"/>
          <w:u w:val="none"/>
          <w:vertAlign w:val="baseline"/>
        </w:rPr>
        <w:t xml:space="preserve"> practitioners could enter into financial arrangements under the EPM.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definition of a member of a PGP or PGP member means "a physician, nonphysician practitioner, or therapist who is an owner or employer of a PGP and who has reassigned to the PGP his or her right to receive Medicare payment." Thus, therapists who are PGP members may be eligible to receive distribution payments or downstream distribution payments when those PGPs enter into financial arrangements under the EPM in accordance with all the requirements in this final rule. We are finalizing in § 512.2 the definition of member of the PGP or PGP member to include therapists.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as we discussed previously, in response to commenters' confusion regarding the permissibility of financial arrangements for therapists both as individuals and as part of groups we adopt multiple clarifications in this final rule to affirm the permissibility of such arrangements and to clarify the applicable requirements. In addition to the adoption of new definitions that clarify the sharing arrangements available to therapists in private practice or TGPs as discussed previously, this final rule adopts parameters for TGPs and therapists in private practice to receive distribution payments from an ACO that is an EPM collaborator, for TGPs to make distribution payments and downstream distribution payments to their members, and for therapists to receive distribution payments and downstream distribution payments as either members of NPPGPs or members of TGPs.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in response to commenters seeking clarity on whether groups of nonphysician practitioners are eligible to enter into financial arrangements under the EPM that mirror those expressly permitted for PGPs, in this final rule, we affirm the permissibility of and parameters for such arrangements for NPPGPs. In addition to the provisions discussed previously and as discussed further later in this section, the final rule establishes parameters for distribution payments to NPPGPs that directly parallel the parameters we proposed and now finalize for such payments to PGPs. Similarly, as is also discussed further later in this section, the parameters for distribution payments and downstream distribution payments by an NPPGP to its members directly parallel the parameters for distribution payments and downstream distribution payments by a PGP to its members as proposed and adopted in this final rule except for, due to the inapplicability of the physician self-referral law and its exceptions, NPPGPs do not have the options afforded to PGPs to make distributions to their members in a manner that complies with § 411.352(g) of this chapter.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512.505(b) for the requirements for EPM distribution arrangements, with modification to include policies for NPPGPs or TGPs that enter into distribution arrangements with NPPGP members or TGP members respectively. Like a PGP, an NPPGP that is an ACO participant in an ACO that is an EPM collaborator may enter into distribution arrangement with the ACO. The distribution payments to the NPPGP are subject to the same requirements as the distribution payments to PGPs that are collaboration agents. The NPPGP is eligible to receive a distribution payment only if the collaboration agent billed for an item or service rendered to an EPM beneficiary during an EPM episode that occurred during the same performance year for which the EPM participant accrued the internal cost savings or earned the reconciliation payment that comprises the gainsharing payment being distributed. The distribution payment to the NPPGP is capped at 50 percent of the total Medicare-approved amounts under the PFS for items and services billed by the NPPGP for items and services furnished by NPPGP members to the EPM participant's EPM beneficiaries during EPM episodes that occurred during the same performance year for which the EPM participant accrued the internal cost savings or earned the reconciliation payment that comprises the gainsharing payment being distributed.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an NPPGP is an EPM collaborator, it may enter into a distribution arrangement with a NPPGP member, who is a nonphysician practitioner or therapist who is an owner or employee of a NPPGP and who has reassigned to the NPPGP his or her right to receive Medicare payment. The requirements for NPPGP distribution payments under those distribution arrangements are the same as those for PGPs, except that we allow the amount of any distribution payments from a PGP to a PGP member to be determined in a manner that complies with § 411.352(g). While CMS has determined that under the physician self-referral law payments from a group practice as defined under § 411.352 to its members that comply with § 411.352(g) are appropriate, NPPGPs do not fall under this definition of group practice. Therefore, the amount of any distribution payments from a NPPGP to a NPPGP member must always be determined in accordance with a methodology that is substantially based on quality of care and the provision EPM activities, the same standard that applies to PGP distribution payments that are not determined in a manner that complies with § 411.352(g). Like the requirement for PGP members when a distribution payment does not comply with § 411.352(g), a NPPGP member is eligible to receive a distribution payment only if the collaboration agent furnished an item or service to an EPM beneficiary during an EPM episode that occurred during the same performance year for which the EPM participant accrued the internal cost savings or earned the reconciliation payment that comprises the gainsharing payment being distributed. Finally, the total amount of distribution payments paid for a performance year to the NPPG member may not exceed 50 percent of the total Medicare-approved amounts under the PFS for items and services furnished by the NPPGP member to the EPM participant's EPM beneficiaries during EPM episodes that occurred during the same performance year for which the EPM participant accrued the internal cost savings or earned the reconciliation payment that comprises the gainsharing payment being distributed. In addition, with respect to the distribution of any gainsharing payment received by a NPPGP, the total amount of all distribution payments must not exceed the amount of the gainsharing payment received by the EPM collaborator from the EPM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a PGP and NPPGP, a TGP that is an ACO participant in an ACO that is an EPM collaborator may enter into distribution arrangement with the ACO. The distribution payments to the TGP are not subject to the cap that applies to PGPs and NPPGPs. While we cap distribution payments to physicians and nonphysician practitioners, we will not cap such payments to therapists in private practice for the same reasons discussed for gainsharing payments to these individuals and, therefore, we will not cap distribution payments to TGPs. Like PGPs and NPPGPs, the TGP is eligible to receive a distribution payment only if the collaboration agent billed for an item or service rendered to an EPM beneficiary during an EPM episode that occurred during the same performance year for which the EPM participant accrued the internal cost savings or earned the reconciliation payment that comprises the gainsharing payment being distributed.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a TGP is an EPM collaborator, it may enter into a distribution arrangement with a TGP member, who is a therapist who is an owner or </w:t>
      </w:r>
      <w:r>
        <w:rPr>
          <w:rFonts w:ascii="arial" w:eastAsia="arial" w:hAnsi="arial" w:cs="arial"/>
          <w:b/>
          <w:i w:val="0"/>
          <w:strike w:val="0"/>
          <w:noProof w:val="0"/>
          <w:color w:val="000000"/>
          <w:position w:val="0"/>
          <w:sz w:val="20"/>
          <w:u w:val="none"/>
          <w:vertAlign w:val="baseline"/>
        </w:rPr>
        <w:t> [*472] </w:t>
      </w:r>
      <w:r>
        <w:rPr>
          <w:rFonts w:ascii="arial" w:eastAsia="arial" w:hAnsi="arial" w:cs="arial"/>
          <w:b w:val="0"/>
          <w:i w:val="0"/>
          <w:strike w:val="0"/>
          <w:noProof w:val="0"/>
          <w:color w:val="000000"/>
          <w:position w:val="0"/>
          <w:sz w:val="20"/>
          <w:u w:val="none"/>
          <w:vertAlign w:val="baseline"/>
        </w:rPr>
        <w:t xml:space="preserve"> employee of a TGP and who has reassigned to the TGP his or her right to receive Medicare payment. Like distribution payments from a NPPGP to a NPPGP member, the amount of any distribution payments from a TGP to a TGP member must be determined in accordance with a methodology that is substantially based on quality of care and the provision EPM activities, the same standard that applies to PGP distribution payments that are not determined in a manner that complies with § 411.352(g). Like the requirement for PGP members when a distribution payment does not comply with § 411.352(g) and for NPPG members, a TGP member is eligible to receive a distribution payment only if the collaboration agent furnished an item or service to an EPM beneficiary during an EPM episode that occurred during the same performance year for which the EPM participant accrued the internal cost savings or earned the reconciliation payment that comprises the gainsharing payment being distributed. We will not cap the total amount of distribution payments paid for a performance year to a TGP member for the reasons discussed previously for not applying caps on gainsharing payments to therapists in private practice. Finally, with respect to the distribution of any gainsharing payment received by a TGP, the total amount of all distribution payments must not exceed the amount of the gainsharing payment received by the EPM collaborator from the EPM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Distribution arrangements under the EPM must comply with the following requirements:</w:t>
      </w:r>
    </w:p>
    <w:p>
      <w:pPr>
        <w:keepNext w:val="0"/>
        <w:numPr>
          <w:numId w:val="5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distribution arrangements must be in writing and signed by the parties, contain the date of the agreement, and be entered into before care is furnished to EPM beneficiaries under the distribution arrangement.</w:t>
      </w:r>
    </w:p>
    <w:p>
      <w:pPr>
        <w:keepNext w:val="0"/>
        <w:numPr>
          <w:numId w:val="5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a distribution arrangement must be voluntary and without penalty for nonparticipation.</w:t>
      </w:r>
    </w:p>
    <w:p>
      <w:pPr>
        <w:keepNext w:val="0"/>
        <w:numPr>
          <w:numId w:val="5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distribution arrangement must require the collaboration agent to comply with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5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opportunity to make or receive a distribution payment must not be conditioned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w:t>
      </w:r>
    </w:p>
    <w:p>
      <w:pPr>
        <w:keepNext w:val="0"/>
        <w:numPr>
          <w:numId w:val="5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distribution payments from an ACO, from a NPPGP to a NPPGP member, or from a TGP to a TGP member must be determined in accordance with a methodology that is substantially based on quality of care and the provision EPM activities and that may take into account the amount of such EPM activities provided by a collaboration agent relative to other collaboration agents.</w:t>
      </w:r>
    </w:p>
    <w:p>
      <w:pPr>
        <w:keepNext w:val="0"/>
        <w:numPr>
          <w:numId w:val="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distribution payments from a PGP must be determined either in a manner that complies with § 411.352(g) of this chapter or in accordance with a methodology that is substantially based on quality of care and the provision EPM activities and that may take into account the amount of such EPM activities provided by a collaboration agent relative to other collaboration agents.</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a distribution payment from a PGP to a PGP member that complies with § 411.352(g) of this chapter, a collaboration agent is eligible to receive a distribution payment only if the collaboration agent furnished or billed for an item or service rendered to an EPM beneficiary during an EPM episode that occurred during the same performance year for which the EPM participant accrued the internal cost savings or earned the reconciliation payment that comprises the gainsharing payment being distributed.</w:t>
      </w:r>
    </w:p>
    <w:p>
      <w:pPr>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a distribution payment from a PGP to a PGP member that complies with § 411.352(g) of this chapter, the total amount of distribution payments for a performance year paid to a collaboration agent must not exceed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the case of a collaboration agent that is a physician or nonphysician practitioner, 50 percent of the total Medicare-approved amounts under the PFS for items and services furnished by the collaboration agent to the EPM participant's EPM beneficiaries during EPM episodes that occurred during the same performance year for which the EPM participant accrued the internal cost savings or earned the reconciliation payment that comprises the gainsharing payment being distributed.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the case of a collaboration agent that is a PGP or NPPGP, 50 percent of the total Medicare-approved amounts under the PFS for items and services billed by that PGP or NPPGP for items and services furnished by PGP members or NPPGP members to the EPM participant's EPM beneficiaries during EPM episodes that occurred during the same performance year for which the EPM participant accrued the internal cost savings or earned the reconciliation payment that comprises the gainsharing payment being distributed.</w:t>
      </w:r>
    </w:p>
    <w:p>
      <w:pPr>
        <w:keepNext w:val="0"/>
        <w:numPr>
          <w:numId w:val="5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the distribution of any gainsharing payment received by an ACO, PGP, NPPGP, or TGP, the total amount of all distribution payments must not exceed the amount of the gainsharing payment received by the EPM collaborator from the EPM participant.</w:t>
      </w:r>
    </w:p>
    <w:p>
      <w:pPr>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distribution payments must be made by check, electronic funds transfer, or another traceable cash transaction.</w:t>
      </w:r>
    </w:p>
    <w:p>
      <w:pPr>
        <w:keepNext w:val="0"/>
        <w:numPr>
          <w:numId w:val="5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collaboration agent must retain the ability to make decisions in the best interests of the patient, including the selection of devices, supplies, and treatments.</w:t>
      </w:r>
    </w:p>
    <w:p>
      <w:pPr>
        <w:keepNext w:val="0"/>
        <w:numPr>
          <w:numId w:val="5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distribution arrangement must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Induce the collaboration agent to reduce or limit medically necessary items and services to any Medicare beneficiary;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Reward the provision of items and services that are medically unnecessary.</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collaborator must maintain contemporaneous documentation regarding distribution arrangements in accordance with § 512.110, including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relevant written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date and amount of any distribution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identity of each collaboration agent that received a distribution payment;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description of the methodology and accounting formula for determining the amount of any distribution payment.</w:t>
      </w:r>
    </w:p>
    <w:p>
      <w:pPr>
        <w:keepNext w:val="0"/>
        <w:numPr>
          <w:numId w:val="5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collaborator may not enter into a distribution arrangement with any individual or entity that has a sharing arrangement with the same EPM participant.</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collaborator must retain and provide access to, and must require collaboration agents to retain and provide access to, the required documentation in accordance with § 512.110.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Downstream Distribution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the EPM allow for certain financial arrangements within an ACO between a PGP and its members. Specifically, we proposed that certain financial arrangements between a collaboration agent that was both a PGP and an ACO participant and other individuals termed "downstream collaboration agents" be termed a "downstream distribution arrangement." A downstream distribution arrangement would be a </w:t>
      </w:r>
      <w:r>
        <w:rPr>
          <w:rFonts w:ascii="arial" w:eastAsia="arial" w:hAnsi="arial" w:cs="arial"/>
          <w:b/>
          <w:i w:val="0"/>
          <w:strike w:val="0"/>
          <w:noProof w:val="0"/>
          <w:color w:val="000000"/>
          <w:position w:val="0"/>
          <w:sz w:val="20"/>
          <w:u w:val="none"/>
          <w:vertAlign w:val="baseline"/>
        </w:rPr>
        <w:t> [*473] </w:t>
      </w:r>
      <w:r>
        <w:rPr>
          <w:rFonts w:ascii="arial" w:eastAsia="arial" w:hAnsi="arial" w:cs="arial"/>
          <w:b w:val="0"/>
          <w:i w:val="0"/>
          <w:strike w:val="0"/>
          <w:noProof w:val="0"/>
          <w:color w:val="000000"/>
          <w:position w:val="0"/>
          <w:sz w:val="20"/>
          <w:u w:val="none"/>
          <w:vertAlign w:val="baseline"/>
        </w:rPr>
        <w:t xml:space="preserve"> financial arrangement between a collaboration agent that was both a PGP and an ACO participant and a downstream collaboration agent for the sole purpose of sharing a distribution payment received by the PGP. We proposed that a downstream collaboration agent would be an individual who was not an EPM collaborator or a collaboration agent and who was a PGP member that had entered into a downstream distribution arrangement with the same PGP in which he or she was an owner or employee, and where the PGP was a collaboration agent. Where a payment from a collaboration agent to a downstream collaboration agent was made pursuant to a downstream distribution arrangement, we proposed to define that payment as a "downstream distribution payment." A collaboration agent may only make a downstream distribution payment in accordance with a downstream distribution arrangement which complied with the requirements of this section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general provisions for downstream distribution arrangements under the EPM were included in proposed § 512.510(a). We sought comment about all of the provisions set out in the preceding discussion, including whether additional or different safeguards would be needed to ensure program integrity, protect against abuse, and ensure that the goals of the EPM were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specific comments on the proposed general provisions for downstream distribution arrangements under the EPM; however, the comments described previously regarding commenters' confusion regarding the permissibility of financial arrangements for individuals and groups of therapists and nonphysician practitioners under our proposal are relevant to these provisions.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the proposals in § 512.510(a) for the general requirements for EPM downstream distribution arrangements, with modification to allow NPPGPs or TGPs to enter into downstream distribution arrangements with NPPGP members or TGP members respectively. Downstream distribution arrangements under the EPM must comply with the following general provisions:</w:t>
      </w:r>
    </w:p>
    <w:p>
      <w:pPr>
        <w:keepNext w:val="0"/>
        <w:numPr>
          <w:numId w:val="5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ACO participant that is a PGP, NPPGP, or TGP and that has entered into a distribution arrangement with an EPM collaborator that is an ACO may distribute all or a portion of any distribution payment it receives from the EPM collaborator only in accordance with a downstream distribution arrangement.</w:t>
      </w:r>
    </w:p>
    <w:p>
      <w:pPr>
        <w:keepNext w:val="0"/>
        <w:numPr>
          <w:numId w:val="5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downstream distribution arrangements must comply with the provisions of this section and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a number of specific requirements for downstream distribution arrangements as a program integrity safeguard to help ensure that their sole purpose was to create financial alignment between collaboration agents that were PGPs which were also ACO participants and downstream collaboration agents toward the goals of the EPM to improve the quality and efficiency of EPM episodes. These proposed requirements largely paralleled those proposed in proposed § 512.500(b) and (c) and § 512.505(b) for sharing and distribution arrangements and gainsharing and distribution payments based on similar reasoning for these three types of arrangements and payments. We proposed that all downstream distribution arrangements must be in writing and signed by the parties, contain the date of the agreement, and entered into before care was furnished to EPM beneficiaries under the downstream distribution arrangement. Furthermore, we proposed that participation must be voluntary and without penalty for nonparticipation, and the downstream distribution arrangement must require the downstream collaboration agent to comply with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our proposals for gainsharing and distribution payments, we proposed that the opportunity to make or receive a downstream distribution payment must not be conditioned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 We proposed the more flexible standard for the determination of the amount of downstream distribution payments for the same reasons we proposed this standard for the determination of distribution payments by a PGP to PGP members. Specifically, the amount of any downstream distribution payments must be determined either in a manner that complies with § 411.352(g) or in accordance with a methodology that was substantially based on quality of care and the provision of EPM activities and that may take into account the amount of such EPM activities provided by a downstream collaboration agent relative to other downstream collaboration agents. In the proposed rule, we discussed our belief that the amount of a downstream collaboration agent's provision of EPM activities (including direct care) to EPM beneficiaries during EPM episodes might contribute to the EPM participant's internal cost savings and reconciliation payment that might be available for making a gainsharing payment to the EPM collaborator that was then shared through a distribution payment to the collaboration agent with which the downstream collaboration agent had a downstream distribution arrangement. Greater contributions of EPM activities by one downstream collaboration agent versus another downstream collaboration agent that resulted in different contributions to the distribution payment made to the collaboration agent with which the downstream collaboration agents both had a downstream distribution arrangement might be appropriately valued in the methodology used to make downstream distribution payments to those downstream collaboration agents. Just as we proposed an alternative to a methodology that was substantially based on quality of care and the provision of EPM activities for determining the amount of a distribution payment from a PGP to a PGP member, we similarly proposed an alternative that the amount of a downstream distribution payment from a PGP to a PGP member may be determined in a manner that complied with § 411.352(g)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our proposed requirements for distribution arrangements for those EPM collaborators that were PGPs, we proposed that, except for a downstream distribution arrangement that complied with § 411.352(g), a downstream collaboration agent would be eligible to receive a downstream distribution payment only if the PGP billed for an item or service furnished by the downstream collaboration agent to an EPM beneficiary during an EPM episode that occurred during the same performance year for which the EPM participant accrued the internal cost savings or earned the reconciliation payment that comprised the gainsharing payment from which the ACO made the distribution payment to the PGP that was an ACO participant. This proposal would ensure that, absent the alternative safeguards afforded by a </w:t>
      </w:r>
      <w:r>
        <w:rPr>
          <w:rFonts w:ascii="arial" w:eastAsia="arial" w:hAnsi="arial" w:cs="arial"/>
          <w:b/>
          <w:i w:val="0"/>
          <w:strike w:val="0"/>
          <w:noProof w:val="0"/>
          <w:color w:val="000000"/>
          <w:position w:val="0"/>
          <w:sz w:val="20"/>
          <w:u w:val="none"/>
          <w:vertAlign w:val="baseline"/>
        </w:rPr>
        <w:t> [*474] </w:t>
      </w:r>
      <w:r>
        <w:rPr>
          <w:rFonts w:ascii="arial" w:eastAsia="arial" w:hAnsi="arial" w:cs="arial"/>
          <w:b w:val="0"/>
          <w:i w:val="0"/>
          <w:strike w:val="0"/>
          <w:noProof w:val="0"/>
          <w:color w:val="000000"/>
          <w:position w:val="0"/>
          <w:sz w:val="20"/>
          <w:u w:val="none"/>
          <w:vertAlign w:val="baseline"/>
        </w:rPr>
        <w:t xml:space="preserve"> PGP's downstream distribution payments in compliance with § 411.352(g), there would be the same required relationship between direct care for EPM beneficiaries during EPM episodes and downstream distribution payment eligibility that we proposed to require for gainsharing and distribution payment eligibility. We believed this requirement would provide a safeguard against payments to downstream collaboration agents that were unrelated to direct care for EPM beneficiaries during EPM episodes when the amount of the downstream distribution payment was not determined in a manner that complied with § 411.352(g).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same limitations on downstream distribution payments to downstream collaboration agents as we proposed for distribution payments by EPM collaborators that were PGPs. We proposed that, absent the alternative safeguards afforded by compliance with § 411.352(g), the total amount of downstream distribution payments paid for a performance year to the downstream collaboration agent would be limited to 50 percent of the total Medicare-approved amounts under the PFS for services billed by the PGP and furnished by the downstream collaboration agent to the EPM participant's EPM beneficiaries during EPM episodes that occurred during the same performance year for which the EPM participant accrued the internal cost savings or earned the reconciliation payment that comprised the gainsharing payment from which the ACO made the distribution payment to the PGP. We believed that, absent the alternative safeguards afforded by a PGP's downstream distribution payments in compliance with § 411.352(g), this proposed limitation on downstream distribution payments that was the same as those for distribution payments to physicians and nonphysician practitioners was necessary to eliminate any financial incentives for a PGP member to engage in a specific financial arrangement as a collaboration agent versus a downstream collaboration agent.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proposed that the total amount of all downstream distribution payments made to downstream collaboration agents must not exceed the amount of the distribution payment received by the collaboration agent (that is, the PGP that was an ACO participant) from the ACO that was an EPM collaborator. Like gainsharing, alignment, and distribution payments, we proposed that all downstream distribution payments must be made by check, electronic funds transfer, or another traceable cash transaction. The downstream collaboration agent must retain the ability to make decisions in the best interests of the patient, including the selection of devices, supplies, and treatments. The distribution arrangement must not induce a downstream collaboration agent to reduce or limit medically necessary items and services to any Medicare beneficiary or reward the provision of items and services that were medically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PGP must maintain contemporaneous documentation regarding downstream distribution arrangements in accordance with proposed § 512.110, including all of the following:</w:t>
      </w:r>
    </w:p>
    <w:p>
      <w:pPr>
        <w:keepNext w:val="0"/>
        <w:numPr>
          <w:numId w:val="5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relevant written agreements.</w:t>
      </w:r>
    </w:p>
    <w:p>
      <w:pPr>
        <w:keepNext w:val="0"/>
        <w:numPr>
          <w:numId w:val="5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and amount of any downstream distribution payment(s).</w:t>
      </w:r>
    </w:p>
    <w:p>
      <w:pPr>
        <w:keepNext w:val="0"/>
        <w:numPr>
          <w:numId w:val="5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identity of each downstream collaboration agent that received a downstream distribution payment.</w:t>
      </w:r>
    </w:p>
    <w:p>
      <w:pPr>
        <w:keepNext w:val="0"/>
        <w:numPr>
          <w:numId w:val="5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methodology and accounting formula for determining the amount of any downstream distribution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PGP may not enter into a downstream distribution arrangement with any PGP member who had a sharing arrangement with an EPM participant or distribution arrangement with the ACO the PGP was a participant in. This proposal would ensure that the proposed separate limitations on the total amount of gainsharing payment, distribution payment, and downstream distribution payment to PGP members that were substantially based on quality of care and the provision of EPM activities were not exceeded in absolute dollars by a PGP member's participation in more than one type of arrangement for the care of the same EPM beneficiaries during EPM episodes. Allowing more than one arrangement for the same PGP member for the care of the same EPM beneficiaries during EPM episodes could also allow for duplicate counting of the PGP member's same quality of care and provision of EPM activities in the methodologies for the different payments. Finally, we proposed that the PGP must retain and provide access to, and must require downstream collaboration agents to retain and provide access to, the required documentation in accordance with proposed § 512.110.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requirements for downstream distribution arrangements under the EPM were included in proposed § 512.510(b). We sought comment about all of the requirements set out in the preceding discussion, including whether additional or different safeguards would be needed to ensure program integrity, protect against abuse, and ensure that the goals of the EPM were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specific comments on the proposed requirements for downstream distribution arrangements under the EPM; however, the comments described previously regarding commenters' confusion regarding the permissibility of financial arrangements for individuals and groups of therapists and nonphysician practitioners under our proposal and regarding the request to simplify and reduce the burdens associated with the programmatic requirements are relevant to these provisions.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the proposals in § 512.510(b) for the requirements for EPM downstream distribution arrangements, with modification to include policies for NPPGPs or TGPs that enter into downstream distribution arrangements with NPPGP members or TGP members respectively. Consistent with commenters' overall request that we streamline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 are also modifying proposed § 512.510(b)(6), which is final § 512.510(b)(7), to eliminate one of the two proposed requirements for eligibility of a downstream collaboration agent to receive a downstream distribution payment, specifically the requirement that the PGP bill for the item or service furnished by the downstream collaboration agent. Instead, we base downstream collaboration agent eligibility only on whether the downstream collaboration agent furnished an item or service to an EPM beneficiary during an EPM episode that occurred during the same performance year for which the EPM participant accrued the internal cost savings or earned the reconciliation payment that comprises the gainsharing payment from which the ACO made the distribution payment to the PGP, NPPGP, or TGP that is an ACO participant. This approach is parallel to § 512.505(b)(7), which applies to distribution payments from ACOs to ACO participants or ACO providers/suppliers and certain distribution payments from PGPs to PGP members, and ensures that the member of the PGP, NPPGP, or TGP receiving the downstream distribution payment furnished items and services to an EPM beneficiary during an EPM episode, without explicitly requiring that the PGP, NPPGP, or TGP to which the member of the PGP, NPPGP, or TGP would have reassigned his or her benefits also billed for the item or service. This latter additional requirement adds complexity that is unnecessary when our objective of the </w:t>
      </w:r>
      <w:r>
        <w:rPr>
          <w:rFonts w:ascii="arial" w:eastAsia="arial" w:hAnsi="arial" w:cs="arial"/>
          <w:b/>
          <w:i w:val="0"/>
          <w:strike w:val="0"/>
          <w:noProof w:val="0"/>
          <w:color w:val="000000"/>
          <w:position w:val="0"/>
          <w:sz w:val="20"/>
          <w:u w:val="none"/>
          <w:vertAlign w:val="baseline"/>
        </w:rPr>
        <w:t> [*475] </w:t>
      </w:r>
      <w:r>
        <w:rPr>
          <w:rFonts w:ascii="arial" w:eastAsia="arial" w:hAnsi="arial" w:cs="arial"/>
          <w:b w:val="0"/>
          <w:i w:val="0"/>
          <w:strike w:val="0"/>
          <w:noProof w:val="0"/>
          <w:color w:val="000000"/>
          <w:position w:val="0"/>
          <w:sz w:val="20"/>
          <w:u w:val="none"/>
          <w:vertAlign w:val="baseline"/>
        </w:rPr>
        <w:t xml:space="preserve"> requirement is only to ensure that the recipient of the downstream distribution payment furnished an item or service to an EPM beneficiary during an EPM episode in order to link the payment to actual care. Finally, as discussed previously, in order to achieve consistency in the parameters for gainsharing payments and distribution payments to therapists and to streamline programmatic requirements, we are revising proposed § 512.510(b)(7), which is final in § 512.510(b)(8), by removing the cap on downstream distribution payments to PGP members as applied to therapists who are PGP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NPPGP that is an ACO participant that has entered into a distribution arrangement with an EPM collaborator that is an ACO may enter into a downstream distribution arrangement with a NPPGP member, who is a nonphysician practitioner or therapist who is an owner or employee of a NPPGP and who has reassigned to the NPPGP his or her right to receive Medicare payment. The requirements for NPPGP downstream distribution payments under those downstream distribution arrangements are the same as those for PGPs, except that we allow the amount of any downstream distribution payments from a PGP to be determined in a manner that complies with § 411.352(g). The amount of any downstream distribution payments from a NPPGP to a NPPGP member must be determined in accordance with a methodology that is substantially based on quality of care and the provision EPM activities, the same standard that applies to PGP downstream distribution payments that are not determined in a manner that complies with § 411.352(g). Like the requirement for PGP members when a downstream distribution payment does not comply with § 411.352(g), a NPPGP member is eligible to receive a downstream distribution payment only if the downstream collaboration agent furnished an item or service to an EPM beneficiary during an EPM episode that occurred during the same performance year for which the EPM participant accrued the internal cost savings or earned the reconciliation payment that comprises the gainsharing payment from which the ACO made the distribution payment to the NPPGP that is an ACO participant. Finally, the total amount of downstream distribution payments paid for a performance year to the NPPGP member who is a nonphysician practitioner may not exceed 50 percent of the total Medicare-approved amounts under the PFS for items and services furnished by the NPPGP member to the EPM participant's EPM beneficiaries during EPM episodes that occurred during the same performance year for which the EPM participant accrued the internal cost savings or earned the reconciliation payment that comprises the gainsharing payment from which the ACO made the distribution payment to the NPPGP that is an ACO participant. In addition, the total amount of all downstream distribution payments made to downstream collaboration agents must not exceed the amount of the distribution payment received by the NPPGP from the ACO.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TGP that is an ACO participant that has entered into a distribution arrangement with an EPM collaborator that is an ACO may enter into a downstream distribution arrangement with a TGP member, who is a therapist who is an owner or employee of a NPPGP and who has reassigned to the TGP his or her right to receive Medicare payment. Like downstream distribution payments from a NPPGP to a NPPGP member, the amount of any downstream distribution payments from a TGP to a TGP member must be determined in accordance with a methodology that is substantially based on quality of care and the provision EPM activities, the same standard that applies to PGP distribution payments that are not determined in a manner that complies with § 411.352(g). Like the requirement for PGP members when a distribution payment does not comply with § 411.352(g) and for NPPG members, a TGP member is eligible to receive a distribution payment only if the downstream collaboration agent furnished an item or service to an EPM beneficiary during an EPM episode that occurred during the same performance year for which the EPM participant accrued the internal cost savings or earned the reconciliation payment that comprises the gainsharing payment from which the ACO made the distribution payment to the NPPGP that is an ACO participant. We will not cap the total amount of downstream distribution payments paid for a performance year to a TGP member. Finally, the total amount of all downstream distribution payments made to downstream collaboration agents must not exceed the amount of the distribution payment received by the TGP from the ACO.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PGPs, NPPGPs and TGPs must maintain contemporaneous documentation regarding downstream distribution arrangements. Similarly, the NPPG or TGP may not enter into a downstream distribution arrangement with any NPPG member or TGP member respectively who has a sharing arrangement with an EPM participant or a distribution arrangement with the ACO the NPPG or TGP is a participant 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Downstream distribution arrangements under the EPM must comply with the following requirements:</w:t>
      </w:r>
    </w:p>
    <w:p>
      <w:pPr>
        <w:keepNext w:val="0"/>
        <w:numPr>
          <w:numId w:val="5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downstream distribution arrangements must be in writing and signed by the parties, contain the date of the agreement, and be entered into before care is furnished to EPM beneficiaries under the downstream distribution arrangement.</w:t>
      </w:r>
    </w:p>
    <w:p>
      <w:pPr>
        <w:keepNext w:val="0"/>
        <w:numPr>
          <w:numId w:val="5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a downstream distribution arrangement must be voluntary and without penalty for nonparticipation.</w:t>
      </w:r>
    </w:p>
    <w:p>
      <w:pPr>
        <w:keepNext w:val="0"/>
        <w:numPr>
          <w:numId w:val="5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downstream distribution arrangement must require the downstream collaboration agent to comply with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5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opportunity to make or receive a downstream distribution payment must not be conditioned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w:t>
      </w:r>
    </w:p>
    <w:p>
      <w:pPr>
        <w:keepNext w:val="0"/>
        <w:numPr>
          <w:numId w:val="5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downstream distribution payments from a NPPGP to a NPPGP member or from a TGP to a TGP member must be determined in accordance with a methodology that is substantially based on quality of care and the provision EPM activities and that may take into account the amount of such EPM activities provided by a downstream collaboration agent relative to other downstream collaboration agents.</w:t>
      </w:r>
    </w:p>
    <w:p>
      <w:pPr>
        <w:keepNext w:val="0"/>
        <w:numPr>
          <w:numId w:val="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downstream distribution payments from a PGP must be determined either in a manner that complies with § 411.352(g) of this chapter or in accordance with a methodology that is substantially based on quality of care and the provision EPM activities and that may take into account the amount of such EPM activities by a downstream collaboration agent relative to other downstream collaboration agents.</w:t>
      </w:r>
    </w:p>
    <w:p>
      <w:pPr>
        <w:keepNext w:val="0"/>
        <w:numPr>
          <w:numId w:val="5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Except for a downstream distribution payment from a PGP to a PGP member that complies with § 411.352(g) of this chapter, a downstream collaboration agent is eligible to receive a downstream </w:t>
      </w:r>
      <w:r>
        <w:rPr>
          <w:rFonts w:ascii="arial" w:eastAsia="arial" w:hAnsi="arial" w:cs="arial"/>
          <w:b/>
          <w:i w:val="0"/>
          <w:strike w:val="0"/>
          <w:noProof w:val="0"/>
          <w:color w:val="000000"/>
          <w:position w:val="0"/>
          <w:sz w:val="20"/>
          <w:u w:val="none"/>
          <w:vertAlign w:val="baseline"/>
        </w:rPr>
        <w:t> [*476] </w:t>
      </w:r>
      <w:r>
        <w:rPr>
          <w:rFonts w:ascii="arial" w:eastAsia="arial" w:hAnsi="arial" w:cs="arial"/>
          <w:b w:val="0"/>
          <w:i w:val="0"/>
          <w:strike w:val="0"/>
          <w:noProof w:val="0"/>
          <w:color w:val="000000"/>
          <w:position w:val="0"/>
          <w:sz w:val="20"/>
          <w:u w:val="none"/>
          <w:vertAlign w:val="baseline"/>
        </w:rPr>
        <w:t xml:space="preserve"> distribution payment only if the downstream collaboration agent furnished an item or service to an EPM beneficiary during an EPM episode that occurred during the same performance year for which the EPM participant accrued the internal cost savings or earned the reconciliation payment that comprise the gainsharing payment from which the ACO made the distribution payment to the PGP, NPPGP, or TGP that is an ACO participant.</w:t>
      </w:r>
    </w:p>
    <w:p>
      <w:pPr>
        <w:keepNext w:val="0"/>
        <w:numPr>
          <w:numId w:val="5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a downstream distribution payment from a PGP to a PGP member that complies with § 411.352(g) of this chapter, the total amount of downstream distribution payments for a performance year paid to a downstream collaboration agent who is a physician or nonphysician practitioner and is either a PGP member or NPPGP member must not exceed 50 percent of the total Medicare-approved amounts under the PFS for items and services furnished by the downstream collaboration agent to the EPM participant's EPM beneficiaries during EPM episodes that occurred during the same performance year for which the EPM participant accrued the internal cost savings or earned the reconciliation payment that comprises the distribution payment being distributed.</w:t>
      </w:r>
    </w:p>
    <w:p>
      <w:pPr>
        <w:keepNext w:val="0"/>
        <w:numPr>
          <w:numId w:val="5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all downstream distribution payments made to downstream collaboration agents must not exceed the amount of the distribution payment received by the PGP, NPPGP, or TGP from the ACO.</w:t>
      </w:r>
    </w:p>
    <w:p>
      <w:pPr>
        <w:keepNext w:val="0"/>
        <w:numPr>
          <w:numId w:val="5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downstream distribution payments must be made by check, electronic funds transfer, or another traceable cash transaction.</w:t>
      </w:r>
    </w:p>
    <w:p>
      <w:pPr>
        <w:keepNext w:val="0"/>
        <w:numPr>
          <w:numId w:val="5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downstream collaboration agent must retain his or her ability to make decisions in the best interests of the patient, including the selection of devices, supplies, and treatments.</w:t>
      </w:r>
    </w:p>
    <w:p>
      <w:pPr>
        <w:keepNext w:val="0"/>
        <w:numPr>
          <w:numId w:val="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downstream distribution arrangement must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Induce the downstream collaboration agent to reduce or limit medically necessary services to any Medicare beneficiary;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Reward the provision of items and services that are medically unnecessary.</w:t>
      </w:r>
    </w:p>
    <w:p>
      <w:pPr>
        <w:keepNext w:val="0"/>
        <w:numPr>
          <w:numId w:val="5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NPPG, or TGP must maintain contemporaneous documentation regarding downstream distribution arrangements in accordance with § 512.110, including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relevant written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date and amount of any downstream distribution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identity of each downstream collaboration agent that received a downstream distribution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description of the methodology and accounting formula for determining the amount of any downstream distribution payment.</w:t>
      </w:r>
    </w:p>
    <w:p>
      <w:pPr>
        <w:keepNext w:val="0"/>
        <w:numPr>
          <w:numId w:val="5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NPPGP, or TGP may not enter into a downstream distribution arrangement with any PGP member, NPPGP member, or TGP member who has--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sharing arrangement with an EPM participant;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distribution arrangement with the ACO that the PGP, NPPGP, or TGP is a participant in.</w:t>
      </w:r>
    </w:p>
    <w:p>
      <w:pPr>
        <w:keepNext w:val="0"/>
        <w:numPr>
          <w:numId w:val="5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NPPGP, or TGP must retain and provide access to, and must require downstream collaboration agents to retain and provide access to, the required documentation in accordance with § 512.110.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Summary of Policies for Sharing, Distribution, and Downstream Distribution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Figure 2 summarizes the proposals for the defined terms and financial arrangements discussed in sections III.I.4. through 6. of the proposed rule </w:t>
      </w:r>
      <w:hyperlink r:id="rId9" w:history="1">
        <w:r>
          <w:rPr>
            <w:rFonts w:ascii="arial" w:eastAsia="arial" w:hAnsi="arial" w:cs="arial"/>
            <w:b w:val="0"/>
            <w:i/>
            <w:strike w:val="0"/>
            <w:noProof w:val="0"/>
            <w:color w:val="0077CC"/>
            <w:position w:val="0"/>
            <w:sz w:val="20"/>
            <w:u w:val="single"/>
            <w:vertAlign w:val="baseline"/>
          </w:rPr>
          <w:t>(81 FR 50920</w:t>
        </w:r>
      </w:hyperlink>
      <w:r>
        <w:rPr>
          <w:rFonts w:ascii="arial" w:eastAsia="arial" w:hAnsi="arial" w:cs="arial"/>
          <w:b w:val="0"/>
          <w:i w:val="0"/>
          <w:strike w:val="0"/>
          <w:noProof w:val="0"/>
          <w:color w:val="000000"/>
          <w:position w:val="0"/>
          <w:sz w:val="20"/>
          <w:u w:val="none"/>
          <w:vertAlign w:val="baseline"/>
        </w:rPr>
        <w:t xml:space="preserve"> through 50929). </w:t>
      </w:r>
      <w:r>
        <w:rPr>
          <w:rFonts w:ascii="arial" w:eastAsia="arial" w:hAnsi="arial" w:cs="arial"/>
          <w:b/>
          <w:i w:val="0"/>
          <w:strike w:val="0"/>
          <w:noProof w:val="0"/>
          <w:color w:val="000000"/>
          <w:position w:val="0"/>
          <w:sz w:val="20"/>
          <w:u w:val="none"/>
          <w:vertAlign w:val="baseline"/>
        </w:rPr>
        <w:t> [*477] </w:t>
      </w:r>
    </w:p>
    <w:p>
      <w:pPr>
        <w:keepNext w:val="0"/>
        <w:spacing w:before="200" w:after="0" w:line="260" w:lineRule="atLeast"/>
        <w:ind w:left="0" w:right="0" w:firstLine="0"/>
        <w:jc w:val="both"/>
      </w:pPr>
      <w:r>
        <w:pict>
          <v:shape id="_x0000_i1040" type="#_x0000_t75" style="width:432.06pt;height:345.05pt">
            <v:imagedata r:id="rId104"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final policies for financial arrangements reflect a number of changes to the proposals for EPM financial arrangements in response to comments on the proposed rule. Accordingly, Figure 2 summarizes the final policies for the defined terms and financial arrangements discussed in sections III.I.4. through 6. of this final rule. </w:t>
      </w:r>
      <w:r>
        <w:rPr>
          <w:rFonts w:ascii="arial" w:eastAsia="arial" w:hAnsi="arial" w:cs="arial"/>
          <w:b/>
          <w:i w:val="0"/>
          <w:strike w:val="0"/>
          <w:noProof w:val="0"/>
          <w:color w:val="000000"/>
          <w:position w:val="0"/>
          <w:sz w:val="20"/>
          <w:u w:val="none"/>
          <w:vertAlign w:val="baseline"/>
        </w:rPr>
        <w:t> [*478] </w:t>
      </w:r>
    </w:p>
    <w:p>
      <w:pPr>
        <w:keepNext w:val="0"/>
        <w:spacing w:before="200" w:after="0" w:line="260" w:lineRule="atLeast"/>
        <w:ind w:left="0" w:right="0" w:firstLine="0"/>
        <w:jc w:val="both"/>
      </w:pPr>
      <w:r>
        <w:pict>
          <v:shape id="_x0000_i1041" type="#_x0000_t75" style="width:432.06pt;height:362.3pt">
            <v:imagedata r:id="rId10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Enforcement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proposed rule, OIG authority is not limited or restricted by the provisions of the EPM, including the authority to audit, evaluate, investigate, or inspect the EPM participant, EPM collaborators, collaboration agents, or any other person or entity or their records, data, or information, without limitations. Additionally, no EPM provisions would limit or restrict the authority of any other Government Agency to do the same.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enforcement authority under the EPM were included in proposed § 512.520. We sought comment about all of the requirements set out in the preceding discussion, including whether additional or different safeguards would be needed to ensure program integrity, protect against abuse, and ensure that the goals of the EPM were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comments on the proposals for enforcement authority under the EPM.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the proposals in § 512.520 for the enforcement authority for the EPM, without modification. The final provisions include--</w:t>
      </w:r>
    </w:p>
    <w:p>
      <w:pPr>
        <w:keepNext w:val="0"/>
        <w:numPr>
          <w:numId w:val="5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OIG authority is not limited or restricted by the provisions of the EPM, including the authority to audit, evaluate, investigate, or inspect the EPM participant, EPM collaborators, or any other person or entity or their records, data, or information, without limitation; and</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None of the provisions of the EPM limits or restricts the authority of any other government agency permitted by law to audit, evaluate, investigate, or inspect the EPM participant, EPM collaborators, or any other person or entity or their records, data, or information, without limitation.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Beneficiary Engagement Incentives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our reasoning for the CJR model </w:t>
      </w:r>
      <w:hyperlink r:id="rId21" w:history="1">
        <w:r>
          <w:rPr>
            <w:rFonts w:ascii="arial" w:eastAsia="arial" w:hAnsi="arial" w:cs="arial"/>
            <w:b w:val="0"/>
            <w:i/>
            <w:strike w:val="0"/>
            <w:noProof w:val="0"/>
            <w:color w:val="0077CC"/>
            <w:position w:val="0"/>
            <w:sz w:val="20"/>
            <w:u w:val="single"/>
            <w:vertAlign w:val="baseline"/>
          </w:rPr>
          <w:t>(80 FR 73433</w:t>
        </w:r>
      </w:hyperlink>
      <w:r>
        <w:rPr>
          <w:rFonts w:ascii="arial" w:eastAsia="arial" w:hAnsi="arial" w:cs="arial"/>
          <w:b w:val="0"/>
          <w:i w:val="0"/>
          <w:strike w:val="0"/>
          <w:noProof w:val="0"/>
          <w:color w:val="000000"/>
          <w:position w:val="0"/>
          <w:sz w:val="20"/>
          <w:u w:val="none"/>
          <w:vertAlign w:val="baseline"/>
        </w:rPr>
        <w:t xml:space="preserve"> through 73437), in the proposed rule, we discussed our belief that the EPM would incentivize EPM participants to furnish directly and otherwise coordinate items and services throughout the EPM episodes that lead to higher quality care for EPM beneficiaries and lower EPM episode spending. We believed that one mechanism that might be useful to EPM participants in achieving these goals would be the provision of certain items and services as in-kind patient engagement incentives to the EPM beneficiary during the EPM episode. Under such an approach, the costs of the patient engagement incentives </w:t>
      </w:r>
      <w:r>
        <w:rPr>
          <w:rFonts w:ascii="arial" w:eastAsia="arial" w:hAnsi="arial" w:cs="arial"/>
          <w:b/>
          <w:i w:val="0"/>
          <w:strike w:val="0"/>
          <w:noProof w:val="0"/>
          <w:color w:val="000000"/>
          <w:position w:val="0"/>
          <w:sz w:val="20"/>
          <w:u w:val="none"/>
          <w:vertAlign w:val="baseline"/>
        </w:rPr>
        <w:t> [*479] </w:t>
      </w:r>
      <w:r>
        <w:rPr>
          <w:rFonts w:ascii="arial" w:eastAsia="arial" w:hAnsi="arial" w:cs="arial"/>
          <w:b w:val="0"/>
          <w:i w:val="0"/>
          <w:strike w:val="0"/>
          <w:noProof w:val="0"/>
          <w:color w:val="000000"/>
          <w:position w:val="0"/>
          <w:sz w:val="20"/>
          <w:u w:val="none"/>
          <w:vertAlign w:val="baseline"/>
        </w:rPr>
        <w:t xml:space="preserve"> would be borne by the EPM participant. However, we believed that certain conditions on these incentives were necessary to ensure that their provision was solely for the purpose of achieving the EPM goals of improving episode quality and efficiency.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the incentive must be provided directly by the EPM participant or by an agent of the EPM participant under the EPM participant's direction and control to the EPM beneficiary during an EPM episode. We considered whether this policy on beneficiary incentives should extend to providers and suppliers other than the EPM participant that furnish services during the EPM episode, or to other entities altogether, such as ACOs that were EPM collaborators. However, as discussed in section III.B.3. of the proposed rule </w:t>
      </w:r>
      <w:hyperlink r:id="rId9" w:history="1">
        <w:r>
          <w:rPr>
            <w:rFonts w:ascii="arial" w:eastAsia="arial" w:hAnsi="arial" w:cs="arial"/>
            <w:b w:val="0"/>
            <w:i/>
            <w:strike w:val="0"/>
            <w:noProof w:val="0"/>
            <w:color w:val="0077CC"/>
            <w:position w:val="0"/>
            <w:sz w:val="20"/>
            <w:u w:val="single"/>
            <w:vertAlign w:val="baseline"/>
          </w:rPr>
          <w:t>(81 FR 50813</w:t>
        </w:r>
      </w:hyperlink>
      <w:r>
        <w:rPr>
          <w:rFonts w:ascii="arial" w:eastAsia="arial" w:hAnsi="arial" w:cs="arial"/>
          <w:b w:val="0"/>
          <w:i w:val="0"/>
          <w:strike w:val="0"/>
          <w:noProof w:val="0"/>
          <w:color w:val="000000"/>
          <w:position w:val="0"/>
          <w:sz w:val="20"/>
          <w:u w:val="none"/>
          <w:vertAlign w:val="baseline"/>
        </w:rPr>
        <w:t xml:space="preserve"> through 50814), given our belief that the EPM participant was best positioned to coordinate the care of beneficiaries in the EPM, we believed that EPM participants would also be better suited than other individuals and entities to provide beneficiary incentives.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item or service provided as an incentive must be reasonably connected to medical care provided to an EPM beneficiary during an EPM episode. For example, EPM participants could provide incentives such as post-surgical or cardiac monitoring equipment to track patient weight and vital signs for post-surgical or post-AMI patients discharged directly to home, but could not provide theater tickets, which would bear no reasonable connection to the patient's medical care. Similarly, EPM participants might provide cardiac or post-surgical monitoring equipment, but not broadly used technology that was more valuable to the beneficiary than equipment that was reasonably necessary for the patient's post-hospital discharge care, such as a smartphone. In such circumstances, a reasonable inference would arise that the technology would not be reasonably connected to the medical care of the patient. Among other things, this safeguard precluded incentives that might serve to inappropriately induce beneficiaries to receive other medical care that was not included in the episode. We also proposed that the incentive must be a preventive care item or service or an item or service that advanced a clinical goal, as described later in this section, for a beneficiary in an EPM episode by engaging the beneficiary in better managing his or her own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proposed that the item or service provided as an incentive must not be tied to the receipt of items or services outside the EPM episode and that the item or service must not be tied to the receipt of items or services from a particular provider or supplier. These provisions would provide safeguards against the provision of in-kind patient engagement incentives to steer beneficiaries toward certain providers or suppliers for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availability of the items or services provided as incentives must not be advertised or promoted except that a beneficiary may be made aware of the availability of the items or services at the time the beneficiary could reasonably benefit from them. This condition would provide a safeguard against the advertisement of in-kind patient engagement incentives to certain beneficiaries that could increase an EPM participant's number of EPM episodes and shift the patient severity for an EPM participant compared to historical EPM episodes by encouraging more beneficiaries with less severe clinical conditions in the EPM to seek care at the EPM participant. Such changes could produce financial gain for the EPM participant that would not be related to improvements in EPM quality and efficiency by resulting in the EPM participant's quality-adjusted target prices for EPM episodes being higher than would be appropriate based on the lower average patient severity during the EPM performance years. We did not intend for any of the financial arrangements proposed for the EPM, including beneficiary incentives, to alter an EPM participant's market share of care for a clinical condition in the EPM, nor did we intend for these arrangements to shift the patient severity for an EPM participant or cause access problems for Medicare beneficiaries. Finally, we proposed that the cost of the items or services must not be shifted to another federal health care program, as defined at section 1128B(f)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proposals for the general provisions for beneficiary incentives were included in proposed § 512.525(a). We sought comment on our proposed general provisions for beneficiary incentives and welcomed comment on additional or alternative program integrity safeguards. We summarize the comments and provide our responses in section III.I.9.d.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Technology Provided to an EPM Beneficiary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some cases, items or services involving technology might be useful as beneficiary engagement incentives that could advance a clinical goal of the EPM by engaging a beneficiary in managing his or health during the 90 days following discharge from the anchor or chained anchor hospitalization. However, in the proposed rule we discussed our belief that specific enhanced safeguards were necessary for these items and services to prevent abuse, and our proposals were consistent with the CJR model policies </w:t>
      </w:r>
      <w:hyperlink r:id="rId21" w:history="1">
        <w:r>
          <w:rPr>
            <w:rFonts w:ascii="arial" w:eastAsia="arial" w:hAnsi="arial" w:cs="arial"/>
            <w:b w:val="0"/>
            <w:i/>
            <w:strike w:val="0"/>
            <w:noProof w:val="0"/>
            <w:color w:val="0077CC"/>
            <w:position w:val="0"/>
            <w:sz w:val="20"/>
            <w:u w:val="single"/>
            <w:vertAlign w:val="baseline"/>
          </w:rPr>
          <w:t>(80 FR 73437).</w:t>
        </w:r>
      </w:hyperlink>
      <w:r>
        <w:rPr>
          <w:rFonts w:ascii="arial" w:eastAsia="arial" w:hAnsi="arial" w:cs="arial"/>
          <w:b w:val="0"/>
          <w:i w:val="0"/>
          <w:strike w:val="0"/>
          <w:noProof w:val="0"/>
          <w:color w:val="000000"/>
          <w:position w:val="0"/>
          <w:sz w:val="20"/>
          <w:u w:val="none"/>
          <w:vertAlign w:val="baseline"/>
        </w:rPr>
        <w:t xml:space="preserve"> Specifically, we proposed that items or services involving technology provided to a beneficiary may not exceed $ 1,000 in retail value for any one beneficiary in any one EPM episode, and that items or services involving technology provided to a beneficiary must be the minimum necessary to advance a clinical goal as discussed in this section for a beneficiary in an EPM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additional enhanced requirements for items of technology exceeding $ 100 in retail value as an additional safeguard against misuse of these items as beneficiary engagement incentives. Specifically, we proposed that these items of technology remain the property of the EPM participant and be retrieved from the beneficiary at the end of the EPM episode. The EPM participant must document all retrieval attempts, including the ultimate date of retrieval. However, because we understood that EPM participants may not always be able to retrieve these items after the EPM episode ends, such as when a beneficiary died or moved to another geographic area, documented, diligent, good faith attempts to retrieve items of technology would be deemed to meet the retrieval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proposals for enhanced requirements for technology provided to EPM beneficiaries as beneficiary engagement incentives under the EPM were included in proposed § 512.525(b). We sought comment on our proposed requirements for beneficiary engagement incentives that involve technology and welcomed comment on additional or alternative program integrity safeguards for this type of beneficiary engagement incentive, including whether the financial thresholds proposed in this section were reasonable, necessary, and appropriate. We summarize the comments and provide our responses in section III.I.9.d.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Clinical Goals of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section III.C.3. of the proposed rule </w:t>
      </w:r>
      <w:hyperlink r:id="rId9" w:history="1">
        <w:r>
          <w:rPr>
            <w:rFonts w:ascii="arial" w:eastAsia="arial" w:hAnsi="arial" w:cs="arial"/>
            <w:b w:val="0"/>
            <w:i/>
            <w:strike w:val="0"/>
            <w:noProof w:val="0"/>
            <w:color w:val="0077CC"/>
            <w:position w:val="0"/>
            <w:sz w:val="20"/>
            <w:u w:val="single"/>
            <w:vertAlign w:val="baseline"/>
          </w:rPr>
          <w:t>(81 FR 50829</w:t>
        </w:r>
      </w:hyperlink>
      <w:r>
        <w:rPr>
          <w:rFonts w:ascii="arial" w:eastAsia="arial" w:hAnsi="arial" w:cs="arial"/>
          <w:b w:val="0"/>
          <w:i w:val="0"/>
          <w:strike w:val="0"/>
          <w:noProof w:val="0"/>
          <w:color w:val="000000"/>
          <w:position w:val="0"/>
          <w:sz w:val="20"/>
          <w:u w:val="none"/>
          <w:vertAlign w:val="baseline"/>
        </w:rPr>
        <w:t xml:space="preserve"> through 50834), the proposed EPMs were broadly defined to include most Part A and Part B items and services furnished during EPM episodes that would extend 90 days following discharge from the anchor or chained anchor </w:t>
      </w:r>
      <w:r>
        <w:rPr>
          <w:rFonts w:ascii="arial" w:eastAsia="arial" w:hAnsi="arial" w:cs="arial"/>
          <w:b/>
          <w:i w:val="0"/>
          <w:strike w:val="0"/>
          <w:noProof w:val="0"/>
          <w:color w:val="000000"/>
          <w:position w:val="0"/>
          <w:sz w:val="20"/>
          <w:u w:val="none"/>
          <w:vertAlign w:val="baseline"/>
        </w:rPr>
        <w:t> [*480] </w:t>
      </w:r>
      <w:r>
        <w:rPr>
          <w:rFonts w:ascii="arial" w:eastAsia="arial" w:hAnsi="arial" w:cs="arial"/>
          <w:b w:val="0"/>
          <w:i w:val="0"/>
          <w:strike w:val="0"/>
          <w:noProof w:val="0"/>
          <w:color w:val="000000"/>
          <w:position w:val="0"/>
          <w:sz w:val="20"/>
          <w:u w:val="none"/>
          <w:vertAlign w:val="baseline"/>
        </w:rPr>
        <w:t xml:space="preserve"> hospitalization that began the episode, excluding only those Part A and Part B services that were unrelated to the EPM episode based on hospital readmissions or diagnoses for which care was unrelated to the EPM episode diagnosis and procedures based on clinical rationale. Therefore, in the proposed rule we discussed our belief that in-kind patient engagement incentives might appropriately be provided for managing acute conditions arising from EPM episodes, as well as chronic conditions if the condition was likely to have been affected by care during the EPM episode or when substantial services were likely to be provided for the chronic condition during the EPM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following were the clinical goals of the EPM, which might be advanced through beneficiary incentives:</w:t>
      </w:r>
    </w:p>
    <w:p>
      <w:pPr>
        <w:keepNext w:val="0"/>
        <w:numPr>
          <w:numId w:val="5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Beneficiary adherence to drug regimens.</w:t>
      </w:r>
    </w:p>
    <w:p>
      <w:pPr>
        <w:keepNext w:val="0"/>
        <w:numPr>
          <w:numId w:val="5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Beneficiary adherence to a care plan.</w:t>
      </w:r>
    </w:p>
    <w:p>
      <w:pPr>
        <w:keepNext w:val="0"/>
        <w:numPr>
          <w:numId w:val="5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Reduction of readmissions and complications resulting from treatment for the EPM clinical condition.</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Management of chronic diseases and conditions that may be affected by treatment for the EPM clinical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proposals for the clinical goals of the EPM that a beneficiary engagement incentive that was not a preventive care item or service must be intended to advance were included in proposed § 512.525(c). We sought comment on our proposed clinical goals of the EPM, as well as whether the advancement of additional or different clinical goals through beneficiary engagement incentives might better advance the overarching goals of the EPM while maintaining appropriate program integrity safeguards. We summarize the comments and provide our responses in section III.I.9.d.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Documentation of Beneficiary Engagement Incentives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program safeguard against misuse of beneficiary engagement incentives under the EPM, we proposed that EPM participants must maintain documentation of items and services furnished as beneficiary engagement incentives that exceeded $ 25 in retail value. In addition, we proposed to require that the documentation established contemporaneously with the provision of the items and services must include at least the following:</w:t>
      </w:r>
    </w:p>
    <w:p>
      <w:pPr>
        <w:keepNext w:val="0"/>
        <w:numPr>
          <w:numId w:val="5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the incentive was provided.</w:t>
      </w:r>
    </w:p>
    <w:p>
      <w:pPr>
        <w:keepNext w:val="0"/>
        <w:numPr>
          <w:numId w:val="5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identity of the beneficiary to whom the item or service was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proposed that the documentation regarding items of technology exceeding $ 100 in retail that were required to be retrieved from the beneficiary at the end of an EPM episode must also include contemporaneous documentation of any attempt to retrieve technology. We reiterated that documented, diligent, good faith attempts to retrieve items of technology would be deemed to meet the retrieval requirement. Finally, we proposed that the EPM participant must retain and provide access to the required documentation in accordance with proposed § 512.110.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proposals for the documentation requirements for beneficiary engagement incentives under the EPM were included in proposed § 512.525(d). We sought comment on our proposed documentation requirements, including whether additional or different documentation requirements might provide better program integrity safeguards.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 on all proposals for beneficiary engagement incentives under the EPM.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opposed the proposed requirements that EPM participant must maintain documentation of items and services furnished as beneficiary engagement incentives that exceed $ 25 in retail value. The commenters recommended that CMS increase the documentation threshold, for example to $ 50, in order to reduce record keeping for inexpensive beneficiary engagement incentives and to minimize unnecessary administrative requirements. One commenter also recommended that CMS allow beneficiary engagement incentives greater than $ 25.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perspectives of the commenter on our proposed requirements for documentation of all items and services provided as beneficiary engagement incentives whose value exceeds $ 25, including the date and the identity of the beneficiary to whom the item or service was provided. We proposed a $ 25 retail value threshold for documentation because we recognized that a beneficiary could receive many incentives that are each of low dollar value but in the aggregate constitute an excessively high value to the beneficiary. While we considered setting a cumulative threshold on the retail value of beneficiary engagement incentives received by an EPM beneficiary during an EPM episode above which documentation would be required, we believe such an approach would be even more burdensome than our proposal to require documentation beginning at $ 25 in retail value for each incentive that exceeds that value. A documentation requirement based on a cumulative threshold would require documentation of every expense for beneficiary engagement incentives (including those below $ 25) to ensure compliance with required documentation of the cumulative retail value of incentives that exceed the threshold. Therefore, we believe it is prudent to maintain a per-item/per-service documentation threshold and to not increase the documentation threshold, thereby keeping the threshold at a modest level for all beneficiary incentives in order to monitor compliance with the requirements for providing these items and services. We continue to believe that the $ 25 threshold represents an appropriate balance between the benefits of beneficiary incentives and burden of the documentation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clarification, we did not propose that EPM participant may only provide in-kind beneficiary engagement incentives less than $ 25. With the exception of beneficiary engagement incentives involving technology which we proposed may not exceed $ 1,000 in retail value for any one beneficiary in any one EPM episode, there is no limit on the retail value of a single item or service provided as an in-kind patient engagement incentive to a beneficiary in an EPM episode, or to the aggregate of such incentives provided to the beneficiary in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in § 512.515(d)(1) the requirement that an EPM participant must maintain documentation of items and services furnished as beneficiary engagement incentives that exceed $ 25 in retail value. Under § 512.515(d)(4), we set forth the requirement that the EPM participant must retain and provide access to the required documentation in accordance with § 512.110.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In regards to beneficiary engagement incentives involving technology, one commenter requested that the items or services involving technology provided to an EPM beneficiary not be capped at $ 1,000 given that CMS' proposal would require the EPM participant to pick up the technology from the EPM beneficiary if its retail value is greater than $ 100. The same commenter recommended that CMS increase the proposed cap of $ 100 to $ 500 for items of technology that must remain the property of the EPM participant and be retrieved from the beneficiary at the end of the EPM episode because under the proposed threshold, the commenters believes it </w:t>
      </w:r>
      <w:r>
        <w:rPr>
          <w:rFonts w:ascii="arial" w:eastAsia="arial" w:hAnsi="arial" w:cs="arial"/>
          <w:b/>
          <w:i w:val="0"/>
          <w:strike w:val="0"/>
          <w:noProof w:val="0"/>
          <w:color w:val="000000"/>
          <w:position w:val="0"/>
          <w:sz w:val="20"/>
          <w:u w:val="none"/>
          <w:vertAlign w:val="baseline"/>
        </w:rPr>
        <w:t> [*481] </w:t>
      </w:r>
      <w:r>
        <w:rPr>
          <w:rFonts w:ascii="arial" w:eastAsia="arial" w:hAnsi="arial" w:cs="arial"/>
          <w:b w:val="0"/>
          <w:i w:val="0"/>
          <w:strike w:val="0"/>
          <w:noProof w:val="0"/>
          <w:color w:val="000000"/>
          <w:position w:val="0"/>
          <w:sz w:val="20"/>
          <w:u w:val="none"/>
          <w:vertAlign w:val="baseline"/>
        </w:rPr>
        <w:t xml:space="preserve"> would cost the EPM participant more to pick up the item of technology from the EPM beneficiary than the item of technology is worth.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suggested that CMS eliminate altogether the proposed requirement that items of technology provided as beneficiary engagement incentives be retrieved from the beneficiary at the end of the EPM episode. One commenter claimed that there may be situations where the patient may continue to benefit from the use of items of technology that were originally provided as EPM beneficiary engagement incentives beyond the 90-day post-discharge episode duration. They speculated that continued use of the technology could reduce the future need for urgent or emergent care and impact the overall future cost to Medicare to care for the beneficiary. The commenter urged CMS to establish a process or criteria to evaluate whether a beneficiary should be able to keep the technology and continue using it after the EPM episode ends, ensuring that any new policies take into the account the need for flexibility at the local level to provide benefits to patients, the community, and the health system as a whole. Finally, the commenter requested that if CMS decides not to establish a process to allowed continued use of the technology after the EPM episode ends, then CMS should require that documentation of beneficiary engagement incentives include written acknowledgement by the beneficiary or their representative that the technology remains the property of the EPM participant and must be returned upon completion of the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pointed out remote patient monitoring equipment that could be provided as a beneficiary engagement incentive under the EPM must be linked to particular a particular provider to be effective and sought clarification about how devices provided in conjunction with remote patient monitoring could avoid being tied to a particularly provider. They further explained the Medicare program does not provide any payment for remote patient monitoring or other items and services provided to patients for improved self-management and believes that EPM participants are likely to engage in these activities only if they believe that improved episode quality or cost savings will result. The commenter asserted that so long as the provision of technology to beneficiaries is reasonably related to the clinical goals of the EPM, EPM participants should be encouraged to explore the use of remote patient monitoring through efforts that are not constrained by limitations CMS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requests by the commenters for additional flexibility with respect to items and services involving technology provided as EPM beneficiary engagement incentives. We proposed that items or services involving technology provided to as a beneficiary engagement incentive may not exceed $ 1,000 in retail value for any one beneficiary in any one EPM episode. While one commenter requested that we raise this limit because any technology exceeding $ 100 in retail value would remain the property of the EPM participant, no commenters provided information about items and services involving technology that would exceed this amount and that EPM participants would specifically wish to provide to advance the goals of the EPM to improve the quality and reduce the cost of care. Therefore, we are maintaining the limit of $ 1,000 in retail value for items or service involving technology provided to any one beneficiary during any one EPM episode even though the beneficiary's use of the technology costing more than $ 100 in retail value would be limited to the EPM episode. We believe that providing beneficiaries with more expensive technology could pose a program integrity risk of patient steering and that a higher limit is not necessary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understand the administrative burden on EPM participants that tracking and retrieval requires, but believe that a higher retrieval threshold, such as $ 500, is not warranted. Similarly, we do not believe it would be appropriate to eliminate the retrieval threshold altogether, even for items of technology that may provide additional health benefits to beneficiaries after the EPM episode ends and/or lead to reduced expenditures on health care. It would be inappropriate for EPM participants to furnish items of technology with a retail value of over $ 100 for beneficiaries' permanent use because the high value of these items could unduly influence the beneficiary to receive services from the EPM participant, particularly services outside of the EPM episode. We do not believe the potential longer-term benefits of continued use or the administrative burden of retrieving items involving technology with a retail value in excess of $ 100 outweigh the program integrity benefits of retrieval.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documentation requirements for beneficiary engagement incentives that exceed $ 25 in retail value as a safeguard against abuse, including the date the incentive is provided, the identity of the beneficiary to whom the item or service is provided, and contemporaneous documentation of attempts to retrieve items of technology exceeding $ 100 in retail value. However, we believe that any additional documentation requirements such as the commenter's suggestion of written acknowledgement by the beneficiary or their representative that the technology remains the property of the EPM participant and must be returned upon completion of the episode would be unnecessarily prescriptive and burdensome for EPM participants. For items of technology with a retail value exceeding $ 100 that remain the property of the EPM participant, it is up to the EPM participant to determine how they can best ensure that EPM beneficiaries understand the ownership of the technology while minimizing the burden on the EPM participant needed for successful retrieval or the documentation of retrieval attempts.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with respect to the clarification requested by the commenter about how items of technology for remote monitoring could meet the requirement for EPM beneficiary engagement incentives that the item or service must not be tied to the receipt of items or service from a particular provider or supplier, we note that the intent of this latter requirement is as a safeguard from the use of beneficiary engagement incentives as a way to steer beneficiaries toward a certain provider or type of services. We understand that remote monitoring information that is collected from EPM beneficiaries must be sent to a treating provider for review and interpretation in order for the remote-monitoring to guide clinical care. However, in this case the remote monitoring technology would be linked to a provider that is treating the beneficiary, rather than being provided to steer the beneficiary to a particular treating provider, so we believe that remote monitoring equipment may be provided as a beneficiary engagement incentive without violating the requirement that the item or service not be tied to the receipt of items or services from a particular provider or supplier.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that CMS allow other beneficiary engagement incentives in the EPM to be provided by EPM participants, such as forgiving primary care or all beneficiary copayments for items and services included in the episode and making available supportive services that are otherwise in short supply or of inadequate quality, rather than just those closely tied to the </w:t>
      </w:r>
      <w:r>
        <w:rPr>
          <w:rFonts w:ascii="arial" w:eastAsia="arial" w:hAnsi="arial" w:cs="arial"/>
          <w:b/>
          <w:i w:val="0"/>
          <w:strike w:val="0"/>
          <w:noProof w:val="0"/>
          <w:color w:val="000000"/>
          <w:position w:val="0"/>
          <w:sz w:val="20"/>
          <w:u w:val="none"/>
          <w:vertAlign w:val="baseline"/>
        </w:rPr>
        <w:t> [*482] </w:t>
      </w:r>
      <w:r>
        <w:rPr>
          <w:rFonts w:ascii="arial" w:eastAsia="arial" w:hAnsi="arial" w:cs="arial"/>
          <w:b w:val="0"/>
          <w:i w:val="0"/>
          <w:strike w:val="0"/>
          <w:noProof w:val="0"/>
          <w:color w:val="000000"/>
          <w:position w:val="0"/>
          <w:sz w:val="20"/>
          <w:u w:val="none"/>
          <w:vertAlign w:val="baseline"/>
        </w:rPr>
        <w:t xml:space="preserve"> medical issues. The commenters provided examples of in-kind assistance they believe could be helpful to improve the quality and reduce the cost of EPM episode care, such as meal delivery or other food assistance for beneficiaries and the family caregiver; enhanced homemaker and personal care aide services; and housing assistance for homeless patients. One commenter noted that while this would be a more expansive view of beneficiary engagement incentives for the EPM than CMS proposed, such an approach would allow targeted services to address key social determinants of health that could improve the quality and reduce the cost of EPM episodes by improving beneficiary outcomes and reducing readmissions. Another commenter urged CMS to provide guidance on specific circumstances where these or other social support services would be permissible, including applicable patient screening protocols and expenditure caps. The commenters encouraged CMS to allow EPM participants, who would be required to take on financial risk for cardiac and orthopedic episodes of care under the EPM, to use a full suite of tools to provide economically challenged patients the social supports necessary to minimize the risk of readmissions.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requested clarification about whether examples of beneficiary engagement incentives more directly related to medical issues would meet CMS' proposed requirements, such paying for a beneficiary's medications for management of coronary artery disease (either copayment or entire prescription in the instance of a patient who lacks Part D) or paying for a beneficiary's medications for management of an exacerbating chronic disease (for example, diabetes) (either copayment or entire prescription in the instance of a patient who lacks Part 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recommendations for additional beneficiary engagement incentives under the EPM, as well as their requests for clarification about certain items and services that EPM participants may wish to provide as beneficiary engagement incentives. Regarding requests for CMS to waive copayments for items and services included in EPM episodes, most beneficiaries in traditional Medicare have supplemental coverage, specifically employer-sponsored, Medicaid, and Medigap in descending order of prevalence. n130 In 2011, 81 percent of beneficiaries in traditional Medicare had supplemental coverage. While we recognize that without supplemental coverage the copayments associated with an EPM episode could be significant, most beneficiaries would not experience significant out-of-pocket costs for the items and services themselves because their supplemental coverage would help to cover those costs. For the subset of beneficiaries without supplemental coverage, we note that, under current law, hospitals and other providers and suppliers are permitted to waive copayments under certain limited conditions and that copayment waivers that comply with existing law continue to be permitted under the EPM. In light of these factors, we will not waive copayments for items and services covered by Medicare under the EPM.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n130 The Henry J. Kaiser Family Foundation. An Overview of Medicare. April 1, 2016. </w:t>
      </w:r>
      <w:hyperlink r:id="rId106" w:history="1">
        <w:r>
          <w:rPr>
            <w:rFonts w:ascii="arial" w:eastAsia="arial" w:hAnsi="arial" w:cs="arial"/>
            <w:b w:val="0"/>
            <w:i/>
            <w:strike w:val="0"/>
            <w:noProof w:val="0"/>
            <w:color w:val="0077CC"/>
            <w:position w:val="0"/>
            <w:sz w:val="20"/>
            <w:u w:val="single"/>
            <w:vertAlign w:val="baseline"/>
          </w:rPr>
          <w:t>http://kff.org/medicare/issue-brief/an-overview-of-medicare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commenters suggested that our specific proposal for the purpose of the items and services provided as beneficiary engagement incentives, specifically that they must be preventive care items or services or items and services that advance a clinical goal for a beneficiary in an EPM episode by engaging the beneficiary in better managing his or her own health, were not appropriate for the EPM. Several commenters who urged us to allow them the flexibility to provide support services as beneficiary engagement incentives presented specific arguments about how those items and services would reduce readmissions or enhance beneficiary adherence to the treatment plan, which are on the proposed list of clinical goals of the EPM. On the other hand, some commenters expressed concern that social support services that have the potential to advance EPM goals might not meet the proposed requirements because they are not closely tied to medical issues and, therefore, would not meet the requirement that the item or service must be reasonably connected to medical care provide to an EPM beneficiary during and EPM episode. While we appreciate that social issues have a significant influence on beneficiary health, we are testing the EPM as an innovative payment approach for Medicare beneficiaries, which focuses on improving care coordination following inpatient hospitalization for treatment of a clinical condition included in the EPM to improve the quality and reduce the cost of health care. The EPM is an APM that is being tested as an alternative to FFS Medicare. Therefore, we continue to believe that it is important to maintain the requirements of a reasonable connection between the item or service provided as a beneficiary engagement incentive and a beneficiary's medical care and that the item or service advance a meaningful clinical goal for the EPM beneficiary. These requirements both protect against EPM participants' incentives to influence the beneficiary's choice of providers and types of care in the EPM and ensure that the EPM as implemented with a standardized episode payment design in a large number and wide variety of EPM participants can be appropriately evaluated in comparison with FFS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not provide additional interpretation of the requirements for beneficiary engagement incentives that we are finalizing in this final rule, nor provide other guidance at this time. Instead, we encourage EPM participants considering offering items or services as beneficiary engagements incentives to EPM beneficiaries to closely consider those potential items and services and ensure that their provision would meet all the requirements of § 512.525 before deciding to provide those items or services as beneficiary engagement incentives under the EPM.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that CMS address a specific scenario where an EPM participant already has a program in place prior to implementation of the EPM to encourage beneficiaries to follow through on their plan of care after hospital discharge. The commenter requested that CMS clarify whether the incentives under the existing program become beneficiary engagement incentives under the EPM and, therefore, subject to the requirements of the EPM, or whether the existing incentives would only be considered beneficiary engagement incentives under the EPM if they are specifically being offered to encourage improvement of clinical goals based on the EPM care redesign for the EPM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request for clarification about the relationship of a hospital's existing incentives provided to Medicare beneficiaries following hospital discharge to encourage adherence to the beneficiary's care plan to EPM beneficiary engagement incentives provided by an EPM participant that must meet the specific requirements proposed in § 512.515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the applicable fraud and abuse laws. If an EPM participant has a program already in place to provide incentives to beneficiaries following hospital discharge, we expect that all such </w:t>
      </w:r>
      <w:r>
        <w:rPr>
          <w:rFonts w:ascii="arial" w:eastAsia="arial" w:hAnsi="arial" w:cs="arial"/>
          <w:b/>
          <w:i w:val="0"/>
          <w:strike w:val="0"/>
          <w:noProof w:val="0"/>
          <w:color w:val="000000"/>
          <w:position w:val="0"/>
          <w:sz w:val="20"/>
          <w:u w:val="none"/>
          <w:vertAlign w:val="baseline"/>
        </w:rPr>
        <w:t> [*483] </w:t>
      </w:r>
      <w:r>
        <w:rPr>
          <w:rFonts w:ascii="arial" w:eastAsia="arial" w:hAnsi="arial" w:cs="arial"/>
          <w:b w:val="0"/>
          <w:i w:val="0"/>
          <w:strike w:val="0"/>
          <w:noProof w:val="0"/>
          <w:color w:val="000000"/>
          <w:position w:val="0"/>
          <w:sz w:val="20"/>
          <w:u w:val="none"/>
          <w:vertAlign w:val="baseline"/>
        </w:rPr>
        <w:t xml:space="preserve"> incentives offered would comply with all current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the fraud and abuse laws. Therefore, if an EPM participant provides beneficiary engagement incentives to EPM beneficiaries during EPM episodes, those incentives must either comply with all current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the fraud and abuse laws, or with the requirements for EPM beneficiary engagement incentives in § 512.515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applicable fraud and abuse laws. We note that any waivers of fraud and abuse laws for the EPM or revisions to the existing CJR waivers are outside the scope of this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512.525(a) through (d) for the EPM general provisions, technology provided to an EPM beneficiary, clinical goals of the EPM, and documentation of beneficiary incentives, without modification. Beneficiary engagement incentives under the EPM must meet the following conditions and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EPM participants may choose to provide in-kind patient engagement incentives to beneficiaries in an EPM episode, subject to the following conditions:</w:t>
      </w:r>
    </w:p>
    <w:p>
      <w:pPr>
        <w:keepNext w:val="0"/>
        <w:numPr>
          <w:numId w:val="5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incentive must be provided directly by the EPM participant or by an agent of the EPM participant under the EPM participant's direction and control to the EPM beneficiary during an EPM episode.</w:t>
      </w:r>
    </w:p>
    <w:p>
      <w:pPr>
        <w:keepNext w:val="0"/>
        <w:numPr>
          <w:numId w:val="5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item or service provided must be reasonably connected to medical care provided to an EPM beneficiary during an EPM episode.</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item or service must be a preventive care item or service or an item or service that advances a clinical goal, as listed in paragraph (c) of this section, for a beneficiary in an EPM episode by engaging the beneficiary in better managing his or her own health.</w:t>
      </w:r>
    </w:p>
    <w:p>
      <w:pPr>
        <w:keepNext w:val="0"/>
        <w:numPr>
          <w:numId w:val="5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item or service must not be tied to the receipt of items or services outside the EPM episode.</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item or service must not be tied to the receipt of items or services from a particular provider or supplier.</w:t>
      </w:r>
    </w:p>
    <w:p>
      <w:pPr>
        <w:keepNext w:val="0"/>
        <w:numPr>
          <w:numId w:val="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availability of the items or services must not be advertised or promoted except that a beneficiary may be made aware of the availability of the items or services at the time the beneficiary could reasonably benefit from them.</w:t>
      </w:r>
    </w:p>
    <w:p>
      <w:pPr>
        <w:keepNext w:val="0"/>
        <w:numPr>
          <w:numId w:val="5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cost of the items or services must not be shifted to another federal health care program, as defined at section 1128B(f)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Beneficiary engagement incentives involving technology are subject to the following additional conditions:</w:t>
      </w:r>
    </w:p>
    <w:p>
      <w:pPr>
        <w:keepNext w:val="0"/>
        <w:numPr>
          <w:numId w:val="5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or services involving technology provided to a beneficiary may not exceed $ 1,000 in retail value for any one beneficiary in any one EPM episode.</w:t>
      </w:r>
    </w:p>
    <w:p>
      <w:pPr>
        <w:keepNext w:val="0"/>
        <w:numPr>
          <w:numId w:val="5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or services involving technology provided to a beneficiary must be the minimum necessary to advance a clinical goal, as listed in paragraph (c) of this section, for a beneficiary in an EPM episode.</w:t>
      </w:r>
    </w:p>
    <w:p>
      <w:pPr>
        <w:keepNext w:val="0"/>
        <w:numPr>
          <w:numId w:val="5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of technology exceeding $ 100 in retail value must--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Remain the property of the EPM participant;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 retrieved from the beneficiary at the end of the EPM episode. The EPM participant must document all retrieval attempts, including the ultimate date of retrieval. Documented, diligent, good faith attempts to retrieve items of technology will be deemed to meet the retrieval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the clinical goals of the EPM, which may be advanced through beneficiary incentives:</w:t>
      </w:r>
    </w:p>
    <w:p>
      <w:pPr>
        <w:keepNext w:val="0"/>
        <w:numPr>
          <w:numId w:val="5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Beneficiary adherence to drug regimens.</w:t>
      </w:r>
    </w:p>
    <w:p>
      <w:pPr>
        <w:keepNext w:val="0"/>
        <w:numPr>
          <w:numId w:val="5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Beneficiary adherence to a care plan.</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Reduction of readmissions and complications resulting from treatment for the EPM clinical condition.</w:t>
      </w:r>
    </w:p>
    <w:p>
      <w:pPr>
        <w:keepNext w:val="0"/>
        <w:numPr>
          <w:numId w:val="5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Management of chronic diseases and conditions that may be affected by treatment for the EPM clinical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Documentation of beneficiary engagement incentives:</w:t>
      </w:r>
    </w:p>
    <w:p>
      <w:pPr>
        <w:keepNext w:val="0"/>
        <w:numPr>
          <w:numId w:val="5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EPM participants must maintain documentation of items and services furnished as beneficiary engagement incentives that exceed $ 25 in retail value.</w:t>
      </w:r>
    </w:p>
    <w:p>
      <w:pPr>
        <w:keepNext w:val="0"/>
        <w:numPr>
          <w:numId w:val="5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documentation established contemporaneously with the provision of the items and services must include at least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date the incentive is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identity of the beneficiary to whom the item or service was provided.</w:t>
      </w:r>
    </w:p>
    <w:p>
      <w:pPr>
        <w:keepNext w:val="0"/>
        <w:numPr>
          <w:numId w:val="5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documentation regarding items of technology exceeding $ 100 in retail must also include contemporaneous documentation of any attempt to retrieve technology at the end of an EPM episode as described previously in this section.</w:t>
      </w:r>
    </w:p>
    <w:p>
      <w:pPr>
        <w:keepNext w:val="0"/>
        <w:numPr>
          <w:numId w:val="5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must retain and provide access to the required documentation in accordance with § 512.110.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Compliance With Fraud and Abuse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Certain arrangements between and among EPM participants and third parties or beneficiaries may implicate civil monetary penalty (CMP) law (subsections 1128A(a)(5), (b)(1), and (b)(2) of the Act), the Federal Anti-kickback statute (subsections 1128B(b)(1) and (2) of the Act), or the physician self-referral law (section 1877 of the Act). In many cases, arrangements that implicate these laws can be structured to comply with them by using existing safe harbors and exceptions. Section 1115A(d)(1) of the Act authorizes the Secretary to waive certain specified fraud and abuse laws as may be necessary solely for purposes of testing of payment models under section 1115A(b) of the Act. A waiver is not needed for an arrangement that does not implicate the fraud and abuse laws or that implicates the fraud and abuse laws but either fits within an existing exception or safe harbor, as applicable, or does not otherwise violate the law. Accordingly, pursuant to section 1115A(d)(1) of the Act, the Secretary will consider whether waivers of certain fraud and abuse laws are necessary to test the EPM as such models develop. Such waivers, if any, will be promulgated separately from this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OIG (as to sections 1128A and 1128B of the Act) and CMS (as to section 1877 of the Act), to which the respective authorities have been delegated.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proposed rule, requirements for the EPM will bear on the need for and scope of any fraud and abuse waivers that might be granted for the EPM. Because of the close nexus between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structure and operations of the EPM and the development of any fraud and abuse waivers necessary to carry out the provisions of the EPM, CMS and OIG may, when considering the need for or scope of any waivers, consider comments submitted in response to the proposed rule and provisions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Waivers of Medicare Program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CJR model, we stated that it may be necessary and appropriate to provide additional flexibilities to hospitals participating in the CJR model, as well as other providers that furnish services to beneficiaries in CJR episodes. The purpose of such flexibilities is to increase CJR-episode quality and decrease episode spending or internal costs or both of providers and suppliers </w:t>
      </w:r>
      <w:r>
        <w:rPr>
          <w:rFonts w:ascii="arial" w:eastAsia="arial" w:hAnsi="arial" w:cs="arial"/>
          <w:b/>
          <w:i w:val="0"/>
          <w:strike w:val="0"/>
          <w:noProof w:val="0"/>
          <w:color w:val="000000"/>
          <w:position w:val="0"/>
          <w:sz w:val="20"/>
          <w:u w:val="none"/>
          <w:vertAlign w:val="baseline"/>
        </w:rPr>
        <w:t> [*484] </w:t>
      </w:r>
      <w:r>
        <w:rPr>
          <w:rFonts w:ascii="arial" w:eastAsia="arial" w:hAnsi="arial" w:cs="arial"/>
          <w:b w:val="0"/>
          <w:i w:val="0"/>
          <w:strike w:val="0"/>
          <w:noProof w:val="0"/>
          <w:color w:val="000000"/>
          <w:position w:val="0"/>
          <w:sz w:val="20"/>
          <w:u w:val="none"/>
          <w:vertAlign w:val="baseline"/>
        </w:rPr>
        <w:t xml:space="preserve"> that results in better, more coordinated care for beneficiaries and improved financial efficiencies for Medicare, providers, and beneficiaries. These additional flexibilities were implemented through our waiver authority under section 1115A of the Act, which affords broad authority for the Secretary to waive statutory Medicare program requirements as necessary to carry out the provisions of section 1115A.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proposed rule, in testing EPMs, we believe that certain program waivers, similar to those adopted under the CJR model, will offer providers and suppliers more flexibility so that they may increase coordination of care and management of beneficiaries in EPM episodes. However, we stated in the proposed rule that before adopting the same waivers as we adopted in the CJR model for EPMs, we stated that further examination is necessary to determine if doing so increases financial vulnerability for the Medicare program or creates inappropriate clinical incentives that may reduce the quality of beneficiary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analysis of data available from current models being tested and other available clinical data, specific program requirements for which we proposed waivers under the AMI, CABG, and SHFFT models and for which we invited comments are included in the sections that follow. In addition, for providers or suppliers of cardiac rehabilitation and intensive cardiac rehabilitation services furnished to EPM beneficiaries during an AMI and CABG episode, we proposed to waive the physician definition to allow a qualified nonphysician practitioner to perform specific physician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these waivers of program requirements would apply to the care of beneficiaries who are in the proposed AMI, CABG, or SHFFT episodes at the time when such waivers would be used to bill for services furnished to the beneficiary, even if the episode is later cancelled as described in section III.C.4.b. of the proposed rule. Thus, it may have been appropriate for the hospital to have used a waiver if there was a reasonable expectation that the beneficiary was in the model at the time the waiver was used. However, if a service is found to have been billed and paid by Medicare under circumstances allowed only by a program requirement waiver for a beneficiary not in the proposed AMI, CABG, or SHFFT models at the time the service was furnished, CMS would recoup payment for that service from the provider or supplier who was paid, and require that provider or supplier to repay the beneficiary for any coinsurance previously collected. We did not receive any comments on this policy therefore, we are adopting this policy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generally sought comment on any additional Medicare program requirements that may be necessary to waive using our authority under section 1115A of the Act in order to effectively test the proposed EPMs that we could consider in the context of our early model implementation experience to inform any future proposals we may make. While we cannot finalize program requirement waivers that we have not specifically proposed, we will continually monitor the use of program waivers in each EPM to ensure that the appropriate outcomes in provider/supplier financial incentives and patient care are achieved.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recommended the CMS include other program waivers in addition to the proposed EPM waivers. In general, these suggestions were similar to the suggestions received during the CJR rulemaking process. Specifically, one commenter recommended that CMS expand more innovation to the post-acute care provider community in models such as CJR, EPM, and BPCI by allowing them to participate more robustly in these models through waiving some of the provider-specific rules, such as the IRF 60-percent rule and 3-hour therapy guideline. Another commenter recommended that CMS include a waiver to allow advance practice registered nurses to certify hospitalized patients for home health care services for the CJR model and the EPMs. Some commenters urged CMS to waive discharge planning requirements that prohibit hospitals from specifying or otherwise limiting information about post-acute care services, waive the regulatory constraints on how therapy services are delivered to EPM-eligible beneficiaries, and promote parity across Medicare programs by ensuring similar flexibilities are available to Medicare Advantage Organizations so that all Medicare beneficiaries can benefit from these services or removal of barriers. Another commenter urged CMS to waive audits of post-acute care and other collaborators participating in an EPM or CJR episode since the episode-managing entity is financially accountable for the provision of those services. Some commenters recommended that because certain arrangements may not meet the requirements of a "sharing arrangement" as outlined in the EPM proposed rule, CMS should waive fraud and abuse, beneficiary inducement, and physician self-referral liability for EPM entities.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the CJR Final Rule </w:t>
      </w:r>
      <w:hyperlink r:id="rId21" w:history="1">
        <w:r>
          <w:rPr>
            <w:rFonts w:ascii="arial" w:eastAsia="arial" w:hAnsi="arial" w:cs="arial"/>
            <w:b w:val="0"/>
            <w:i/>
            <w:strike w:val="0"/>
            <w:noProof w:val="0"/>
            <w:color w:val="0077CC"/>
            <w:position w:val="0"/>
            <w:sz w:val="20"/>
            <w:u w:val="single"/>
            <w:vertAlign w:val="baseline"/>
          </w:rPr>
          <w:t>(80 FR 73439),</w:t>
        </w:r>
      </w:hyperlink>
      <w:r>
        <w:rPr>
          <w:rFonts w:ascii="arial" w:eastAsia="arial" w:hAnsi="arial" w:cs="arial"/>
          <w:b w:val="0"/>
          <w:i w:val="0"/>
          <w:strike w:val="0"/>
          <w:noProof w:val="0"/>
          <w:color w:val="000000"/>
          <w:position w:val="0"/>
          <w:sz w:val="20"/>
          <w:u w:val="none"/>
          <w:vertAlign w:val="baseline"/>
        </w:rPr>
        <w:t xml:space="preserve"> we responded to numerous comments to include additional waivers under the CJR model. The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issued for the CJR model reflect our responses to those comments. We stated in the CJR Final Rule that while we were not making any changes to the proposed waivers, we would continually monitor the data from early testing of the CJR model. The CJR model was implemented on April 1, 2016 thus data is currently not available to evaluate if changes to the program waivers are warranted. We stated that if the early CJR model testing data supports changes to the program waivers then we would do so in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goal for implementing program waivers for EPMs was to replicate the general aspects of the waivers that were issued in the CJR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However, we stated in the EPM proposed rule that adopting the CJR waivers for the proposed EPMs required further examination to determine if such adoption would increase financial vulnerability to the Medicare program or would create inappropriate incentives to reduce the quality of beneficiary care. Thus, for the EPMs we proposed the following waivers that are similar to the adopted CJR waivers;</w:t>
      </w:r>
    </w:p>
    <w:p>
      <w:pPr>
        <w:keepNext w:val="0"/>
        <w:numPr>
          <w:numId w:val="5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Adopt waivers of the telehealth originating site and geographic site requirement and to allow in-home telehealth visits for all three proposed EPMs, as well as the general waiver to allow post-discharge home visits and;</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waivers on the number of post-discharge home visits and for the SNF 3-day stay, made on an EPM episode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anticipate that if the CJR model testing data supports additions or changes to the CJR program waivers, then we would consider extending those revisions to CJR waivers in future rulemaking to the EPMs if those waivers would be clinically appropriate for the clinical conditions that are the focus of the EPM. Hence, our responses to the EPM waiver comments in this section reflect this common relationship with the final CJR model waivers.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address the specific Medicare program waivers we proposed in the EPM proposed rule in the following sections. We decline at this time to waive any additional Medicare program requirements. We will review the information provided by the commenters and our early CJR model and EPM experience and may </w:t>
      </w:r>
      <w:r>
        <w:rPr>
          <w:rFonts w:ascii="arial" w:eastAsia="arial" w:hAnsi="arial" w:cs="arial"/>
          <w:b/>
          <w:i w:val="0"/>
          <w:strike w:val="0"/>
          <w:noProof w:val="0"/>
          <w:color w:val="000000"/>
          <w:position w:val="0"/>
          <w:sz w:val="20"/>
          <w:u w:val="none"/>
          <w:vertAlign w:val="baseline"/>
        </w:rPr>
        <w:t> [*485] </w:t>
      </w:r>
      <w:r>
        <w:rPr>
          <w:rFonts w:ascii="arial" w:eastAsia="arial" w:hAnsi="arial" w:cs="arial"/>
          <w:b w:val="0"/>
          <w:i w:val="0"/>
          <w:strike w:val="0"/>
          <w:noProof w:val="0"/>
          <w:color w:val="000000"/>
          <w:position w:val="0"/>
          <w:sz w:val="20"/>
          <w:u w:val="none"/>
          <w:vertAlign w:val="baseline"/>
        </w:rPr>
        <w:t xml:space="preserve"> consider waiving additional requirements during the course of the CJR model and EPM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Summary of Waivers Adopted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CJR model implemented in 2016, we issued regulatory waivers of the following Medicare program requirements:</w:t>
      </w:r>
    </w:p>
    <w:p>
      <w:pPr>
        <w:keepNext w:val="0"/>
        <w:numPr>
          <w:numId w:val="5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510.600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waives the direct supervision requirement to allow clinical staff to furnish certain post-discharge home visits under the general, rather than direct, supervision of a physician or nonphysician practitioners. This waiver allows a CJR beneficiary who does not qualify for home health benefits to receive up to 9 post-discharge visits in his or her home or place of residence any time during the episode. All other Medicare rules for coverage and payment of services incident to a physician's service continue to apply.</w:t>
      </w:r>
    </w:p>
    <w:p>
      <w:pPr>
        <w:keepNext w:val="0"/>
        <w:numPr>
          <w:numId w:val="5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510.615 waives current Medicare billing rules to allow the separate billing of these post-discharge home visits for CJR beneficiaries during a 90-day post-operative global surgical period. All other Medicare rules for global-surgery billing during the 90-day post-operative period continue to apply</w:t>
      </w:r>
    </w:p>
    <w:p>
      <w:pPr>
        <w:keepNext w:val="0"/>
        <w:numPr>
          <w:numId w:val="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510.605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allows a Medicare-approved telehealth service to be furnished to a CJR beneficiary regardless of the beneficiary's geographic location, and in his or her home or place of residence. CMS also waives certain telehealth payment provisions. Specifically, Medicare will not pay the originating site facility fee if the service originates in the beneficiary's home or place or residence, and the telehealth home visits will be paid using unique HCPCS codes with payment based on comparable office visits, less the practice expense portion of the payment paid for these comparable visits when furnished in-person. All other requirements for Medicare coverage and payment of telehealth services continue to apply.</w:t>
      </w:r>
    </w:p>
    <w:p>
      <w:pPr>
        <w:keepNext w:val="0"/>
        <w:numPr>
          <w:numId w:val="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510.610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waives the 3-day hospital stay requirement before a beneficiary may be discharged from a hospital to a qualified SNF, which CMS define as SNFs that are rated an overall of 3 stars or better for 7 of the last 12 months on the Nursing Home Compare Web site. This waiver applies to episodes being tested under the CJR model for specific performance years. For example, under CJR, the waiver applies beginning in performance year 2 (as hospitals are not bearing risk in their first year). All other Medicare rules for coverage and payment of Part A-covered SNF services continue to apply.</w:t>
      </w:r>
    </w:p>
    <w:p>
      <w:pPr>
        <w:keepNext w:val="0"/>
        <w:numPr>
          <w:numId w:val="6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510.620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waives the deductible and coinsurance statutory requirements to the extent necessary to make reconciliation payments or receive repayments based on the episodic payment methodology under the final payment model for CJR participant hospitals. The reconciliation or repayments do not affect the beneficiary's cost sharing amounts for services furnished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Analysis of Current Model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proposed rule, we believe that before we adopt the same regulatory waivers offered under the CJR model, we must determine if doing so would: (1) Be clinically-appropriate; (2) not introduce financial vulnerabilities to the Medicare program; and, more importantly, (3) not decrease desired outcomes of patient care. To make this determination, we analyzed waiver usage data and post-acute care usage from Medicare claims data current being tested in other EPMs. In addition, we analyzed the latest arithmetic and geometric means for the MS-DRGs associated with the proposed AMI, CABG, and SHFFT models published as Table 5 in the IPPS FY 2016 Correction Notice to the Final Rule (CMS-1632-CN; </w:t>
      </w:r>
      <w:hyperlink r:id="rId107" w:history="1">
        <w:r>
          <w:rPr>
            <w:rFonts w:ascii="arial" w:eastAsia="arial" w:hAnsi="arial" w:cs="arial"/>
            <w:b w:val="0"/>
            <w:i/>
            <w:strike w:val="0"/>
            <w:noProof w:val="0"/>
            <w:color w:val="0077CC"/>
            <w:position w:val="0"/>
            <w:sz w:val="20"/>
            <w:u w:val="single"/>
            <w:vertAlign w:val="baseline"/>
          </w:rPr>
          <w:t>80 FR 60055).</w:t>
        </w:r>
      </w:hyperlink>
      <w:r>
        <w:rPr>
          <w:rFonts w:ascii="arial" w:eastAsia="arial" w:hAnsi="arial" w:cs="arial"/>
          <w:b w:val="0"/>
          <w:i w:val="0"/>
          <w:strike w:val="0"/>
          <w:noProof w:val="0"/>
          <w:color w:val="000000"/>
          <w:position w:val="0"/>
          <w:sz w:val="20"/>
          <w:u w:val="none"/>
          <w:vertAlign w:val="baseline"/>
        </w:rPr>
        <w:t xml:space="preserve"> The following summarizes the available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Analysis of Waiver Usage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the proposed rule, waiver usage data is currently not available from the CJR model, thus we reviewed waiver usage data from the BPCI model. Waivers were offered for all 48 episodes under the BPCI model. However, we note that such waivers were significantly different from those adopted under the CJR model. For example, many BPCI model awardees were concerned about the difficulties in accurately identifying beneficiaries in BPCI episodes, which we believe might have been a disincentive to using the waiver of the SNF 3-day hospital stay. For the CJR model, we attempted to address this by codifying that the SNF stay would be covered if the beneficiary was in the episode at the time that the SNF waiver was utilized. With respect to the home visit, the BPCI model only allows 3 visits in a 90-day period (less if the episode is shorter), and awardees might not consider it worth the effort to incorporate this limited number of visits into their care design for episode beneficiaries. For the CJR model, we increased this allowance to 9 post-discharge visits in a 90-day period to allow for one visit a week for the two thirds of the 90-days post-discharge when the beneficiary was not receiving post-acute care. Finally, in the BPCI model we waived the geographic restrictions for telehealth visits, whereas for the CJR model we allow telehealth visits originating in the home, regardless of geographic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the waivers offered under the BPCI model differ from the waivers in the CJR model, and presumably for the waivers that we are implementing in this final rule, the BPCI model data shows--</w:t>
      </w:r>
    </w:p>
    <w:p>
      <w:pPr>
        <w:keepNext w:val="0"/>
        <w:numPr>
          <w:numId w:val="6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use of the home visit and telehealth waiver is minimal; and</w:t>
      </w:r>
    </w:p>
    <w:p>
      <w:pPr>
        <w:keepNext w:val="0"/>
        <w:numPr>
          <w:numId w:val="6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waiver of the SNF 3-day rule may be getting the most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Analysis of Discharge Destination--Post-Acute Care Usage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proposed rule, the following Table 47 shows the discharge destination and post-acute care usage for the cardiac related episodes (CABG, PCI, and AMI) in the BPCI model.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33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47--Discharge Destination for BPCI Cardiac Diagnoses *</w:t>
            </w:r>
          </w:p>
        </w:tc>
      </w:tr>
      <w:tr>
        <w:tblPrEx>
          <w:tblW w:w="0" w:type="auto"/>
          <w:jc w:val="center"/>
          <w:tblLayout w:type="fixed"/>
          <w:tblCellMar>
            <w:left w:w="108" w:type="dxa"/>
            <w:right w:w="108" w:type="dxa"/>
          </w:tblCellMar>
        </w:tblPrEx>
        <w:trPr>
          <w:tblHeader/>
          <w:jc w:val="center"/>
        </w:trPr>
        <w:tc>
          <w:tcPr>
            <w:tcW w:w="924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[Source: Medicare claims data]</w:t>
            </w:r>
          </w:p>
        </w:tc>
      </w:tr>
      <w:tr>
        <w:tblPrEx>
          <w:tblW w:w="0" w:type="auto"/>
          <w:jc w:val="center"/>
          <w:tblLayout w:type="fixed"/>
          <w:tblCellMar>
            <w:left w:w="108" w:type="dxa"/>
            <w:right w:w="108" w:type="dxa"/>
          </w:tblCellMar>
        </w:tblPrEx>
        <w:trPr>
          <w:tblHeader/>
          <w:jc w:val="center"/>
        </w:trPr>
        <w:tc>
          <w:tcPr>
            <w:tcW w:w="1080" w:type="dxa"/>
            <w:tcBorders>
              <w:bottom w:val="nil"/>
              <w:right w:val="nil"/>
            </w:tcBorders>
            <w:tcMar>
              <w:top w:w="20" w:type="dxa"/>
              <w:bottom w:w="20" w:type="dxa"/>
            </w:tcMar>
            <w:vAlign w:val="top"/>
          </w:tcPr>
          <w:p/>
        </w:tc>
        <w:tc>
          <w:tcPr>
            <w:tcW w:w="336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108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tc>
        <w:tc>
          <w:tcPr>
            <w:tcW w:w="48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Discharge destination</w:t>
            </w:r>
          </w:p>
        </w:tc>
      </w:tr>
      <w:tr>
        <w:tblPrEx>
          <w:tblW w:w="0" w:type="auto"/>
          <w:jc w:val="center"/>
          <w:tblLayout w:type="fixed"/>
          <w:tblCellMar>
            <w:left w:w="108" w:type="dxa"/>
            <w:right w:w="108" w:type="dxa"/>
          </w:tblCellMar>
        </w:tblPrEx>
        <w:trPr>
          <w:tblHeader/>
          <w:jc w:val="center"/>
        </w:trPr>
        <w:tc>
          <w:tcPr>
            <w:tcW w:w="108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tc>
        <w:tc>
          <w:tcPr>
            <w:tcW w:w="48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rounded percentages)</w:t>
            </w:r>
          </w:p>
        </w:tc>
      </w:tr>
      <w:tr>
        <w:tblPrEx>
          <w:tblW w:w="0" w:type="auto"/>
          <w:jc w:val="center"/>
          <w:tblLayout w:type="fixed"/>
          <w:tblCellMar>
            <w:left w:w="108" w:type="dxa"/>
            <w:right w:w="108" w:type="dxa"/>
          </w:tblCellMar>
        </w:tblPrEx>
        <w:trPr>
          <w:tblHeader/>
          <w:jc w:val="center"/>
        </w:trPr>
        <w:tc>
          <w:tcPr>
            <w:tcW w:w="1080" w:type="dxa"/>
            <w:tcBorders>
              <w:bottom w:val="nil"/>
              <w:right w:val="nil"/>
            </w:tcBorders>
            <w:tcMar>
              <w:top w:w="20" w:type="dxa"/>
              <w:bottom w:w="20" w:type="dxa"/>
            </w:tcMar>
            <w:vAlign w:val="top"/>
          </w:tcPr>
          <w:p/>
        </w:tc>
        <w:tc>
          <w:tcPr>
            <w:tcW w:w="336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MS-DRG</w:t>
            </w:r>
          </w:p>
        </w:tc>
        <w:tc>
          <w:tcPr>
            <w:tcW w:w="33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MS-DRG title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Home w/o</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Home with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SNF</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Other</w:t>
            </w:r>
          </w:p>
        </w:tc>
      </w:tr>
      <w:tr>
        <w:tblPrEx>
          <w:tblW w:w="0" w:type="auto"/>
          <w:jc w:val="center"/>
          <w:tblLayout w:type="fixed"/>
          <w:tblCellMar>
            <w:left w:w="108" w:type="dxa"/>
            <w:right w:w="108" w:type="dxa"/>
          </w:tblCellMar>
        </w:tblPrEx>
        <w:trPr>
          <w:tblHeader/>
          <w:jc w:val="center"/>
        </w:trPr>
        <w:tc>
          <w:tcPr>
            <w:tcW w:w="108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home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home</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108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health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health</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24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CABG</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tc>
        <w:tc>
          <w:tcPr>
            <w:tcW w:w="336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231</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PTCA W MCC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232</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PTCA W/O MCC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233</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CARDIAC CATH W MCC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234</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CARDIAC CATH W/O MCC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235</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CARDIAC CATH W MCC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236</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CARDIAC CATH W/O MCC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r>
      <w:tr>
        <w:tblPrEx>
          <w:tblW w:w="0" w:type="auto"/>
          <w:jc w:val="center"/>
          <w:tblLayout w:type="fixed"/>
          <w:tblCellMar>
            <w:left w:w="108" w:type="dxa"/>
            <w:right w:w="108" w:type="dxa"/>
          </w:tblCellMar>
        </w:tblPrEx>
        <w:trPr>
          <w:jc w:val="center"/>
        </w:trPr>
        <w:tc>
          <w:tcPr>
            <w:tcW w:w="924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PCI</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tc>
        <w:tc>
          <w:tcPr>
            <w:tcW w:w="336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246</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DES W MCC OR 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VES/STENTS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247</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DES STENT W/O MCC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248</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NON DES W MCC OR 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VES/STENTS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249</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NON-DES W/O MCC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CAS W MCC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251</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CAS W/O MCC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924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AMI</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tc>
        <w:tc>
          <w:tcPr>
            <w:tcW w:w="336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280</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ALIVE W MCC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281</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ALIVE W CC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282</w:t>
            </w:r>
          </w:p>
        </w:tc>
        <w:tc>
          <w:tcPr>
            <w:tcW w:w="33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ALIVE W/O CC/MCC</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71</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ABBREVIATIONS: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PTCA--Percutaneous Transluminal Coronary Angioplasty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CC--Complications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MCC--Major Complications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DES--Drug-Eluting Stent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CAS--Coronary Artery Stent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VES--Vessels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the data in Table 47 shows--</w:t>
      </w:r>
    </w:p>
    <w:p>
      <w:pPr>
        <w:keepNext w:val="0"/>
        <w:numPr>
          <w:numId w:val="6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with CABG have high post-acute care usage;</w:t>
      </w:r>
    </w:p>
    <w:p>
      <w:pPr>
        <w:keepNext w:val="0"/>
        <w:numPr>
          <w:numId w:val="6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with PCI have very little post-acute care usage; and</w:t>
      </w:r>
    </w:p>
    <w:p>
      <w:pPr>
        <w:keepNext w:val="0"/>
        <w:numPr>
          <w:numId w:val="6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with AMI have average post-acute care usage compared to patients with PCI and CABG.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the CJR model data shows post-acute care usage of about 30 days for MS-DRGs associated with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Analysis of Hospital Mean Length of Stay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proposed rule, Table 48 shows the geometric and arithmetic mean length of stay (LOS) for MS-DRGs associated with the proposed CABG, AMI (including PCI) and SHFFT models.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48--Geometric and Arithmetic Mean Length of Stay for BPCI Cardiac</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Diagnoses and SHFFT *</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[Source: FY 2016 IPPS correction notice; Table 5] *</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MS-DRG</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MS-DRG title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Geometric mean LOS</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Arithmetic mean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LOS</w:t>
            </w: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CABG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PTCA W MCC</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PTCA W/O MCC</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CARDIAC CATH W</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MCC</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CARDIAC CATH W/O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MCC</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CARDIAC CATH W</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MCC</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CARDIAC CATH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MCC</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PCI</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DES W MCC OR 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VES/STENTS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DES STENT W/O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MCC</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NON DES W MCC OR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 VES/STENTS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NON-DES W/O MCC</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CAS W MCC</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CAS W/O MCC</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AMI</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ALIVE W</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MCC</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ALIVE W</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CC</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ALIVE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CC/MCC</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SHFFT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HIP &amp; FEMUR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EXCEPT</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MAJOR JOINT W MCC</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HIP &amp; FEMUR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EXCEPT</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MAJOR JOINT W CC</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HIP &amp; FEMUR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EXCEPT</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MAJOR JOINT W/O</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CC/MCC</w:t>
            </w:r>
          </w:p>
        </w:tc>
        <w:tc>
          <w:tcPr>
            <w:tcW w:w="2280" w:type="dxa"/>
            <w:tcBorders>
              <w:right w:val="nil"/>
            </w:tcBorders>
          </w:tcPr>
          <w:p/>
        </w:tc>
        <w:tc>
          <w:tcPr>
            <w:tcW w:w="22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ABBREVIATIONS: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PTCA--Percutaneous Transluminal Coronary Angioplasty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CC--Complications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MCC--Major Complications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DES--Drug-Eluting Stent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CAS--Coronary Artery Stent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VES--Vessels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data in Table 48 shows--</w:t>
      </w:r>
    </w:p>
    <w:p>
      <w:pPr>
        <w:keepNext w:val="0"/>
        <w:numPr>
          <w:numId w:val="6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under all CABG MS-DRGs have a mean LOS of 6 days up to 11-13 days;</w:t>
      </w:r>
    </w:p>
    <w:p>
      <w:pPr>
        <w:keepNext w:val="0"/>
        <w:numPr>
          <w:numId w:val="6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under all PCI MS-DRGs have a mean LOS of about 2 days up to about 6 days;</w:t>
      </w:r>
    </w:p>
    <w:p>
      <w:pPr>
        <w:keepNext w:val="0"/>
        <w:numPr>
          <w:numId w:val="6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under all AMI MS-DRGs have a mean LOS of about 2 days up to about 6 days; and</w:t>
      </w:r>
    </w:p>
    <w:p>
      <w:pPr>
        <w:keepNext w:val="0"/>
        <w:numPr>
          <w:numId w:val="6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under all SHFFT MS-DRGs have a mean LOS of about 4 days up to about 8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the CJR model data shows the mean LOS for MS-DRGs associated with the CJR model of about 3 days up to about 7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proposed rule, based on our analysis of the available data, we believe that minimal program and patient outcome vulnerabilities exist with adopting the same CJR regulatory waivers to the following program requirements for EPMs:</w:t>
      </w:r>
    </w:p>
    <w:p>
      <w:pPr>
        <w:keepNext w:val="0"/>
        <w:numPr>
          <w:numId w:val="6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direct supervision requirement for certain post-discharge home visits and the Medicare billing requirement that will allow the separate billing of these post-discharge home visits for EPM beneficiaries during a 90-day post-operative global surgical period.</w:t>
      </w:r>
    </w:p>
    <w:p>
      <w:pPr>
        <w:keepNext w:val="0"/>
        <w:numPr>
          <w:numId w:val="6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telehealth geographic site requirement and the requirement that will allow in-home telehealth visits.</w:t>
      </w:r>
    </w:p>
    <w:p>
      <w:pPr>
        <w:keepNext w:val="0"/>
        <w:numPr>
          <w:numId w:val="6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deductible and coinsurance statutory requirements to the extent necessary to make reconciliation payments or receive repayments based on the episodic payment methodology under the final payment model for EPM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in conjunction with the comments received, we are adopting, as proposed, the waivers for these program requirements for EPMs as discussed in the sections that follow.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as discussed in the proposed rule, based on our analysis of the available data, we believe some program and patient outcome vulnerabilities may exist with the adoption of the same CJR regulatory waivers for the following program requirements for some EPMs:</w:t>
      </w:r>
    </w:p>
    <w:p>
      <w:pPr>
        <w:keepNext w:val="0"/>
        <w:numPr>
          <w:numId w:val="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SNF 3-day rule.</w:t>
      </w:r>
    </w:p>
    <w:p>
      <w:pPr>
        <w:keepNext w:val="0"/>
        <w:numPr>
          <w:numId w:val="6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number of post-discharge home visits allowed during the model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in conjunction with the comments received, we are adopting, as proposed, model-specific limits to the number of post-discharge home visits and to offer the waiver of the SNF 3-day rule on a model-specific basis as discussed in the sections that follow.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Post-Discharge Home Visits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the LEJR episodes, we expect that the broadly-defined EPM episodes with a duration of 90 days following hospital discharge, as we discuss in section III.A.1. of this final rule, will result in EPM participants redesigning care by increasing care coordination and management of beneficiaries following surgeries. We believe that beneficiaries might have substantial mobility limitations during EPM episodes following discharge to their homes or places of residence that may interfere with their ability to travel easily to physicians' offices or other health care settings. Adopting new strategies to increase beneficiary adherence to and engagement with recommended treatment and follow-up care following discharge from the hospital or post-acute care setting will also be important to high-quality episode care. Scientific evidence exists to support the use of home nursing visits among Medicare beneficiaries in improving care coordination following hospital discharge. n131 In addition, we believe the financial incentives in the EPMs will encourage hospitals to closely examine the most appropriate post-acute care settings for beneficiaries so that the clinically-appropriate setting of the lowest acuity is recommended following discharge from the anchor hospitalization. We expect that all these considerations will lead to greater interest on the part of hospitals and other providers and suppliers caring for EPM beneficiaries in furnishing services to beneficiaries in their homes or places of residence. Such services could include visits by licensed clinical staff other than physicians and nonphysician practitioners.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n131 Naylor MD, Brooten D, Campbell R, Jacobsen BS, Mezey MD, Pauly MV, Schwartz JS. JAMA. 1999:281(7):613-620. doi:10/1001/jama.281.7.613.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for Medicare to pay for home health services, a beneficiary must be determined to be "homebound." Specifically, sections 1835(a) and 1814(a) of the Act require that a physician certify (and recertify) that in the case of home health services under the Medicare home health benefit, such services are or were required because the individual is or was "confined to the home" and needs or needed skilled nursing care on an intermittent basis, or physical or speech therapy or has or had a continuing need for occupational therapy. A beneficiary is considered to be confined to the home if the beneficiary has a condition, due to an illness or injury, that restricts his or her ability to leave home except with the assistance of another individual or the aid of a supportive device (that is, crutches, a cane, a wheelchair or a walker) or if the beneficiary has a condition such that leaving his or her home is medically contraindicated. While a beneficiary does not have to be bedridden to be considered confined to the home, the condition of the beneficiary must be such that there exists a normal inability to leave home and leaving home requires a considerable and taxing effort by the beneficiary. </w:t>
      </w:r>
      <w:r>
        <w:rPr>
          <w:rFonts w:ascii="arial" w:eastAsia="arial" w:hAnsi="arial" w:cs="arial"/>
          <w:b/>
          <w:i w:val="0"/>
          <w:strike w:val="0"/>
          <w:noProof w:val="0"/>
          <w:color w:val="000000"/>
          <w:position w:val="0"/>
          <w:sz w:val="20"/>
          <w:u w:val="none"/>
          <w:vertAlign w:val="baseline"/>
        </w:rPr>
        <w:t> [*488]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Absent this condition, it would be expected that the beneficiary typically could get the same services in an outpatient or other setting. Thus, the homebound requirement provides a way to help differentiate between patients that require medical care at home versus patients who could more appropriately receive care in less-costly outpatient settings. Additional information regarding the homebound requirement is available in the Medicare Benefit Manual (Pub 100-02); Chapter 7, "Home Health Services," section 30.1.1, "Patient Confined to the Home."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whether a waiver of the homebound requirement would be appropriate under the AMI, CABG and SHFFT models, particularly beginning in performance year 2, where hospitals begin to bear repayment responsibility for excess episode spending. Waiving the homebound requirement would allow additional beneficiaries to receive home health care services in their home or place of residence. As previously discussed, physician certification that a beneficiary meets the homebound requirement is a prerequisite for Medicare coverage of home health services, and waiving the homebound requirement could result in lower episode spending in some instances. For example, if a beneficiary is allowed to have home health care visits, even if the beneficiary is not considered homebound, the beneficiary may avoid a hospital readmission. All other requirements for the Medicare home health benefit would remain unchanged. Thus, under such a waiver, only beneficiaries who otherwise meet all program requirements to receive home health services would be eligible for coverage of home health services without being homebound.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did not propose to waive the homebound requirement under the proposed EPMs for several reasons. Based on the typical clinical course of beneficiaries after procedures in the proposed EPMs, we believe that many beneficiaries would meet the homebound requirement for home health services immediately following discharge from the anchor hospitalizations or following discharge to their home or place of residence from a SNF that furnished post-acute care services immediately following the hospital discharge, so they could receive medically-necessary home health services under existing program rules. Home health episodes are 60 days in duration, and payment adjustments are made for beneficiaries who require only a few visits during the episode or who are discharged during the episode. For those EPM beneficiaries who could benefit from home visits by licensed clinical staff for purposes of assessment and monitoring of their clinical conditions, care coordination, and improving adherence with treatment but who are not homebound, we do not believe that paying for these visits as home health services under Medicare is necessary or appropriate, especially given that Medicare payments for home health services are set based on the clinical care furnished to beneficiaries who are truly homebound. Finally, in other CMS episode payment models, such as the BPCI initiative and the CJR model, we have not waived the homebound requirement for home health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stated the CMS should waive the homebound requirement for the EPMs. One commenter stated that hospitals would not have an incentive to direct patients to home health when a less costly option, such as outpatient therapy, also would be clinically appropriate and that CMS should allow physicians, working together with participating hospitals, to determine the most clinically appropriate plan for a patient's post-acute care, unimpeded by regulatory barriers. Another commenter suggested the establishment of a homebound waiver to fit the circumstances described in the "incident to" waiver. Other commenters recommended that CMS incrementally test a waiver of the homebound requirement for the home health benefit by using a limited waiver. Other commenters recommended that CMS waive the home health homebound rule in accordance with the new Star Rating program for homecare providers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appreciate the commenters' requests that we waive the homebound requirement for home health services, we disagree that waiving the homebound requirement is necessary for the test of the EPMs. In the CJR model Final Rule </w:t>
      </w:r>
      <w:hyperlink r:id="rId21" w:history="1">
        <w:r>
          <w:rPr>
            <w:rFonts w:ascii="arial" w:eastAsia="arial" w:hAnsi="arial" w:cs="arial"/>
            <w:b w:val="0"/>
            <w:i/>
            <w:strike w:val="0"/>
            <w:noProof w:val="0"/>
            <w:color w:val="0077CC"/>
            <w:position w:val="0"/>
            <w:sz w:val="20"/>
            <w:u w:val="single"/>
            <w:vertAlign w:val="baseline"/>
          </w:rPr>
          <w:t>(80 FR 73440</w:t>
        </w:r>
      </w:hyperlink>
      <w:r>
        <w:rPr>
          <w:rFonts w:ascii="arial" w:eastAsia="arial" w:hAnsi="arial" w:cs="arial"/>
          <w:b w:val="0"/>
          <w:i w:val="0"/>
          <w:strike w:val="0"/>
          <w:noProof w:val="0"/>
          <w:color w:val="000000"/>
          <w:position w:val="0"/>
          <w:sz w:val="20"/>
          <w:u w:val="none"/>
          <w:vertAlign w:val="baseline"/>
        </w:rPr>
        <w:t xml:space="preserve"> through 73441) we responded to similar comments regarding the home health homebound requirement. Under the EPMs, we continue to believe that waiving the homebound requirement is not appropriate for the same reasons stated in the CJR model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EPM proposed rule, we proposed to waive the "incident to" direct physician supervision requirement for post-discharge home visits in order to allow clinical staff to furnish post-discharge home visits to EPM beneficiaries who do not meet the requirements for home health services. We believe that this would allow the home visits by clinical staff for non-homebound EPM beneficiaries that we believe are necessary for testing the model. As we discussed in the EPM proposed rule, we believe many EPM beneficiaries should qualify for home health services under the existing program rules, especially immediately after discharge from the hospital or discharge from an institutional setting such as a SNF to their residence. Furthermore, as a retrospective payment model, all providers and suppliers are paid for services furnished to model beneficiaries at their usual rates, and program payments for home health services are set based on the needs of Medicare beneficiaries who are truly homebound. The resources required to care for homebound beneficiaries in the home are likely greater than those required for EPM beneficiaries who are not homebound. Therefore, waiving the homebound requirement would lead to inappropriate payment for post-discharge home visits to EPM beneficiaries and could result in increased EPM actual spending, which is counter to the goals of the EPM.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our proposal, without modification, to maintain the existing Medicare requirements for home health services, including the requirement that the beneficiary be homebound, when home health services are furnished to EPM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EPMs, we proposed to adopt program requirement waivers similar to the post-discharge home visit waivers implemented for the CJR model. We proposed to waive the "incident to" rule set forth in § 410.26(b)(5) to allow an EPM beneficiary who does not qualify for home health services to receive post-discharge visits in his or her home or place of residence any time during the episode. The waiver would not apply to services furnished to beneficiaries who would qualify for home health services under the Medicare program, as set forth under § 409.42. Therefore, these visits would not be billed for such beneficiaries. Under the proposed waiver, we would allow services furnished under the waiver to be billed under the PFS by the physician or nonphysician practitioner who is supervising the licensed clinical staff or by the hospital to which the supervising physician has reassigned his or her benefits if all other requirements are met. In the latter scenario, we note that the post-discharge home visit services will not be "hospital services," even when furnished by licensed clinical staff of the hospital. </w:t>
      </w:r>
      <w:r>
        <w:rPr>
          <w:rFonts w:ascii="arial" w:eastAsia="arial" w:hAnsi="arial" w:cs="arial"/>
          <w:b/>
          <w:i w:val="0"/>
          <w:strike w:val="0"/>
          <w:noProof w:val="0"/>
          <w:color w:val="000000"/>
          <w:position w:val="0"/>
          <w:sz w:val="20"/>
          <w:u w:val="none"/>
          <w:vertAlign w:val="baseline"/>
        </w:rPr>
        <w:t> [*489]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CJR model, we allow up to 9 post-discharge home visits to be billed and paid during each 90-day post-anchor hospitalization CJR episode. This limit on the number of visits is based on the average post-acute care LOS of approximately 30 to 45 days for CJR episodes and the incentives under CJR to improve efficiency, which may shorten post-acute care stays. Thus, 9 visits represent a home visit on average of once per week for two-thirds of the 90-day episode duration, the period of time when the typical beneficiary may have concluded post-acute care in an efficient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current model data shows that the average post-acute care LOS may vary or in some case post-acute care may not be used at all, for EPMs, we proposed to use model-specific limits on post-discharge home visits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AMI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model data show that most beneficiaries with AMI diagnoses, regardless of AMI medical treatment or PCI treatment for AMI, are not discharged to post-acute care. Based on no post-acute care usage, we proposed that a beneficiary in the AMI model could receive up to 13 home visits, which represents a home visit on average of once per week for the entire 90-day AMI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CABG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model data show that most beneficiaries with CABG diagnoses are discharged to SNFs or to home health. Assuming an average post-acute care LOS of 30 days, we proposed that a beneficiary in the CABG model could receive up to 9 home visits, which represents a home visit on average of once per week for 60 days, or two-thirds of a 90-day CABG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model data show that most beneficiaries with SHFFT diagnoses are discharged to SNFs with average post-acute care LOSs of 30 days. Thus, we proposed that a beneficiary in the SHFFT model could receive up to 9 home visits, which represents a home visit on average of once per week for 60 days, or two-thirds of a 90-day SHFFT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Most commenters supported the "incident to" waiver to allow general supervision rather than direct supervision. A few commenters recommended that the post-discharge home visits be available to all EPM beneficiaries, including those who qualify for home health services. Some commenters requested that CMS issue a clarification that specifically permits a hospital or community physician or nonphysician practitioner to contract with an HHA for home nursing visits under the "incident to" waiver and that this clarification should also provide that the Medicare home health agency Conditions of Participation do not apply to such visits.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the CJR Final Rule, we responded to similar comments regarding the "incident to" direct supervision waiver </w:t>
      </w:r>
      <w:hyperlink r:id="rId21" w:history="1">
        <w:r>
          <w:rPr>
            <w:rFonts w:ascii="arial" w:eastAsia="arial" w:hAnsi="arial" w:cs="arial"/>
            <w:b w:val="0"/>
            <w:i/>
            <w:strike w:val="0"/>
            <w:noProof w:val="0"/>
            <w:color w:val="0077CC"/>
            <w:position w:val="0"/>
            <w:sz w:val="20"/>
            <w:u w:val="single"/>
            <w:vertAlign w:val="baseline"/>
          </w:rPr>
          <w:t>(80 FR 73442</w:t>
        </w:r>
      </w:hyperlink>
      <w:r>
        <w:rPr>
          <w:rFonts w:ascii="arial" w:eastAsia="arial" w:hAnsi="arial" w:cs="arial"/>
          <w:b w:val="0"/>
          <w:i w:val="0"/>
          <w:strike w:val="0"/>
          <w:noProof w:val="0"/>
          <w:color w:val="000000"/>
          <w:position w:val="0"/>
          <w:sz w:val="20"/>
          <w:u w:val="none"/>
          <w:vertAlign w:val="baseline"/>
        </w:rPr>
        <w:t xml:space="preserve"> through 73444). While we appreciate the commenters' suggestions that we provide maximal flexibility to participant hospitals to deliver the configuration of services the hospital believes to be most appropriate to manage a beneficiary's care, under the EPMs we continue to believe that home visits furnished under the "incident to" direct physician supervision waiver should be limited to model beneficiaries who otherwise would not qualify for home health services. We note that while home health episodes are 60 days in duration, payment adjustments are made for beneficiaries who require only a few visits during the episode or who are discharged during the home health episode. Therefore, EPM beneficiaries who qualify for home health services could receive home health services that would be appropriately paid even if they qualified for such services for less than 60 days. Those beneficiaries who qualify for home health services for any duration of time during the EPM episode would not need to receive post-discharge home visits under the "incident to" direct physician supervisions waiver. Furthermore, we expect that homebound EPM beneficiaries may typically need other types of services provided under the home health benefit than just post-discharge home visits by clinical staff, including skilled nursing services, therapy services, medical supplies, and medical social services. We would not expect that post-discharge home visits provided under the "incident to" direct physician supervision waiver would adequately substitute for home health services under the more comprehensive Medicare home health benefit. For those beneficiaries receiving home health care, paying additionally for post-discharge home visits under the "incident to" direct physician supervision waiver would be duplicative of services that should be furnished under the home health episode and could lead to ineffective care coordination and management due to the involvement of multiple clinical staff working for different organizations or physician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we proposed to waive the direct physician supervision requirement in § 410.26(b)(5) as previously discussed, licensed clinical staff providing post-discharge home visits as "incident to" services would still need to be considered "auxiliary personnel" (employed, contracted, or leased employee of the physician or same employing organization as physician) as required by § 410.26(a)(1) and § 410.26(b)(6). Therefore, it would not be permissible for HHAs, community-based organizations, hospitals, or others to provide post-discharge home visits under the proposed "incident to" direct physician supervision waiver as these entities would not meet the definition of "auxiliary personnel" as outlined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At this time, we are declining to waive any additional requirements of the "incident to" rules that would be necessary for these other entities to furnish EPM post-discharge home visits because we continue to believe that the post-discharge home visits should always be "incident to" a physician's professional services, including that they are an integral, although incidental, part of the physician's professional services in the course of the diagnosis or treatment of an illness of injury, and that they are furnished by auxiliary personnel (if not by the physician or practitioner with an "incident to" benefit), who by definition are linked to the physician (or employing organization of the physician) by employment, contract, or lease. We believe the "incident to" relationship of post-discharge home visits to a physician's professional services is critical due to the importance of robust care coordination and close care management to episode cost and quality performance, given the lengthy, broadly defined EPM episodes. We note that in the case where a post-discharge home visit is furnished by licensed clinical staff employed by the hospital, the hospital could bill under the PFS if the supervising physician who is an employee or a contractor of the hospital has reassigned his or her benefits to the hospital. As a result, we are not providing additional waivers for post-discharge home visits to EPM beneficiaries who otherwise do not qualify for Medicare home health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Most commenters supported the additional allowance of visits for AMI model patients, but were not clear what the clinically appropriate number should be for any particular </w:t>
      </w:r>
      <w:r>
        <w:rPr>
          <w:rFonts w:ascii="arial" w:eastAsia="arial" w:hAnsi="arial" w:cs="arial"/>
          <w:b/>
          <w:i w:val="0"/>
          <w:strike w:val="0"/>
          <w:noProof w:val="0"/>
          <w:color w:val="000000"/>
          <w:position w:val="0"/>
          <w:sz w:val="20"/>
          <w:u w:val="none"/>
          <w:vertAlign w:val="baseline"/>
        </w:rPr>
        <w:t> [*490] </w:t>
      </w:r>
      <w:r>
        <w:rPr>
          <w:rFonts w:ascii="arial" w:eastAsia="arial" w:hAnsi="arial" w:cs="arial"/>
          <w:b w:val="0"/>
          <w:i w:val="0"/>
          <w:strike w:val="0"/>
          <w:noProof w:val="0"/>
          <w:color w:val="000000"/>
          <w:position w:val="0"/>
          <w:sz w:val="20"/>
          <w:u w:val="none"/>
          <w:vertAlign w:val="baseline"/>
        </w:rPr>
        <w:t xml:space="preserve"> patient. Some commenters suggested that CMS not place any limits on the number of visits since in some cases this may result in readmissions during the episode that may be avoided with additional home monitoring. Other commenters were concerned that differential rules about the number of visits permitted for specific EPM episodes may be confusing for model participants. Some commenters supported CMS' proposal for differential post-discharge visit limits at this time, but urge the agency to monitor care patterns and consider refinements in the future with an eye toward consistency through future rulemaking.</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the CJR Final Rule, we responded to similar comments regarding the limit on the number of post-discharge home visits </w:t>
      </w:r>
      <w:hyperlink r:id="rId21" w:history="1">
        <w:r>
          <w:rPr>
            <w:rFonts w:ascii="arial" w:eastAsia="arial" w:hAnsi="arial" w:cs="arial"/>
            <w:b w:val="0"/>
            <w:i/>
            <w:strike w:val="0"/>
            <w:noProof w:val="0"/>
            <w:color w:val="0077CC"/>
            <w:position w:val="0"/>
            <w:sz w:val="20"/>
            <w:u w:val="single"/>
            <w:vertAlign w:val="baseline"/>
          </w:rPr>
          <w:t>(80 FR 73444).</w:t>
        </w:r>
      </w:hyperlink>
      <w:r>
        <w:rPr>
          <w:rFonts w:ascii="arial" w:eastAsia="arial" w:hAnsi="arial" w:cs="arial"/>
          <w:b w:val="0"/>
          <w:i w:val="0"/>
          <w:strike w:val="0"/>
          <w:noProof w:val="0"/>
          <w:color w:val="000000"/>
          <w:position w:val="0"/>
          <w:sz w:val="20"/>
          <w:u w:val="none"/>
          <w:vertAlign w:val="baseline"/>
        </w:rPr>
        <w:t xml:space="preserve"> While we understand that some commenters would prefer no limit or a higher limit on the number of post-discharge home visits, as discussed previously these visits are restricted to model beneficiaries who do not quality for home health services. As discussed in the CJR Final Rule, we continue to believe it is appropriate to limit the number of post-discharge home visits that can be paid under an episode-based payment model to mitigate the risk of overutilization, especially in the early years of the model where EPM participants have no, or limited, repayment responsibility for excess actual episode spending above the quality-adjusted target price. As with the CJR post-discharge home visits, we believe that a limit on the number of visits is appropriate for the EPMs. In addition, we believe that the average post-acute care length of stay data supports differences in post-acute care usage for each of the EPMs as discussed in the proposed rule. Thus, we continue to believe that it is clinically appropriate to account for these differences on an episode-specific basis when setting the limits on the number of visits covered under the waiver.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the post-discharge home visit waiver for the CJR model, we are not prescribing the periodicity, pattern, or number of these visits for model beneficiaries. We will monitor utilization of these visits and may revisit the maximum number of visits over the course of the EPMs based on the implementation experience of EPM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urged CMS to require more specific identification of all the clinicians who provide services that are billed incident to another practitioner.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believe this "incident to" waiver can be a significant tool to support a participant's success with the EPM, we believe that the administrative complexity of changing the billing requirements in order to collect this additional information outweighs the potential usefulness of this information in evaluating this aspect of the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finalizing the proposal, without modification, to waive the "incident to" direct physician supervision requirement set forth at § 410.26(b)(5), to allow an EPM beneficiary who does not qualify for home health services to receive post-discharge visits in his or her home or place of residence any time during the EPM episode following discharge from an anchor hospitalization, limited to 13 visits for the AMI model, 9 visits for the CABG model, and 9 visits for the SHFFT model. We will allow practitioners to bill for services provided by licensed clinical staff, such as nurses, who are considered "auxiliary personnel" as defined in § 410.26(a)(1), when provided under the general, rather than direct, supervision of a physician or nonphysician practitioner. In some situations the clinical staff providing these services may be employees of the participant hospital and, as long as these clinical staff are supervised by the billing physician or nonphysician practitioner and the appropriate relationship exists between the physician and the clinical staff, payment under the PFS can be made. We plan to monitor utilization patterns of post-discharge home visits under the EPMs to monitor for overutilization and significant reductions in medical home health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the CJR model, we proposed that the service be reported with HCPCS code GXXXX (EPM-AMI, CABG, or SHFFT model home visit for patient assessment performed by clinical staff for an individual not considered homebound, including, but not necessarily limited to patient assessment of clinical status, safety/fall prevention, functional status/ambulation, medication reconciliation/management, compliance with orders/plan of care, performance of activities of daily living, and ensuring beneficiary connections to community and other services; for use only in the Medicare-approved EPM-AMI, CABG, or SHFFT model; may not be billed for a 30-day period covered by a transitional care management code) and estimated that it would be paid at approximately $ 50 under the PFS. The standard PFS rate setting methodologies establish relative value units (RVUs) based on the resources required to furnish the typical service. We proposed that final RVUs under the CY 2017 PFS for the proposed new HCPCS code for AMI, CABG, and SHFFT home visits will be included in this final rule. In addition, we proposed to update the values each year to correspond to final values established under the PFS.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waiver would not apply with respect to an AMI, CABG, or SHFFT beneficiary who has qualified, or would qualify, for home health services when the visit was furnished. We expect that the visits by licensed clinical staff could include patient assessment, monitoring, assessment of functional status and fall risk, review of medications, assessment of adherence with treatment recommendations, patient education, communication and coordination with other treating clinicians, care management to improve beneficiary connections to community and other services, etc. These post-discharge home visits would remove barriers to follow-up care outside of the home with providers and suppliers and allow the beneficiary to be treated in his or her home environment or place of residence, where potential safety concerns, such as tripping hazards, could quickly be identified and remediated. Given these occasions for further patient assessment and intervention, we believe that where such post-discharge home visits are furnished, there are opportunities to increase patient-centered care coordination and decrease episode spending, potentially resulting in higher-quality care for beneficiaries and increased episode efficiency which may benefit the beneficiaries, the Medicare Trust Fund, and EPM participants.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proposed to waive current Medicare billing rules in order to allow the separate reporting of these post-discharge home visits during surgical global periods. The PFS payment for the surgical procedure includes 90 days of post-operative care furnished by the surgeon. Post-operative follow-up care is not separately billable by the surgeon or, when there is a transfer of care, by the practitioner to whom care is transferred. The current construction of the global packages included in PFS payments reflects a narrow view of surgical follow-up care that does not encompass broader, more comprehensive models of post-operative care, such as an episode payment model like the proposed AMI, CABG, and SHFFT models. As we have noted in the past, it is also difficult to determine the appropriate valuation of the various components of the current global packages (2015 Physician Fee Schedule </w:t>
      </w:r>
      <w:r>
        <w:rPr>
          <w:rFonts w:ascii="arial" w:eastAsia="arial" w:hAnsi="arial" w:cs="arial"/>
          <w:b/>
          <w:i w:val="0"/>
          <w:strike w:val="0"/>
          <w:noProof w:val="0"/>
          <w:color w:val="000000"/>
          <w:position w:val="0"/>
          <w:sz w:val="20"/>
          <w:u w:val="none"/>
          <w:vertAlign w:val="baseline"/>
        </w:rPr>
        <w:t> [*491] </w:t>
      </w:r>
      <w:r>
        <w:rPr>
          <w:rFonts w:ascii="arial" w:eastAsia="arial" w:hAnsi="arial" w:cs="arial"/>
          <w:b w:val="0"/>
          <w:i w:val="0"/>
          <w:strike w:val="0"/>
          <w:noProof w:val="0"/>
          <w:color w:val="000000"/>
          <w:position w:val="0"/>
          <w:sz w:val="20"/>
          <w:u w:val="none"/>
          <w:vertAlign w:val="baseline"/>
        </w:rPr>
        <w:t xml:space="preserve"> </w:t>
      </w:r>
      <w:hyperlink r:id="rId108" w:history="1">
        <w:r>
          <w:rPr>
            <w:rFonts w:ascii="arial" w:eastAsia="arial" w:hAnsi="arial" w:cs="arial"/>
            <w:b w:val="0"/>
            <w:i/>
            <w:strike w:val="0"/>
            <w:noProof w:val="0"/>
            <w:color w:val="0077CC"/>
            <w:position w:val="0"/>
            <w:sz w:val="20"/>
            <w:u w:val="single"/>
            <w:vertAlign w:val="baseline"/>
          </w:rPr>
          <w:t>79 FR 67584).</w:t>
        </w:r>
      </w:hyperlink>
      <w:r>
        <w:rPr>
          <w:rFonts w:ascii="arial" w:eastAsia="arial" w:hAnsi="arial" w:cs="arial"/>
          <w:b w:val="0"/>
          <w:i w:val="0"/>
          <w:strike w:val="0"/>
          <w:noProof w:val="0"/>
          <w:color w:val="000000"/>
          <w:position w:val="0"/>
          <w:sz w:val="20"/>
          <w:u w:val="none"/>
          <w:vertAlign w:val="baseline"/>
        </w:rPr>
        <w:t xml:space="preserve"> We do not believe that the AMI, CABG, and SHFFT post-discharge home visits, which can include nursing assessments for chronic conditions for which care may be affected by the surgery, would replace or substantially duplicate the kind of post-operative visits involved in furnishing post-operative follow-up care for the global surgery procedure under the PFS. Instead, we anticipate that the work of these post-discharge visits will be similar to the work furnished by the physician coordinating the patient's overall episode care. Therefore, we proposed to waive the global surgery billing rules to allow the surgeon or other practitioners to furnish and bill for the post-discharge home visits during surgical global periods.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supported the proposal to waive current Medicare billing rules for global surgeries to allow the separate billing of these post-discharge home visits by the physician or nonphysician practitioner who performed the EPM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supported the proposal, but urged CMS to clarify how this policy will interact with the PFS proposal for CY 2017 to require billing HCPCS G-codes during the global period to collect information on post-surgical visits.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on these issues. In response to the request for clarification, we note that since the post-discharge home visits furnished to EPM beneficiaries are being paid for, they do not need to be separately reported under the global surgery data collection requirements under the PFS. (See the CY 2017 PFS Final Rule, </w:t>
      </w:r>
      <w:hyperlink r:id="rId109" w:history="1">
        <w:r>
          <w:rPr>
            <w:rFonts w:ascii="arial" w:eastAsia="arial" w:hAnsi="arial" w:cs="arial"/>
            <w:b w:val="0"/>
            <w:i/>
            <w:strike w:val="0"/>
            <w:noProof w:val="0"/>
            <w:color w:val="0077CC"/>
            <w:position w:val="0"/>
            <w:sz w:val="20"/>
            <w:u w:val="single"/>
            <w:vertAlign w:val="baseline"/>
          </w:rPr>
          <w:t>81 FR 80170,</w:t>
        </w:r>
      </w:hyperlink>
      <w:r>
        <w:rPr>
          <w:rFonts w:ascii="arial" w:eastAsia="arial" w:hAnsi="arial" w:cs="arial"/>
          <w:b w:val="0"/>
          <w:i w:val="0"/>
          <w:strike w:val="0"/>
          <w:noProof w:val="0"/>
          <w:color w:val="000000"/>
          <w:position w:val="0"/>
          <w:sz w:val="20"/>
          <w:u w:val="none"/>
          <w:vertAlign w:val="baseline"/>
        </w:rPr>
        <w:t xml:space="preserve"> for the finalized policies related to the global surgery data collection requirements under the PFS.)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Services furnished under the waiver will be billed under the PFS by the physician or nonphysician practitioner or by the entity, including a hospital, to which the supervising physician or nonphysician practitioner has reassigned his or her benefits. We are also waiving current Medicare billing rules in order to allow the separate reporting by the physician who performed a procedure during the anchor hospitalization of the EPM episode of these post-discharge home visits during surgical global periods when he or she is providing the general supervision of the post-discharge home visit.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post-discharge home visit will be billed with the new HCPCS code G9863, displayed in Table 49. This code will be payable for EPM model beneficiaries beginning July 1, 2017, the start date of the first EPM performance year as discussed in section III.D.2. of this final rule. Rather than finalizing the specific RVUs for this new HCPCS code in this final rule, we are finalizing them through reference to the RVUs for another HCPCS G-code paid under the PFS. Specifically, the RVUs for this new code will be based upon the same inputs used to determine the payment rate for HCPCS code G9187 (BPCI initiative home visit for patient assessment performed by a qualified health care professional for individuals not considered homebound including, but not limited to, assessment of safety, falls, clinical status, fluid status, medication reconciliation/management, patient compliance with orders/plan of care, performance of activities of daily living, appropriateness of care setting; (for use only in the Medicare-approved BPCI initiative); may not be billed for a 30-day period covered by a transitional care management code), the specific HCPCS G-code currently used to report post-discharge home visits under BPCI. We are crosswalking the RVUs for new HCPCS code G9863 to the RVUs for the existing post-discharge home visit HCPCS G-code for the BPCI model because, given our view of the similarities between these two services in the two different models and the similar HCPCS G-code descriptors, we expect the resources required to be the same so the two codes are assigned the same inputs under the standard PFS ratesetting methodologies. In summary, we are finalizing the policy in this EPM final rule that the new HCPCS code G9863 for EPM post-discharge home visits will have the same RVUs as HCPCS code G9187 for BPCI model post-discharge home visits.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CY 2017 RVUs, geographic practice cost indices and conversion factor that determine the PFS payment for HCPCS code G9187 are included in the CY 2017 PFS Final Rule. We will annually update the RVUs for HCPCS code G9863 for post-discharge home visits for EPM beneficiaries by crosswalking the RVUs for HCPCS code G9863 to HCPCS code G9187 as part of the annual PFS update, and information on the update will be included in the PFS Final Rule each year.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3600"/>
        <w:gridCol w:w="264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49--HCPCS Code for Post-Discharge Home Visits for EPM Beneficiaries</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3600" w:type="dxa"/>
            <w:tcBorders>
              <w:bottom w:val="nil"/>
              <w:right w:val="nil"/>
            </w:tcBorders>
          </w:tcP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HCPCS</w:t>
            </w:r>
          </w:p>
        </w:tc>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Long descriptor</w:t>
            </w:r>
          </w:p>
        </w:tc>
        <w:tc>
          <w:tcPr>
            <w:tcW w:w="2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Short descriptor</w:t>
            </w: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RVUs equal to</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w:t>
            </w:r>
          </w:p>
        </w:tc>
        <w:tc>
          <w:tcPr>
            <w:tcW w:w="36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those of this</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w:t>
            </w:r>
          </w:p>
        </w:tc>
        <w:tc>
          <w:tcPr>
            <w:tcW w:w="36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HCPCS code for</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same calendar</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under the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PFS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G9863</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Payment Model (EPM)--</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EPM in home visit</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G9187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AMI, CABG, or SHFFT model</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visit for patient</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 performed by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staff for an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individual not considered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homebound, including, but not</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necessarily limited to</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assessment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status, safety/fall</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prevention, functional</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status/ambulation, medication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reconciliation/management,</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compliance with orders/plan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 performance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 of daily living,</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ensuring beneficiary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connections to community and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services; for use only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the Medicare approved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EPM--AMI, CABG, or SHFFT</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 may not be billed for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30-day period covered by a</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transitional care management</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tc>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code</w:t>
            </w:r>
          </w:p>
        </w:tc>
        <w:tc>
          <w:tcPr>
            <w:tcW w:w="2640" w:type="dxa"/>
            <w:tcBorders>
              <w:right w:val="nil"/>
            </w:tcBorders>
          </w:tcPr>
          <w:p/>
        </w:tc>
        <w:tc>
          <w:tcPr>
            <w:tcW w:w="19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waiver of direct supervision requirements for certain post-discharge home visits is set forth at § 512.600. The waiver of certain post-operative billing restrictions under the PFS global surgery rules is set forth at § 512.615.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Billing and Payment for Telehealth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previous section, we expect that the EPMs' design features will lead to greater interest on </w:t>
      </w:r>
      <w:r>
        <w:rPr>
          <w:rFonts w:ascii="arial" w:eastAsia="arial" w:hAnsi="arial" w:cs="arial"/>
          <w:b/>
          <w:i w:val="0"/>
          <w:strike w:val="0"/>
          <w:noProof w:val="0"/>
          <w:color w:val="000000"/>
          <w:position w:val="0"/>
          <w:sz w:val="20"/>
          <w:u w:val="none"/>
          <w:vertAlign w:val="baseline"/>
        </w:rPr>
        <w:t> [*492] </w:t>
      </w:r>
      <w:r>
        <w:rPr>
          <w:rFonts w:ascii="arial" w:eastAsia="arial" w:hAnsi="arial" w:cs="arial"/>
          <w:b w:val="0"/>
          <w:i w:val="0"/>
          <w:strike w:val="0"/>
          <w:noProof w:val="0"/>
          <w:color w:val="000000"/>
          <w:position w:val="0"/>
          <w:sz w:val="20"/>
          <w:u w:val="none"/>
          <w:vertAlign w:val="baseline"/>
        </w:rPr>
        <w:t xml:space="preserve"> the part of hospitals and other providers and suppliers caring for EPM beneficiaries in furnishing services to beneficiaries in their homes or places of residence, including physicians' professional services. While physicians may furnish and be paid by Medicare for home visits under the PFS, few visits actually are furnished to Medicare beneficiaries because of the significant physician resources required for such visits and the general structure of most office-based physician practices. For example, in 2014, only 2.6 million physician or nonphysician practitioner home visits were furnished to Medicare beneficiaries, in contrast to almost 250 million office or other outpatient evaluation and management visits furnished by physicians or nonphysician practitioners. EPMs would create new incentives for comprehensive episode care management for beneficiaries, including early identification and intervention regarding changes in health status following discharge from the anchor hospitalization. We understand that EPM participants may want to engage physicians in furnishing timely visits to homebound or non-homebound EPM beneficiaries in their homes or places of residence to address concerning symptoms or observations raised by beneficiaries themselves, clinicians furnishing home health services, or licensed clinical staff furnishing post-discharge home visits, while physicians committed to the proposed AMI, CABG, and SHFFT care redesign may not be able to revise their practice patterns to meet this home visit need for EPM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section 1834(m) of the Act, Medicare pays for telehealth services furnished by a physician or practitioner under certain conditions even though the physician or practitioner is not in the same location as the beneficiary. The telehealth services must be furnished to a beneficiary located in one of the eight types of originating sites specified in section 1834(m)(4)(C)(ii) of the Act and the site must satisfy at least one of the requirements of sections 1834(m)(4)(C)(i)(I) through (III) of the Act. Generally, for Medicare payment to be made for telehealth services under the PFS several conditions must be met, as set forth under § 410.78(b). Specifically, for a service to be eligible for payment, the individual receiving the services must be in an eligible originating site, and the service must be--</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the Medicare list of telehealth services; n132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n132 For the list of approved Medicare telehealth services, see the CMS Web site at </w:t>
      </w:r>
      <w:hyperlink r:id="rId110" w:history="1">
        <w:r>
          <w:rPr>
            <w:rFonts w:ascii="arial" w:eastAsia="arial" w:hAnsi="arial" w:cs="arial"/>
            <w:b w:val="0"/>
            <w:i/>
            <w:strike w:val="0"/>
            <w:noProof w:val="0"/>
            <w:color w:val="0077CC"/>
            <w:position w:val="0"/>
            <w:sz w:val="20"/>
            <w:u w:val="single"/>
            <w:vertAlign w:val="baseline"/>
          </w:rPr>
          <w:t>http://www.cms.gov/Medicare/Medicare-General-information/telehealth/</w:t>
        </w:r>
      </w:hyperlink>
      <w:r>
        <w:rPr>
          <w:rFonts w:ascii="arial" w:eastAsia="arial" w:hAnsi="arial" w:cs="arial"/>
          <w:b w:val="0"/>
          <w:i w:val="0"/>
          <w:strike w:val="0"/>
          <w:noProof w:val="0"/>
          <w:color w:val="000000"/>
          <w:position w:val="0"/>
          <w:sz w:val="20"/>
          <w:u w:val="none"/>
          <w:vertAlign w:val="baseline"/>
        </w:rPr>
        <w:t>.</w:t>
      </w:r>
    </w:p>
    <w:p>
      <w:pPr>
        <w:keepNext w:val="0"/>
        <w:numPr>
          <w:numId w:val="6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Furnished via an interactive telecommunications system; and</w:t>
      </w:r>
    </w:p>
    <w:p>
      <w:pPr>
        <w:keepNext w:val="0"/>
        <w:numPr>
          <w:numId w:val="6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Furnished to a telehealth-eligible individual.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all of these conditions are met, Medicare pays a facility fee to the originating site and provides separate payment to the distant-site practitioner for the service. Section 1834(m)(4)(F)(i) of the Act defines Medicare telehealth services to include professional consultations, office visits, office psychiatry services, and any additional service specified by the Secretary, when furnished via a telecommunications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section 1834(m)(4)(F)(ii) of the Act, CMS has an annual process to consider additions to and deletions from the list of telehealth services. We do not include any services as telehealth services when Medicare does not otherwise make a separate payment for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literature suggests that technologies that enable health care providers to deliver care to patients in locations remote from providers are being increasingly used to complement face-to-face patient-provider encounters in both urban and rural areas. n133 In these cases, the use of remote access technologies may improve the accessibility and timeliness of needed care, increase communication between providers and patients, enhance care coordination, and improve the efficiency of care. We note that certain professional services that are commonly furnished remotely using telecommunications technology are paid under the same conditions as in-person physicians' services, and thus do not require a waiver to be considered as telehealth services.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n133 Telehealth in an Evolving Health Care Environment: Workshop Summary (2012). Available at </w:t>
      </w:r>
      <w:hyperlink r:id="rId111" w:history="1">
        <w:r>
          <w:rPr>
            <w:rFonts w:ascii="arial" w:eastAsia="arial" w:hAnsi="arial" w:cs="arial"/>
            <w:b w:val="0"/>
            <w:i/>
            <w:strike w:val="0"/>
            <w:noProof w:val="0"/>
            <w:color w:val="0077CC"/>
            <w:position w:val="0"/>
            <w:sz w:val="20"/>
            <w:u w:val="single"/>
            <w:vertAlign w:val="baseline"/>
          </w:rPr>
          <w:t>http://www.ic4n.org/wp-content/uploads/2014/06/IoM-Telehealth-2012-Workshop-Summary.pdf</w:t>
        </w:r>
      </w:hyperlink>
      <w:r>
        <w:rPr>
          <w:rFonts w:ascii="arial" w:eastAsia="arial" w:hAnsi="arial" w:cs="arial"/>
          <w:b w:val="0"/>
          <w:i w:val="0"/>
          <w:strike w:val="0"/>
          <w:noProof w:val="0"/>
          <w:color w:val="000000"/>
          <w:position w:val="0"/>
          <w:sz w:val="20"/>
          <w:u w:val="none"/>
          <w:vertAlign w:val="baseline"/>
        </w:rPr>
        <w:t>. Accessed on June 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services that do not require the patient to be present in person with the practitioner when they are furnished are covered and paid in the same way as services delivered without the use of telecommunications technology when the practitioner is in person at the medical facility furnishing care to the patient.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CMS episode-based payment models, such as BPCI Models 2 and 3 and the CJR model, we determined it was necessary to waive the geographic-site requirements of sections 1834(m)(4)(C)(i)(I) through (III) of the Act. This waiver allows telehealth services to be furnished to eligible telehealth individuals when they are located at one of the eight originating sites at the time the service is furnished via a telecommunications system but without regard to the site meeting one of the geographic site requirements. For the proposed EPMs--AMI, CABG, and SHFFT--we proposed a waiver of this same provision as well as waiver of the requirement that the eligible telehealth individual be in an originating site when an otherwise-eligible individual is receiving telehealth services in his or her home or place of residence. This waiver would allow providers and suppliers furnishing services to EPM beneficiaries to utilize telemedicine for beneficiaries that are not classified as rural and to allow the greatest degree of efficiency and communication between providers and suppliers and beneficiaries by allowing beneficiaries to receive telehealth services at their home or place of residence. We believe that these waivers are essential to maximize the opportunity to improve the quality of care and efficiency for the proposed EPMs'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like the telehealth waiver for the BPCI and CJR models, we proposed to waive the geographic-site requirements of sections 1834(m)(4)(C)(i)(I) through (III) of the Act that limit telehealth payment to services furnished within specific types of geographic areas or in an entity participating in a federal telemedicine demonstration project approved as of December 31, 2000. Waiver of this requirement would allow beneficiaries located in any region to receive services related to the episode to be furnished via telehealth, as long as all other Medicare requirements for telehealth services are met. Any service on the list of Medicare approved telehealth services and reported on a claim with an ICD-9 principal diagnosis code that is not excluded from the proposed EPMs episode definition (see section III.C. of this final rule) could be furnished to an EPM beneficiary, regardless of the beneficiary's geographic location. Under the proposed EPMs, this waiver would support care coordination and increasing timely access to high quality care for all EPM beneficiaries, regardless of geography. Additionally, we proposed, only for the purpose of testing the proposed EPMs, waiving the originating site requirements of section 1834(m)(4)(C)(ii)(I)-(VIII) of the Act that specify the particular sites at which the eligible telehealth individual must be </w:t>
      </w:r>
      <w:r>
        <w:rPr>
          <w:rFonts w:ascii="arial" w:eastAsia="arial" w:hAnsi="arial" w:cs="arial"/>
          <w:b/>
          <w:i w:val="0"/>
          <w:strike w:val="0"/>
          <w:noProof w:val="0"/>
          <w:color w:val="000000"/>
          <w:position w:val="0"/>
          <w:sz w:val="20"/>
          <w:u w:val="none"/>
          <w:vertAlign w:val="baseline"/>
        </w:rPr>
        <w:t> [*493] </w:t>
      </w:r>
      <w:r>
        <w:rPr>
          <w:rFonts w:ascii="arial" w:eastAsia="arial" w:hAnsi="arial" w:cs="arial"/>
          <w:b w:val="0"/>
          <w:i w:val="0"/>
          <w:strike w:val="0"/>
          <w:noProof w:val="0"/>
          <w:color w:val="000000"/>
          <w:position w:val="0"/>
          <w:sz w:val="20"/>
          <w:u w:val="none"/>
          <w:vertAlign w:val="baseline"/>
        </w:rPr>
        <w:t xml:space="preserve"> located at the time the service is furnished via a telecommunications system. Specifically, we proposed to waive the requirement only when telehealth services are being furnished in the EPM beneficiary's home or place of residence during the episode. Any service on the list of Medicare approved telehealth services and reported on a claim with an ICD-10-CM principal diagnosis code that is not excluded from the applicable EPM's episode definition (see section III.C. of this final rule) could be furnished to an EPM beneficiary in his or her home or place of residence, unless the service's HCPCS code descriptor precludes delivering the service in the home or place of residence. For example, subsequent hospital care services could not be furnished to beneficiaries in their home since those beneficiaries would not be inpatients of the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existing set of codes used to report evaluation and management (E/M) visits are extensively categorized and defined by the setting of the service, and the codes describe the services furnished when both the patient and the practitioner are located in that setting. Section 1834(m) of the Act provides for particular conditions under which Medicare can make payment for office visits when a patient is located in a health care setting (the originating sites authorized by statute) and the eligible practitioner is located elsewhere. However, we do not believe that the kinds of E/M services furnished to patients outside of health care settings via real-time, interactive communication technology are accurately described by any existing E/M codes. This would include circumstances when the patient is located in his or her home and the location of the practitioner is unspecified. Therefore, in order to create a mechanism to report E/M services accurately under the EPMs, we proposed to create a specific set of HCPCS G-codes to describe the E/M services furnished to EPM beneficiaries in their homes via telehealth. Among the existing E/M visit services, we envision these services would be most similar to those described by the office and other outpatient E/M codes. Therefore, we proposed to structure the new codes similarly to the office/outpatient E/M codes but adjusted to reflect the location as the beneficiary's residence and the virtual presence of the practitioner. Specifically, we proposed to create a parallel structure and set of descriptors currently used to report office or other outpatient E/M services, (CPT codes 99201-99205 for new patient visits and CPT codes 99212-99215 for established patient visits). For example, the proposed G-code for a level 3 E/M visit for an established patient would be a remote in-home visit for the evaluation and management of an established patient, which requires at least two of the following three key components:</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expanded problem focused history.</w:t>
      </w:r>
    </w:p>
    <w:p>
      <w:pPr>
        <w:keepNext w:val="0"/>
        <w:numPr>
          <w:numId w:val="6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expanded problem focused examination.</w:t>
      </w:r>
    </w:p>
    <w:p>
      <w:pPr>
        <w:keepNext w:val="0"/>
        <w:numPr>
          <w:numId w:val="6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Medical decision making of low complexity, furnished in real time using interactive audio and video technology. Counseling and coordination of care with other physicians, other qualified health care professionals or agencies are provided consistent with the nature of the problem(s) and the needs of the patient or the family or both. Usually, the presenting problem(s) are of low to moderate severity. Typically, 15 minutes are spent with the patient or family or both via real-time, audio and video intercommunications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we did not propose a G-code to parallel the level 1 office/outpatient visit for an established patient, since that service does not require the presence of the physician or other qualified health professional. We also believe this would duplicate the home visits for non-homebound beneficiaries previously proposed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develop payment rates for these new telehealth G-codes for E/M services in the patient's home that are similar to the payment rates for the office/outpatient E/M services, since the codes will describe the work involved in furnishing similar services. Therefore, we proposed to include the resource costs typically incurred when services are furnished via telehealth. In terms of the relative resource costs involved in furnishing these services, we believe that the efficiencies of virtual presentation generally limit resource costs other than those related to the professional time, intensity, and malpractice risk to marginal levels. Therefore, we proposed to adopt work and malpractice (MP) RVUs associated with the corresponding level of office/outpatient codes as the typical service because the practitioner's time and intensity and malpractice liabilities when conducting a visit via telehealth are comparable to the office visit.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include final RVUs under the CY 2016 PFS when we finalize the rules for EPMs. Additionally, we proposed to update these values each year to correspond to final values established under the PFS. We considered whether each level of visit typically would warrant support by auxiliary licensed clinical staff within the context of the proposed EPMs. The cost of such staff and any associated supplies, for example, would be incorporated in the practice expense (PE) RVUs under the PFS. For the lower-level visits (levels 1-3 for new visits and levels 2 and 3 for established visits), we stated that we do not believe that visits necessarily would require auxiliary medical staff to be available in patients' homes. We anticipate these lower-level visits would be the most-commonly furnished and would serve as mechanisms for patients to consult quickly with practitioners for concerns that patients can easily describe and explain. We did not proposed to include PE RVUs for these services, since we do not believe that virtual visits envisioned for EPMs typically incur the kinds of costs included in the PE RVUs under the PFS. For higher-level visits, we typically would anticipate some amount of support from auxiliary clinical staff. For example, wound examination and minor wound debridement would be considered included in an E/M visit and would require licensed clinical staff to be present in the beneficiary's home during the telehealth visit for the complete service to be furnished. We believe it would be rare for a practitioner to conduct as complex and detailed a service as a level 4 or 5 E/M home visit via telehealth for beneficiaries in the proposed EPMs' episodes without licensed clinical staff support in the home.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we also note that the proposed EPMs already include several avenues for licensed clinical staff to be in the patient's home, either through a separately paid home visit as proposed for the model or through home health services as discussed earlier in this section of this final rule. Therefore, although we consider support by auxiliary clinical staff to be typical for levels 4 or 5 E/M visits furnished to EPM beneficiaries in the home via telehealth, we did not propose to incorporate these costs through PE RVUs. Given the anticipated complexity of these visits, we would expect to observe levels 4 and 5 E/M visits to be reported on the same claim with the same date of service as a home visit or during a period of authorized home health care. If neither of these occurs, we proposed to require the physician to document in the medical record that auxiliary licensed clinical staff were available on site in the patient's home during the visit and if they were not, to document the reason that such a high- </w:t>
      </w:r>
      <w:r>
        <w:rPr>
          <w:rFonts w:ascii="arial" w:eastAsia="arial" w:hAnsi="arial" w:cs="arial"/>
          <w:b/>
          <w:i w:val="0"/>
          <w:strike w:val="0"/>
          <w:noProof w:val="0"/>
          <w:color w:val="000000"/>
          <w:position w:val="0"/>
          <w:sz w:val="20"/>
          <w:u w:val="none"/>
          <w:vertAlign w:val="baseline"/>
        </w:rPr>
        <w:t> [*494] </w:t>
      </w:r>
      <w:r>
        <w:rPr>
          <w:rFonts w:ascii="arial" w:eastAsia="arial" w:hAnsi="arial" w:cs="arial"/>
          <w:b w:val="0"/>
          <w:i w:val="0"/>
          <w:strike w:val="0"/>
          <w:noProof w:val="0"/>
          <w:color w:val="000000"/>
          <w:position w:val="0"/>
          <w:sz w:val="20"/>
          <w:u w:val="none"/>
          <w:vertAlign w:val="baseline"/>
        </w:rPr>
        <w:t xml:space="preserve"> level visit would not require such personnel.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because these home telehealth services are E/M services, all other coverage and payment rules regarding E/M services would continue to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proposed EPMs, we believe that this proposal to waive the originating site requirements and create new home visit telehealth HCPCS codes would support the greatest efficiency and timely communication between providers and beneficiaries by allowing beneficiaries to receive telehealth services at their places of residence.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home health services paid under the home health prospective payment system (HH PPS), we emphasize that telehealth visits under this model cannot substitute for in-person home health visits per section 1895(e)(1)(A) of the Act. Furthermore, telehealth services by social workers cannot be furnished for EPM beneficiaries who are in a home health episode of care because medical social services are included as home health services per section 1861(m) of the Act and paid for under the Medicare HH PPS. However, telehealth services permitted under section 1834(m) of the Act and furnished by physicians or other practitioners, specifically physician assistants, nurse practitioners, clinical nurse specialists, certified nurse midwives, nurse anesthetists, psychologists, and dieticians, can be furnished for EPM beneficiaries who are in a home health episode of care. Finally, sections 1835(a) and 1814(a) of the Act require that the patient has a face-to-face encounter with the certifying physician or an allowed nonphysician practitioner working in collaboration with or under the supervision of the certifying physician before the certifying physician certifies that the patient is eligible for home health services. Under § 424.22(a)(1)(v), the face-to-face encounter can be performed up to 90 days prior to the start of home health care or within 30 days after the start of home health care. Section 424.22(a)(1)(v)(A) also allows a physician, with privileges, who cared for the patient in an acute or post-acute care setting (from which the patient was directly admitted to home health) or an allowed nonphysician practitioner working in collaboration with or under the supervision of the acute or post-acute care physician to conduct the face-to-face encounter.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sections 1835(a) and 1814(a) of the Act allow the face-to-face encounter to be performed via telehealth, we did not propose that the waiver of the telehealth geographic site requirement for telehealth services and the originating site requirement for telehealth services furnished in the EPM beneficiary's home or place of residence would apply to the face-to-face encounter required as part of the home health certification when that encounter is furnished via telehealth. In other words, when a face-to-face encounter furnished via telehealth is used to meet the requirement for home health certification, the usual Medicare telehealth rules apply with respect to geography and eligibility of the originating site. We expect that this policy will not limit EPM beneficiaries' access to medically-necessary home health services because beneficiaries receiving home health services during a proposed EPM episode will have had a face-to-face encounter with either the physician or an allowed nonphysician practitioner during their anchor hospitalization or a physician or allowed nonphysician practitioner during a post-acute facility stay prior to discharge directly to home health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proposed waiver of the geographic site requirement and originating site requirement, all telehealth services would be required to be furnished in accordance with all Medicare coverage and payment criteria, and no additional payment would be made to cover set-up costs, technology purchases, training and education, or other related costs. The facility fee paid by Medicare to an originating site for a telehealth service would be waived if there is no facility as an originating site (that is, the service was originated in the beneficiary's home).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providers and suppliers furnishing a telehealth service to a EPM beneficiary in his or her home or place of residence during the episode would not be permitted to bill for telehealth services that were not fully furnished when an inability to provide the intended telehealth service is due to technical issues with telecommunications equipment required for that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Beneficiaries would be able to receive services furnished pursuant to the telehealth waivers only during the proposed EPM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plan to monitor patterns of utilization of telehealth services under the proposed EPMs to monitor for overutilization or reductions in medically-necessary care, and significant reductions in face-to-face visits with physicians and nonphysician practitioners. We plan to specifically monitor the distribution of new telehealth home visits that we did propose, as we anticipate greater use of lower level visits. Given our concern that auxiliary licensed clinical staff be present for level 4 and 5 visits, we will monitor our proposed requirement that these visits be billed on the same claim with the same date of service as a home nursing visit, during a period authorized home health care, or that the physician document the presence of auxiliary licensed clinical staff in the home or an explanation as to the specific circumstances precluding the need for auxiliary staff for the specific visit.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existing set of codes used to report evaluation and management (E/M) visits are extensively categorized and defined by the setting of the service, and the codes describe the services furnished when both the patient and the practitioner are located in that setting. Section 1834(m) of the Act provides for particular conditions under which Medicare can make payments for office visits when a patient is located in a health care setting (the originating sites authorized by statute) and the eligible practitioner is located elsewhere. However, in the proposed rule, we stated that we did not believe that the kinds of E/M services furnished to patients outside of health care settings via real-time, interactive communication technology are accurately described by any existing E/M codes. This would include circumstances when the patient is located in his or her home and the location of the practitioner is at another location. Therefore, in order to create a mechanism to report E/M services accurately under the EPMs, we proposed to create a specific set of HCPCS G-codes to describe the E/M services furnished to EPM beneficiaries in their homes via telehealth when the physician or practitioner is in another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the existing E/M visit services, we stated that we envision these services would be most similar to those described by the office and other outpatient E/M codes. Therefore, we proposed to structure the new codes similarly to the office/outpatient E/M codes but adjusted to reflect the location as the beneficiary's residence and the virtual presence of the practitioner. Specifically, we proposed to create a parallel structure and set of descriptors currently used to report office or other outpatient E/M services, (CPT codes 99201 through 99205 for new patient visits and CPT codes 99212 through 99215 for established patient visits). For example, in the proposed rule we discussed a HCPCS G-code for a level 3 E/M visit for an established patient would be a telehealth visit for the evaluation and management of an </w:t>
      </w:r>
      <w:r>
        <w:rPr>
          <w:rFonts w:ascii="arial" w:eastAsia="arial" w:hAnsi="arial" w:cs="arial"/>
          <w:b/>
          <w:i w:val="0"/>
          <w:strike w:val="0"/>
          <w:noProof w:val="0"/>
          <w:color w:val="000000"/>
          <w:position w:val="0"/>
          <w:sz w:val="20"/>
          <w:u w:val="none"/>
          <w:vertAlign w:val="baseline"/>
        </w:rPr>
        <w:t> [*495] </w:t>
      </w:r>
      <w:r>
        <w:rPr>
          <w:rFonts w:ascii="arial" w:eastAsia="arial" w:hAnsi="arial" w:cs="arial"/>
          <w:b w:val="0"/>
          <w:i w:val="0"/>
          <w:strike w:val="0"/>
          <w:noProof w:val="0"/>
          <w:color w:val="000000"/>
          <w:position w:val="0"/>
          <w:sz w:val="20"/>
          <w:u w:val="none"/>
          <w:vertAlign w:val="baseline"/>
        </w:rPr>
        <w:t xml:space="preserve"> established patient in the patient's home, which requires at least 2 of the following 3 key components:</w:t>
      </w:r>
    </w:p>
    <w:p>
      <w:pPr>
        <w:keepNext w:val="0"/>
        <w:numPr>
          <w:numId w:val="6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expanded problem focused history.</w:t>
      </w:r>
    </w:p>
    <w:p>
      <w:pPr>
        <w:keepNext w:val="0"/>
        <w:numPr>
          <w:numId w:val="6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expanded problem focused examination.</w:t>
      </w:r>
    </w:p>
    <w:p>
      <w:pPr>
        <w:keepNext w:val="0"/>
        <w:numPr>
          <w:numId w:val="6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Medical decision making of low complexity.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Counseling and coordination of care with other physicians, other qualified health care professionals or agencies are provided consistent with the nature of the problem(s) and the patient's or family's needs or both. Usually, the presenting problem(s) are of low to moderate severity. Typically, 15 minutes are spent with the patient or family or both via real-time, audio and video intercommunications technology. The preceding text would be included in the code descriptor for the proposed level 3 established patient telehealth E/M visit HCPCS G-code, just as this information is currently included in the code descriptor for the corresponding level 3 established patient office/outpatient E/M CPT code.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noted that we were not proposing a HCPCS G-code to parallel the level 1 office/outpatient visit for an established patient, since that service does not require the presence of the physician or other practitioner. We stated our belief that this would duplicate the home visits for non-homebound beneficiaries previously discussed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develop payment rates for these new telehealth G-codes for E/M services in the patient's home that are similar to the payment rates for the office/outpatient E/M services, since the codes will describe the work involved in furnishing similar services. Therefore, we proposed to include the resource costs typically incurred when services are furnished via telehealth. In terms of the relative resource costs involved in furnishing these services, in the proposed rule we stated our belief that the efficiencies of virtual presentation generally limit resource costs other than those related to the professional time, intensity, and MP risk to marginal levels. Therefore, we proposed to adopt work and MP RVUs associated with the corresponding level of office/outpatient codes as the typical service because the practitioner's time and intensity and MP liabilities when conducting a visit via telehealth are comparable to the office visit. We stated that final RVUs under the CY 2016 PFS would be included in the EPM final rule. Additionally, we proposed to update these values each year to correspond to final values established under the PFS.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whether each level of visit typically would warrant support by auxiliary licensed clinical staff within the context of the EPMs. The cost of such staff and any associated supplies, for example, would be incorporated in the practice expense (PE) RVUs under the PFS. For the lower level visits, levels 1 through 3 for new visits and 2 and 3 for established visits, we did not believe that the visit would necessarily require auxiliary clinical staff to be available in the patient's home. We anticipated these lower level visits would be the most commonly furnished and would serve as a mechanism for the patient to consult quickly with a practitioner for concerns that can be easily described and explained by the patient. We did not propose to include PE RVUs for these services, since we did not believe that virtual visits envisioned for this model typically incur the kinds of costs included in the PE RVUs under the PFS. For higher level visits, we typically would anticipate some amount of support from auxiliary clinical staff. For example, wound examination and minor wound debridement would be considered included in an E/M visit and would require licensed clinical staff to be present in the beneficiary's home during the telehealth visit in order for the complete service to be furnished. We stated our belief that it would be rare for a practitioner to conduct as complex and detailed a service as a level 4 or 5 E/M home visit via telehealth for EPM beneficiaries in the EPM episodes without licensed clinical staff support in the home.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also noted that the proposed model already includes several avenues for licensed clinical staff to be in the patient's home, either through a separately paid home visit as proposed for the model or through home health services as discussed earlier in this final rule. Therefore, although we considered support by auxiliary clinical staff to be typical for level 4 or 5 E/M visits furnished to EPM beneficiaries in the home via telehealth, we did not propose to incorporate these costs through PE RVUs. Given the anticipated complexity of these visits, we noted that we would expect to observe level 4 and 5 E/M visits to be reported on the same claim with the same date of service as a home visit or during a period of authorized home health care. If neither of these occurs, we proposed to require the physician to document in the medical record that auxiliary licensed clinical staff were available on site in the patient's home during the visit and if they were not, to document the reason that such a high-level visit would not require such personnel.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noted that because the services described by the HCPCS G-codes for the proposed model, by definition, are furnished remotely using telecommunications technology, they therefore are paid under the same conditions as in-person physicians' services and they do not require a waiver to the requirements of section 1834(m) of the Act. We also noted that because these home telehealth services would be E/M services, all other coverage and payment rules regarding E/M services would continue to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additionally noted that under the EPMs, this proposal to waive the originating site requirements and create new home visit telehealth HCPCS codes would support the greatest efficiency and timely communication between providers and beneficiaries by allowing beneficiaries to receive telehealth services at their places of residence.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comments on the proposed waivers with respect to telehealth services, and the proposed creation of the home visit telehealth codes.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supported the waiver of originating site and geographic site requirements and allowing telehealth visits for the EPMs. One commenter urged CMS to clarify that EPM participants can provide telehealth services that are not covered by Medicare or not paid for when provided free of charge if that supports the goal of improving quality while reducing costs. Another commenter suggested that CMS waive the requirement that services furnished under this waiver be performed by physicians or nonphysician practitioners and to permit the provision of telehealth services by HHAs through licensed clinicians to individuals who are not receiving Medicare-covered home health services. Another commenter cautioned CMS against the use of wasteful telehealth services that increase costs without improving health care access or quality. One commenter recommended that CMS allow even greater flexibility for EPM episode services and proceed further by allowing a waiver for technological restrictions and to offer up-front payment for investment in telehealth services beyond those currently covered under the telehealth benefit. One commenter requested that this waiver, if implemented, be authorized for any provider types that are allowed to provide telehealth services per state laws. Another commenter urged CMS to engage with </w:t>
      </w:r>
      <w:r>
        <w:rPr>
          <w:rFonts w:ascii="arial" w:eastAsia="arial" w:hAnsi="arial" w:cs="arial"/>
          <w:b/>
          <w:i w:val="0"/>
          <w:strike w:val="0"/>
          <w:noProof w:val="0"/>
          <w:color w:val="000000"/>
          <w:position w:val="0"/>
          <w:sz w:val="20"/>
          <w:u w:val="none"/>
          <w:vertAlign w:val="baseline"/>
        </w:rPr>
        <w:t> [*496] </w:t>
      </w:r>
      <w:r>
        <w:rPr>
          <w:rFonts w:ascii="arial" w:eastAsia="arial" w:hAnsi="arial" w:cs="arial"/>
          <w:b w:val="0"/>
          <w:i w:val="0"/>
          <w:strike w:val="0"/>
          <w:noProof w:val="0"/>
          <w:color w:val="000000"/>
          <w:position w:val="0"/>
          <w:sz w:val="20"/>
          <w:u w:val="none"/>
          <w:vertAlign w:val="baseline"/>
        </w:rPr>
        <w:t xml:space="preserve"> patients and providers to determine the most effective ways to test telehealth in populations that need it most.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information from commenters on alternative approaches to providing care other than in-person. In the CJR Final Rule, we responded to similar comments regarding the telehealth waivers </w:t>
      </w:r>
      <w:hyperlink r:id="rId21" w:history="1">
        <w:r>
          <w:rPr>
            <w:rFonts w:ascii="arial" w:eastAsia="arial" w:hAnsi="arial" w:cs="arial"/>
            <w:b w:val="0"/>
            <w:i/>
            <w:strike w:val="0"/>
            <w:noProof w:val="0"/>
            <w:color w:val="0077CC"/>
            <w:position w:val="0"/>
            <w:sz w:val="20"/>
            <w:u w:val="single"/>
            <w:vertAlign w:val="baseline"/>
          </w:rPr>
          <w:t>(80 FR 73448).</w:t>
        </w:r>
      </w:hyperlink>
      <w:r>
        <w:rPr>
          <w:rFonts w:ascii="arial" w:eastAsia="arial" w:hAnsi="arial" w:cs="arial"/>
          <w:b w:val="0"/>
          <w:i w:val="0"/>
          <w:strike w:val="0"/>
          <w:noProof w:val="0"/>
          <w:color w:val="000000"/>
          <w:position w:val="0"/>
          <w:sz w:val="20"/>
          <w:u w:val="none"/>
          <w:vertAlign w:val="baseline"/>
        </w:rPr>
        <w:t xml:space="preserve"> As with the CJR model, the EPM is not testing a telehealth model and, therefore, we do not intend to fundamentally change the scope of telehealth requirements for payment under Medicare. Rather, we proposed to waive certain existing telehealth requirements to provide participant hospitals with additional tools to improve episode quality and efficiency given the constraints on physician time for in-person visits at distant locations or in the beneficiary's home. The proposed waivers would allow greater physician engagement via telehealth in EPM beneficiary care coordination and management following an EPM anchor hospitalization, regardless of the beneficiary's geographic location or home location. We believe that under the EPM it is important for beneficiaries to receive telehealth services in a way that permits them to interact with treating health care professionals in real-time, including being able to both see and interact with those providers, and the treating health care professionals being able to see and listen to the beneficiaries. Beneficiaries recovering at home following an EPM anchor hospitalization benefit from meaningful engagement in care that is patient-centered in order to improve their understanding and adherence to treatment regimens. Therefore, we do not believe it would be appropriate to allow telehealth services to be furnished to EPM model beneficiaries that do not meet the existing Medicare telehealth requirements for communications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CJR model, we continue to believe that it would not be appropriate to allow telehealth services to be furnished to EPM beneficiaries that do not meet the existing Medicare telehealth requirements for communications technology. Finally, in response to the commenter requesting that we clarify that EPM participants can provide telehealth services free-of-charge, when they are not covered and paid by Medicare, we refer to section III.I.9. of this final rule for discussion of the requirements for in-kind beneficiary engagement incentives that may be provided by EPM participants under the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strongly objected to the proliferation of new telehealth-specific HCPCS G-codes when there is a suitable CPT code to describe the service and urged CMS to allow for telehealth coverage of any related CPT/HCPCS procedure codes for physical medicine and rehabilitation. Another commenter was concerned that new codes are without clinical merit or distinction and undermine parity of clinical standards of care between services provided by telehealth means and service provided in-person.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in the CJR Final Rule </w:t>
      </w:r>
      <w:hyperlink r:id="rId21" w:history="1">
        <w:r>
          <w:rPr>
            <w:rFonts w:ascii="arial" w:eastAsia="arial" w:hAnsi="arial" w:cs="arial"/>
            <w:b w:val="0"/>
            <w:i/>
            <w:strike w:val="0"/>
            <w:noProof w:val="0"/>
            <w:color w:val="0077CC"/>
            <w:position w:val="0"/>
            <w:sz w:val="20"/>
            <w:u w:val="single"/>
            <w:vertAlign w:val="baseline"/>
          </w:rPr>
          <w:t>(80 FR 73450),</w:t>
        </w:r>
      </w:hyperlink>
      <w:r>
        <w:rPr>
          <w:rFonts w:ascii="arial" w:eastAsia="arial" w:hAnsi="arial" w:cs="arial"/>
          <w:b w:val="0"/>
          <w:i w:val="0"/>
          <w:strike w:val="0"/>
          <w:noProof w:val="0"/>
          <w:color w:val="000000"/>
          <w:position w:val="0"/>
          <w:sz w:val="20"/>
          <w:u w:val="none"/>
          <w:vertAlign w:val="baseline"/>
        </w:rPr>
        <w:t xml:space="preserve"> we continue to believe that specific HCPCS G-codes are the most appropriate way for telehealth visits furnished in a model beneficiary's home or place of residence to be reported and paid. The work and MP RVUs for these new HCPCS G-codes will be the same as those for the comparable office and other outpatient E/M visit codes under the CY 2017 PFS. The HCPCS G-codes, their descriptors, and the CPT codes upon which their RVUs are based are displayed in Table 50. While we acknowledge that telehealth services are likely to incur practice expenses, as discussed in the proposed rule, we do not believe that virtual visits envisioned for this model typically incur the kinds of costs included in the PE RVUs under the PFS; we believe that these are merely a subset of the expenses incurred for in-person visits. And while we would be interested in examining any publicly available data regarding these costs relative to the costs included in the RVUs for other PFS services, we are finalizing our proposal not to include PE RVUs in the payment rate for these unique EPM services. Accordingly, we are waiving section 1834(m)(4)(2)(B) to allow this deviation from the payment of office/outpatient visits for purposes of the EPM telehealth in-home visit services. Finally, we will consider new CPT codes as they are released according to our usual processes, and will specifically evaluate whether they may be used in the future to report home telehealth visits for CJR model and EPM beneficiaries.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our proposal, without modification, to waive the geographic site requirements of section 1834(m)(4)(C)(i)(I) through (III) of the Act that limit telehealth payment to services furnished within specific types of geographic areas or in an entity participating in a federal telemedicine demonstration project approved as of December 31, 2000. Any service on the list of Medicare-approved telehealth services and reported on a claim with an ICD-10-CM principal diagnosis code that is not excluded from the EPM episode definition (see section III.C.3.b. of this final rule) can be furnished to an EPM beneficiary, regardless of the beneficiary's geographic location. We also are finalizing our proposal to waive the originating site requirements of section 1834(m)(4)(C)(ii)(I) through (VIII) of the Act that specify the particular sites at which the eligible telehealth individual must be located at the time the service is furnished via a telecommunications system only when telehealth services are being furnished in the EPM beneficiary's home or place of residence during the episode. Any service on the list of Medicare approved telehealth services and reported on a claim with an ICD-10-CM principal diagnosis code that is not excluded from the EPM episode definition (see section III.C.3.b. of this final rule) can be furnished to a EPM beneficiary in his or her home or place of residence, unless the service's HCPCS code descriptor precludes delivering the service in the home or place of residence. We will continue to require that telehealth services furnished under the EPM telehealth waiver be furnished using an interactive telecommunications system, consistent with the current requirement for payment of telehealth services under the PFS. The waiver of certain telehealth requirements is set forth at § 512.605.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the proposal, without modification, to create 9 HCPCS G-codes to report home telehealth E/M visits furnished under the EPM waiver as displayed in Table 50. These codes will be payable for EPM beneficiaries beginning July 1, 2017, the start date of the EPM performance year as discussed in section III.D.2. of this final rule. Rather than finalizing the RVUs for the new HCPCS codes in this final rule, we are finalizing them through reference to the RVUs for other CPT codes paid under the PFS as equal to the work and MP RVUs established for the comparable office/outpatient visits.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CY 2017 RVUs, geographic practice cost indices and conversion factor that determine the payment rates for the CPT codes are included in the CY 2017 PFS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update the RVUs for the EPM HCPCS telehealth G-codes annually by crosswalking them to the corresponding CPT codes as part of the annual PFS update, and information on the updates will be included in the PFS final rule each year. </w:t>
      </w:r>
      <w:r>
        <w:rPr>
          <w:rFonts w:ascii="arial" w:eastAsia="arial" w:hAnsi="arial" w:cs="arial"/>
          <w:b/>
          <w:i w:val="0"/>
          <w:strike w:val="0"/>
          <w:noProof w:val="0"/>
          <w:color w:val="000000"/>
          <w:position w:val="0"/>
          <w:sz w:val="20"/>
          <w:u w:val="none"/>
          <w:vertAlign w:val="baseline"/>
        </w:rPr>
        <w:t> [*497]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3600"/>
        <w:gridCol w:w="264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50--HCPCS Codes for Telehealth Visits for</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EPM Beneficiaries in Home or Place of Residence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3600" w:type="dxa"/>
            <w:tcBorders>
              <w:bottom w:val="nil"/>
              <w:right w:val="nil"/>
            </w:tcBorders>
          </w:tcP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w:t>
            </w:r>
          </w:p>
        </w:tc>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Long descriptor</w:t>
            </w:r>
          </w:p>
        </w:tc>
        <w:tc>
          <w:tcPr>
            <w:tcW w:w="2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Short descriptor</w:t>
            </w: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 and MP</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w:t>
            </w:r>
          </w:p>
        </w:tc>
        <w:tc>
          <w:tcPr>
            <w:tcW w:w="36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RVUs equal to</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those of the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corresponding</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office/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outpatient E/M</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 CPT code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same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 year</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under the PFS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G9864</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in-home visit for the</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home E/M new pt 10</w:t>
            </w:r>
          </w:p>
        </w:tc>
        <w:tc>
          <w:tcPr>
            <w:tcW w:w="19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99201</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and management of</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mins</w:t>
            </w: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new patient for use only in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Medicare-approved Episode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 Model--AMI, CABG,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SHFFT model, which requires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these 3 key components: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problem focused history;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problem focused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examination; and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Straightforward medical</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decision making, furnished in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time using interactive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audio and video technology.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Counseling and coordination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 with other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physicians, other qualified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care professionals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 are provided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consistent with the nature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problem(s) and the needs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patient or the family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both. Usually, the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presenting problem(s) are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self limited or minor.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Typically, 10 minutes are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spent with the patient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family or both via real time,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audio and video</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intercommunications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G9865</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in-home visit for the</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home E/M new pt 20</w:t>
            </w:r>
          </w:p>
        </w:tc>
        <w:tc>
          <w:tcPr>
            <w:tcW w:w="19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99202</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and management of</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mins</w:t>
            </w: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new patient for use only in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Medicare-approved Episode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 Model--AMI, CABG,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SHFFT model, which requires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these 3 key components: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An expanded problem</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focused history;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An expanded problem</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focused examination;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Straightforward medical</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decision making, furnished in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time using interactive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audio and video technology.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Counseling and coordination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 with other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physicians, other qualified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care professionals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 are provided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consistent with the nature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problem(s) and the needs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patient or the family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both. Usually, the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presenting problem(s) are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 to moderate severity.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Typically, 20 minutes are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spent with the patient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family or both via real time,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audio and video</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intercommunications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G9866</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in-home visit for the</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home E/M new pt 30</w:t>
            </w:r>
          </w:p>
        </w:tc>
        <w:tc>
          <w:tcPr>
            <w:tcW w:w="19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99203</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and management of</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mins</w:t>
            </w: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new patient for use only in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Medicare-approved Episode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 Model--AMI, CABG,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SHFFT model, which requires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these 3 key components: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detailed history;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detailed examination;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Medical decision making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 complexity, furnished in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time using interactive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audio and video technology.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Counseling and coordination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 with other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physicians, other qualified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care professionals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 are provided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consistent with the nature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problem(s) and the needs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patient or the family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both. Usually, the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presenting problem(s) are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moderate severity. Typically,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minutes are spent with the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or family or both via</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time, audio and video</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intercommunications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G9867</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in-home visit for the</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home E/M new pt 45</w:t>
            </w:r>
          </w:p>
        </w:tc>
        <w:tc>
          <w:tcPr>
            <w:tcW w:w="19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99204</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and management of</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mins</w:t>
            </w: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new patient for use only in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Medicare-approved Episode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 Model--AMI, CABG,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SHFFT model, which requires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these 3 key components: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comprehensive history;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comprehensive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examination;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Medical decision making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moderate complexity,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furnished in real time using</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interactive audio and video</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Counseling and coordination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 with other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physicians, other qualified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care professionals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 are provided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consistent with the nature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problem(s) and the needs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patient or the family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both. Usually, the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presenting problem(s) are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moderate to high severity.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Typically, 45 minutes are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spent with the patient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family or both via real time,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audio and video</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intercommunications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G9868</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in-home visit for the</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home E/M new pt 60</w:t>
            </w:r>
          </w:p>
        </w:tc>
        <w:tc>
          <w:tcPr>
            <w:tcW w:w="19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99205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and management of</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mins</w:t>
            </w: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new patient for use only in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Medicare-approved Episode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 Model--AMI, CABG,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SHFFT model, which requires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these 3 key components: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comprehensive history;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comprehensive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examination;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Medical decision making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 complexity, furnished in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time using interactive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audio and video technology.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Counseling and coordination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 with other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physicians, other qualified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care professionals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 are provided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consistent with the nature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problem(s) and the needs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patient or the family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both. Usually, the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presenting problem(s) are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moderate to high severity.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Typically, 60 minutes are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spent with the patient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family or both via real time,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audio and video</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intercommunications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G9869</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in-home visit for the</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home E/M est. pt</w:t>
            </w:r>
          </w:p>
        </w:tc>
        <w:tc>
          <w:tcPr>
            <w:tcW w:w="19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99212</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and management of</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 mins</w:t>
            </w: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established patient for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 only in the Medicare-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approved Episode Payment</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Model--AMI, CABG, or SHFFT</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 which requires at</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least 2 of the following 3</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key components: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problem focused history;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problem focused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examination;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Straightforward medical</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decision making, furnished in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time using interactive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audio and video technology.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Counseling and coordination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 with other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physicians, other qualified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care professionals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 are provided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consistent with the nature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problem(s) and the needs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patient or the family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both. Usually, the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presenting problem(s) are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self limited or minor.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Typically, 10 minutes are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spent with the patient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family or both via real time,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audio and video</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intercommunications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G9870</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in-home visit for the</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home E/M est. pt</w:t>
            </w:r>
          </w:p>
        </w:tc>
        <w:tc>
          <w:tcPr>
            <w:tcW w:w="19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99213</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and management of</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 mins</w:t>
            </w: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established patient for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 only in the Medicare-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approved Episode Payment</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Model--AMI, CABG, or SHFFT</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 which requires at</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least 2 of the following 3</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key components: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An expanded problem</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focused history;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An expanded problem</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focused examination;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Medical decision making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 complexity, furnished in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time using interactive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audio and video technology.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Counseling and coordination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 with other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physicians, other qualified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care professionals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 are provided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consistent with the nature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problem(s) and the needs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patient or the family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both. Usually, the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presenting problem(s) are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 to moderate severity.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Typically, 15 minutes are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spent with the patient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family or both via real time,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audio and video</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intercommunications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G9871</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in-home visit for the</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home E/M est. pt</w:t>
            </w:r>
          </w:p>
        </w:tc>
        <w:tc>
          <w:tcPr>
            <w:tcW w:w="19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99214</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and management of</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 mins</w:t>
            </w: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established patient for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 only in the Medicare-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approved Episode Payment</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Model--AMI, CABG, or SHFFT</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 which requires at</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least 2 of the following 3</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key components: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detailed history;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detailed examination;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Medical decision making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moderate complexity,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furnished in real time using</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interactive audio and video</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Counseling and coordination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 with other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physicians, other qualified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care professionals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 are provided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consistent with the nature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problem(s) and the needs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patient or the family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both. Usually, the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presenting problem(s) are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moderate to high severity.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Typically, 25 minutes are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spent with the patient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family or both via real time,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audio and video</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intercommunications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G9872</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Remote in-home visit for the</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home E/M est. pt</w:t>
            </w:r>
          </w:p>
        </w:tc>
        <w:tc>
          <w:tcPr>
            <w:tcW w:w="19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99215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and management of</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 mins</w:t>
            </w: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established patient for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 only in the Medicare-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approved Episode Payment</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Model--AMI, CABG, or SHFFT</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 which requires at</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least 2 of the following 3</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key components: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comprehensive history;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 comprehensive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examination;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Medical decision making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 complexity, furnished in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time using interactive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audio and video technology.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Counseling and coordination</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 with other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physicians, other qualified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care professionals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 are provided</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consistent with the nature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problem(s) and the needs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patient or the family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both. Usually, the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presenting problem(s) are of</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moderate to high severity.</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Typically, 40 minutes are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spent with the patient or</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family or both via real time,</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audio and video</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intercommunications</w:t>
            </w:r>
          </w:p>
        </w:tc>
        <w:tc>
          <w:tcPr>
            <w:tcW w:w="264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tc>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w:t>
            </w:r>
          </w:p>
        </w:tc>
        <w:tc>
          <w:tcPr>
            <w:tcW w:w="2640" w:type="dxa"/>
            <w:tcBorders>
              <w:right w:val="nil"/>
            </w:tcBorders>
          </w:tcPr>
          <w:p/>
        </w:tc>
        <w:tc>
          <w:tcPr>
            <w:tcW w:w="19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SNF 3-Day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Waiver of SNF 3-Day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section 1861(i) of the Act, a beneficiary must have a prior inpatient hospital stays of no fewer than 3 consecutive days, within a short period of time (generally 30 days), in order to be eligible for Medicare coverage of inpatient SNF care. We refer to this as the SNF 3-day rule. We note that the SNF 3-day rule has been waived for Medicare SNF coverage under other episode payment models, including BPCI Model 2 and the CJR model. BPCI Model 2 awardees that request and are approved for the waiver can discharge Model 2 beneficiaries in fewer than 3 days from an anchor hospital stay to a SNF, where services are covered under Medicare Part A as long as all other coverage requirements for such services are satisfied. Under the CJR model, we adopted a waiver of the SNF 3-day rule that applies beginning in performance year 2 as hospitals are not bearing risk in their first year. As discussed in section V.N. of this final rule, we are revising the effective date of the waiver of the SNF 3-day rule for the CJR model, and we are stating that participant hospitals may begin using the waiver for episodes that begin on or after January 1,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EPM payment policies, similar to CJR payment policies which would require participating EPM hospitals to repay Medicare for excess episode spending beginning in performance year 2. Episode payment models like BPCI, CJR, and those being finalized in this final rule have the potential to mitigate the existing incentives under the Medicare program to overuse SNF benefits for beneficiaries, as well as to furnish many fragmented services that do not reflect significant coordinated attention to and management of complications following hospital discharge. The removal of these incentives in an EPM lays the groundwork for offering EPM participants greater flexibility around the parameters that determine SNF stay coverage. BPCI participants considering the early discharge of a beneficiary pursuant to the waiver during a Model 2 episode must evaluate whether early discharge to a SNF is clinically-appropriate and SNF services are medically-necessary. Next, they must balance that determination and the potential benefits to the hospital in the form of internal cost savings due to greater financial efficiency with the understanding that a subsequent hospital readmission, attributable to premature discharge or low quality SNF care, could substantially increase episode spending while also resulting in poorer quality of care for the beneficiary. Furthermore, early hospital discharge for a beneficiary who would otherwise not require a SNF stay (that is, the beneficiary has no identified skilled nursing or rehabilitation need that cannot be provided on an outpatient basis) following a hospital stay of typical length does not improve episode efficiency under episode-based payment models such as BPCI, the CJR model, or the EPMs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of the potential benefits we see for participating EPM hospitals, their provider partners, and beneficiaries, we proposed to waive in certain instances, where it is clinically-appropriate, the SNF 3-day rule for coverage of a SNF stay following the anchor hospitalization under EPM for episodes that begin on or after April 1, 2018. While our intent is to align the effective date of the availability of this program waiver with performance year 2 of the model, when repayment responsibility for actual episode spending that exceeds the target price begins, we believe that an effective date based on the start of the episode will be clearer to participant hospitals, SNFs, and others in determining whether the waiver is available for an EPM beneficiary. We believe that clarity regarding whether a waiver applies to SNF services furnished to a particular beneficiary is important to help ensure compliance with the conditions of the waiver and also improve our ability to monitor waivers for misuse. We proposed to use our authority under section 1115A of the Act with respect to certain SNFs that furnish Medicare Part A post-hospital extended care services to beneficiaries included in an EPM episode. We believe this waiver is necessary to the model test so that EPM participants can redesign care throughout the episode continuum of care extending to 90 days post-discharge from the anchor hospital stay in order to maximize quality and hospital financial efficiency, as well as reduce episode spending under Medicare. However, we did not propose to waive this requirement in performance year 1, when EPM participants are not responsible for excess actual episode spending. We believe that there is some potential for early hospital discharge </w:t>
      </w:r>
      <w:r>
        <w:rPr>
          <w:rFonts w:ascii="arial" w:eastAsia="arial" w:hAnsi="arial" w:cs="arial"/>
          <w:b/>
          <w:i w:val="0"/>
          <w:strike w:val="0"/>
          <w:noProof w:val="0"/>
          <w:color w:val="000000"/>
          <w:position w:val="0"/>
          <w:sz w:val="20"/>
          <w:u w:val="none"/>
          <w:vertAlign w:val="baseline"/>
        </w:rPr>
        <w:t> [*500] </w:t>
      </w:r>
      <w:r>
        <w:rPr>
          <w:rFonts w:ascii="arial" w:eastAsia="arial" w:hAnsi="arial" w:cs="arial"/>
          <w:b w:val="0"/>
          <w:i w:val="0"/>
          <w:strike w:val="0"/>
          <w:noProof w:val="0"/>
          <w:color w:val="000000"/>
          <w:position w:val="0"/>
          <w:sz w:val="20"/>
          <w:u w:val="none"/>
          <w:vertAlign w:val="baseline"/>
        </w:rPr>
        <w:t xml:space="preserve"> followed by a SNF stay to increase actual episode spending over historical patterns unless EPM participants are particularly mindful of this potential unintended consequence. Without participant repayment responsibility in performance year 1, we are concerned that Medicare would be at full risk under the model for increased episode spending because, without a financial incentive to closely manage care, hospitals might be more likely to discharge beneficiaries to SNFs early leading to increased episode spending for which the hospital would bear no responsibility. For EPM episodes beginning on or after April 1, 2018, we proposed to waive the SNF 3-day rule, where clinically-appropriate, because participants will bear partial or full responsibility (capped at the proposed stop-loss limit described in section III.D.7.b. of this final rule) for excess episode actual spending, thereby providing a strong incentive in those years for participants to redesign care with both quality and efficiency outcomes as priorities. All other Medicare rules for coverage and payment of Part A-covered SNF services would continue to apply to EPM beneficiaries in all performance years of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for the EPMs being finalized in this final rule and for future EPMs where this waiver is clinically-appropriate and the average LOS for Medicare beneficiaries hospitalized for certain EPM procedures without major complications or comorbidities may be already relatively short at 3 days we believe that we should protect immediate EPM beneficiary safety and optimizing health outcomes. Therefore, we proposed to require that participants may only discharge an EPM beneficiary under this proposed waiver of the SNF 3-day rule to a SNF rated an overall of three stars or better by CMS based on information publicly available at the time of hospital discharge. Problem areas due to early hospital discharge may not be discovered through model monitoring and evaluation activities until well after the episode has concluded, and the potential for later negative findings alone may not afford sufficient beneficiary protections. CMS created a Five-Star Quality Rating System for SNFs to allow SNFs to be compared more easily and to help identify areas of concerning SNF performance. The Nursing Home Compare Web site gives each SNF an overall rating of between 1 and 5 stars. n134 Those SNFs with 5 stars are considered to have much above average quality, and SNFs with 1 star are considered to have quality much below average. Published SNF ratings include distinct ratings of health inspection, staffing, and quality measures, with ratings for each of the three sources combined to calculate an overall rating. These areas of assessment are all relevant to the quality of SNF care following discharge from the anchor hospitalization initiating an EPM episode, especially if that discharge occurs after fewer than 3 days in the hospital. Because of the potential greater risks following early inpatient hospital discharge, we believe it is appropriate that all EPM beneficiaries discharged from the EPM participant to a SNF in fewer than 3 days be admitted to a SNF that has demonstrated that it is capable of providing quality care to patients with significant unresolved post-surgical symptoms and problems. We believe such a SNF would need to provide care of at least average overall quality, which would be represented by an overall SNF 3-star or better rating.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n134 </w:t>
      </w:r>
      <w:hyperlink r:id="rId112" w:history="1">
        <w:r>
          <w:rPr>
            <w:rFonts w:ascii="arial" w:eastAsia="arial" w:hAnsi="arial" w:cs="arial"/>
            <w:b w:val="0"/>
            <w:i/>
            <w:strike w:val="0"/>
            <w:noProof w:val="0"/>
            <w:color w:val="0077CC"/>
            <w:position w:val="0"/>
            <w:sz w:val="20"/>
            <w:u w:val="single"/>
            <w:vertAlign w:val="baseline"/>
          </w:rPr>
          <w:t>www.medicare.gov/NursingHomeCompare/</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CJR Final Rule </w:t>
      </w:r>
      <w:hyperlink r:id="rId21" w:history="1">
        <w:r>
          <w:rPr>
            <w:rFonts w:ascii="arial" w:eastAsia="arial" w:hAnsi="arial" w:cs="arial"/>
            <w:b w:val="0"/>
            <w:i/>
            <w:strike w:val="0"/>
            <w:noProof w:val="0"/>
            <w:color w:val="0077CC"/>
            <w:position w:val="0"/>
            <w:sz w:val="20"/>
            <w:u w:val="single"/>
            <w:vertAlign w:val="baseline"/>
          </w:rPr>
          <w:t>(80 FR 73457</w:t>
        </w:r>
      </w:hyperlink>
      <w:r>
        <w:rPr>
          <w:rFonts w:ascii="arial" w:eastAsia="arial" w:hAnsi="arial" w:cs="arial"/>
          <w:b w:val="0"/>
          <w:i w:val="0"/>
          <w:strike w:val="0"/>
          <w:noProof w:val="0"/>
          <w:color w:val="000000"/>
          <w:position w:val="0"/>
          <w:sz w:val="20"/>
          <w:u w:val="none"/>
          <w:vertAlign w:val="baseline"/>
        </w:rPr>
        <w:t xml:space="preserve"> through 73459), commenters expressed concern about the variation in the number of SNFs across the participating MSAs rated an overall 3 stars or better that would qualify for the SNF 3-day rule waiver under CJR. While we appreciate the variation in qualifying SNFs across the participating MSAs, we continue to believe that we need to balance the goal of improved efficiency under an episode payment model through additional access to a covered SNF stay after an anchor hospitalization of less than 3 days with protecting beneficiaries from the risks of care stinting and premature discharge from the hospital that may result from the financial incentives of episode payment. We note that all 294 MSAs that we proposed as eligible for selection for the AMI and CABG models in the proposed rule have at least one SNF that passed the 3 star requirement from June 2015 to May 2016 and would therefore qualify for the waiver under our proposal. Therefore, all EPM beneficiaries would have access to at least one SNF in the MSA of the participant hospital that meets the SNF overall star rating requirement for the proposed EPM waiver.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the participating hospital must discharge the beneficiary to a SNF that is qualified under the SNF 3-day rule waiver. We proposed that to be qualified under the SNF 3-day rule waiver a SNF must be included in the most recent calendar year quarter Five-Star Quality Rating System listing for SNFs on the Nursing Home Compare Web site for the date of the beneficiary's admission to the SNF. The qualified SNF must be rated an overall 3 stars or better for at least 7 of the 12 months based on a review of the most recent rolling 12 months of overall star ratings. We proposed to post on the CMS Web site the list of qualified SNFs in advance of the calendar quarter.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CJR model, we justified the waiver of the SNF 3-day rule by reviewing data specific to the characteristics of CJR beneficiaries, such as, the geometric mean hospital LOS for the MS-DRGs associated with lower extremity joint replacement (3 to 7 days) and the frequency and length of SNF usage (typically 30 days) for CJR beneficiaries. We stated in the CJR Final Rule that we believe this waiver is necessary to the model test so that CJR participant hospitals could redesign care throughout the episode continuum of care extending to 90 days post-discharge from the anchor hospital stay in order to maximize quality and hospital financial efficiency, as well as reduce episode spending under Medicare. However, the waiver does not apply in performance year 1, when CJR participant hospitals are not responsible for excess actual episode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analysis of data discussed in section III.J.3. of this final rule, we believe some program and patient outcome vulnerabilities may exist with adopting the waiver of the SNF 3-day rule for the proposed AMI, CABG, and SHFFT models or under future EPMs. To mitigate these possible vulnerabilities, we believe it will be necessary to determine if this waiver applies to EPMs on a model-specific basis as follows:</w:t>
      </w:r>
    </w:p>
    <w:p>
      <w:pPr>
        <w:keepNext w:val="0"/>
        <w:numPr>
          <w:numId w:val="6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AMI Model--AMI beneficiaries have geometric mean hospital LOSs that are similar to CJR beneficiaries, 2.0-4.5 days (see Table 47). Most AMI beneficiaries, regardless of AMI medical treatment or PCI treatment for AMI, are not discharged to post-acute care. There is no research that shows increased mortality associated with the hospital LOS. Therefore, we believe that is may be clinically-appropriate to proposed to waive the SNF 3-day rule for the AMI model for episodes beginning on or after April 1, 2018, as participant hospitals are not bearing risk in their first performance year or performance year 2 (NDR).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the waiver be available for the AMI beneficiary's care. The SNF would insert a Treatment Authorization Code on the claim for a beneficiary in the model where the SNF seeks to the use the waiver. This process would promote coordination between the SNF and the AMI model participant, as the SNF would need to be in close </w:t>
      </w:r>
      <w:r>
        <w:rPr>
          <w:rFonts w:ascii="arial" w:eastAsia="arial" w:hAnsi="arial" w:cs="arial"/>
          <w:b/>
          <w:i w:val="0"/>
          <w:strike w:val="0"/>
          <w:noProof w:val="0"/>
          <w:color w:val="000000"/>
          <w:position w:val="0"/>
          <w:sz w:val="20"/>
          <w:u w:val="none"/>
          <w:vertAlign w:val="baseline"/>
        </w:rPr>
        <w:t> [*501] </w:t>
      </w:r>
      <w:r>
        <w:rPr>
          <w:rFonts w:ascii="arial" w:eastAsia="arial" w:hAnsi="arial" w:cs="arial"/>
          <w:b w:val="0"/>
          <w:i w:val="0"/>
          <w:strike w:val="0"/>
          <w:noProof w:val="0"/>
          <w:color w:val="000000"/>
          <w:position w:val="0"/>
          <w:sz w:val="20"/>
          <w:u w:val="none"/>
          <w:vertAlign w:val="baseline"/>
        </w:rPr>
        <w:t xml:space="preserve"> communication with the EPM participant to ensure that the beneficiary is in the model at the time the waiver is used. We proposed that where the beneficiary would be eligible for inclusion in an AMI episode of care at the time of hospital discharge, use of the waiver would be permitted where it is medically-necessary and appropriate to discharge the beneficiary to a SNF prior to a 3-day inpatient stay. A beneficiary would be eligible to receive services furnished under the 3-day rule waiver only during the AMI episode.</w:t>
      </w:r>
    </w:p>
    <w:p>
      <w:pPr>
        <w:keepNext w:val="0"/>
        <w:numPr>
          <w:numId w:val="6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CABG Model--CABG beneficiaries have a geometric mean hospital LOS of 6.0 to 11.6 days (see Table 47), much longer than the CJR model's mean LOS. While most CABG beneficiaries are discharged to SNFs, a mean hospital LOS well above 3 days indicates that it would not be clinically-appropriate for early discharges provided with this waiver. Therefore, we did not propose to waive the SNF 3-day rule for the CABG model.</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SHFFT Model--SHFFT beneficiaries have a geometric mean hospital LOS of 3.7-6.7 days (see Table 47), somewhat close to the CJR model's mean LOS. However, studies show that shorter than average hospital LOSs for hip fracture are associated with higher mortality. n135 While most SHFFT beneficiaries are discharged to SNFs, a mean hospital LOS above 3 days along with a higher mortality rates associated with shorter than average hospital LOSs indicates that it would not be clinically-appropriate for early discharges provided with this waiver. Therefore, we proposed not to waive the SNF 3-day rule for the SHFFT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n135 </w:t>
      </w:r>
      <w:hyperlink r:id="rId113" w:history="1">
        <w:r>
          <w:rPr>
            <w:rFonts w:ascii="arial" w:eastAsia="arial" w:hAnsi="arial" w:cs="arial"/>
            <w:b w:val="0"/>
            <w:i/>
            <w:strike w:val="0"/>
            <w:noProof w:val="0"/>
            <w:color w:val="0077CC"/>
            <w:position w:val="0"/>
            <w:sz w:val="20"/>
            <w:u w:val="single"/>
            <w:vertAlign w:val="baseline"/>
          </w:rPr>
          <w:t>http://www.ncbi.nlm.nih.gov/pubmed/19817664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plan to monitor patterns of SNF utilization under the EPM, particularly with respect to hospital discharge in fewer than 3 days to a SNF, to ensure that beneficiaries are not being discharged prematurely to SNFs and that they are able to exercise their freedom of choice without patient steering. We sought comment on our proposal to waive the SNF 3-day stay rule for stays in SNFs rated overall as 3 stars or better following discharge from the anchor hospitalization in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generally supported the proposal to allow EPM beneficiaries to be discharged to a SNF after less than a 3-day inpatient hospital stay, though one commenter recommended CMS not adopt its proposal to permit EPM participants under any condition to waive the SNF 3-Day Stay Rule when referring EPM beneficiaries to a SNF.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urged CMS to implement the waiver on July 1, 2017, rather than delaying until April 1, 2018 so that providers have an opportunity to use the waiver and redesign care pathways in ways that streamline and improve the quality of care before the measurement period begins for cost reconciliations.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was concerned that limiting the 3-day SNF waiver to discharges from the anchor hospitalization would be problematic if a patient is readmitted to a hospital during the 90-day post-discharge episode duration and subsequently needs SNF care. One commenter strongly suggested a broader waiver of the 3-day Rule for small and rural hospitals than CMS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requested that CMS make the SNF waiver available regardless of the star rating of the admitting SNF. Some of these commenters acknowledged the rationale for a quality requirement for the admitting SNF but asserted that the proposed use of the star rating would not be appropriate for determining the quality requirement. A couple of commenters asserted that the overall star rating would not directly correlate to an AMI episode and would therefore not be predictive of which SNFs would be most capable of caring for AMI beneficiaries under the waiver. A few commenters recommended that CMS modify the proposed criteria of "at least 3 stars" to "at least 3 stars overall OR at least 3 stars on both the staffing and quality measure components." Another commenter suggested the waiver apply only if the facility has a star-rating of four stars or above, while another commenter suggested the waiver apply to any SNF with a star rating of two stars or above. One commenter recommended that some allowance/methodology be developed to allow new SNFs that have not received a Star Rating to participate in the Waiver. Another commenter was concerned that the demand on SNFs with three or more stars will create capacity issues and limit the ability to discharge patients to those facilities, and a few commenters were concerned that the quality requirement would constrain beneficiary freedom of choice.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the CJR Final Rule, we responded to similar comments regarding the SNF waiver </w:t>
      </w:r>
      <w:hyperlink r:id="rId21" w:history="1">
        <w:r>
          <w:rPr>
            <w:rFonts w:ascii="arial" w:eastAsia="arial" w:hAnsi="arial" w:cs="arial"/>
            <w:b w:val="0"/>
            <w:i/>
            <w:strike w:val="0"/>
            <w:noProof w:val="0"/>
            <w:color w:val="0077CC"/>
            <w:position w:val="0"/>
            <w:sz w:val="20"/>
            <w:u w:val="single"/>
            <w:vertAlign w:val="baseline"/>
          </w:rPr>
          <w:t>(80 FR 73456).</w:t>
        </w:r>
      </w:hyperlink>
      <w:r>
        <w:rPr>
          <w:rFonts w:ascii="arial" w:eastAsia="arial" w:hAnsi="arial" w:cs="arial"/>
          <w:b w:val="0"/>
          <w:i w:val="0"/>
          <w:strike w:val="0"/>
          <w:noProof w:val="0"/>
          <w:color w:val="000000"/>
          <w:position w:val="0"/>
          <w:sz w:val="20"/>
          <w:u w:val="none"/>
          <w:vertAlign w:val="baseline"/>
        </w:rPr>
        <w:t xml:space="preserve"> As we discussed in the EPM proposed rule and the CJR Final Rule, an episode payment model like the CJR model or the EPM has the potential to mitigate the existing incentives under the Medicare program to overuse SNF benefits for beneficiaries, as well as to furnish many fragmented services that do not reflect significant coordinated attention to and management of complications following hospital discharge. The reduction of these incentives in an episode payment model lays the groundwork for offering participant hospitals greater flexibility around the parameters that determine SNF stay coverage. As discussed in the CJR Final Rule, we understand from many current BPCI Model 2 participants engaged in LEJR episodes that this waiver plays an important role in their care redesign efforts to streamline and improve the quality of care, as they work closely with their SNF partners.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delay in availability of the 3-day rule waiver, we linked the proposed availability of the 3-day rule waiver to the downside risk of the EPM participant. Specifically, we stated in the proposed rule that since EPM participants had no downside risk during PY 1 (for discharges prior to April 1, 2018), we were concerned that participants may be more likely to discharge beneficiaries to SNFs early leading to increased episode spending for which the participant would bear no responsibility. Accordingly, we proposed to delay the availability of the 3-day rule waiver until PY 2 for discharges on or after April 1, 2018 and beyond.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III.D.2.c. of this final rule, based on comments requesting phased-in downside risk beginning later than we proposed for the EPM, we agreed that delaying the date by which participants would be required to assume downside risk would improve participants' ability to successfully achieve the goals of the models. Accordingly, we are finalizing the policy that EPM participants will not be required to assume downside risk until PY 3--that is, episodes ending on or after January 1, 2019, with anchor hospital discharges that occur on or after October 4, 2018 (90 days prior to January 1, 2019).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linking the availability of the 3-day rule waiver to the participant's downside risk, for this final rule, we believe it is appropriate to delay the availability of the 3-day rule waiver until PY 3. For the purposes of implementing this waiver, we will allow the 3-day rule waiver for anchor hospital discharges that occur on or after October 4, 2018. We believe that implementing this waiver with an effective date for discharges that occur on or after October 4, 2018, rather than implementing this waiver with an effective date for episodes ending on or </w:t>
      </w:r>
      <w:r>
        <w:rPr>
          <w:rFonts w:ascii="arial" w:eastAsia="arial" w:hAnsi="arial" w:cs="arial"/>
          <w:b/>
          <w:i w:val="0"/>
          <w:strike w:val="0"/>
          <w:noProof w:val="0"/>
          <w:color w:val="000000"/>
          <w:position w:val="0"/>
          <w:sz w:val="20"/>
          <w:u w:val="none"/>
          <w:vertAlign w:val="baseline"/>
        </w:rPr>
        <w:t> [*502] </w:t>
      </w:r>
      <w:r>
        <w:rPr>
          <w:rFonts w:ascii="arial" w:eastAsia="arial" w:hAnsi="arial" w:cs="arial"/>
          <w:b w:val="0"/>
          <w:i w:val="0"/>
          <w:strike w:val="0"/>
          <w:noProof w:val="0"/>
          <w:color w:val="000000"/>
          <w:position w:val="0"/>
          <w:sz w:val="20"/>
          <w:u w:val="none"/>
          <w:vertAlign w:val="baseline"/>
        </w:rPr>
        <w:t xml:space="preserve"> after January 1, 2019, provides clarity to the anchor hospital and the recipient SNF whether the waiver applies to SNF services furnished to a particular beneficiary. We believe this clarity is important to help ensure compliance with the conditions of the waiver and also improves our ability to operationally monitor waivers for misuse.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we are allowing participants to voluntarily elect downside risk for episodes ending on or after January 1, 2018 (PY 2). However, we will not provide the waiver for those participants who elect voluntary early downside risk in PY 2. It is operationally infeasible for us to first allow use of the waiver in different years for different EPM participants. We expect that most participants will not elect early downside risk, because we do not expect to have more robust risk-adjustment in place until performance year 3. Regarding responses to other 3-day rule comments, we believe that limiting the 3-day SNF waiver to discharges from the anchor hospitalization at an EPM participant is appropriate as the care redesign needed to support a clinically appropriate early discharge from an AMI anchor hospitalization would not necessarily support other types of hospital discharges that might occur during the course of an episode. We note that limiting use of the waiver to discharges from the anchor hospitalization does not preclude a beneficiary from receiving SNF care at other points during the 90-day episode. Medicare will continue to cover SNF stays for EPM beneficiaries who require SNF care and remain in the hospital 3 days or longer under all existing rules for Medicare coverage and payment of Part A-covered SNF services.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use of the star rating as a quality requirement for the admitting SNF, we believe that our proposal to limit use of the SNF 3-day stay rule waiver to discharges of beneficiaries to SNFs with an overall rating of three stars or better provides sufficient and appropriate protection against premature hospital discharge, especially in the context of the financial and quality incentives under the model itself. As discussed in the CJR Final Rule </w:t>
      </w:r>
      <w:hyperlink r:id="rId21" w:history="1">
        <w:r>
          <w:rPr>
            <w:rFonts w:ascii="arial" w:eastAsia="arial" w:hAnsi="arial" w:cs="arial"/>
            <w:b w:val="0"/>
            <w:i/>
            <w:strike w:val="0"/>
            <w:noProof w:val="0"/>
            <w:color w:val="0077CC"/>
            <w:position w:val="0"/>
            <w:sz w:val="20"/>
            <w:u w:val="single"/>
            <w:vertAlign w:val="baseline"/>
          </w:rPr>
          <w:t>(80 FR 73458)</w:t>
        </w:r>
      </w:hyperlink>
      <w:r>
        <w:rPr>
          <w:rFonts w:ascii="arial" w:eastAsia="arial" w:hAnsi="arial" w:cs="arial"/>
          <w:b w:val="0"/>
          <w:i w:val="0"/>
          <w:strike w:val="0"/>
          <w:noProof w:val="0"/>
          <w:color w:val="000000"/>
          <w:position w:val="0"/>
          <w:sz w:val="20"/>
          <w:u w:val="none"/>
          <w:vertAlign w:val="baseline"/>
        </w:rPr>
        <w:t xml:space="preserve"> we believe it is appropriate to restrict access to the waiver in order to ensure SNF quality and, therefore, protect the beneficiary from potential harm that could arise from the financial incentives of an episode payment model. We continue to believe that SNF overall ratings reflect important differences in quality among SNFs that are applicable to care of EPM beneficiaries. With respect to beneficiary choice, we note that imposing conditions upon a waiver to limit its use is not the same as restricting access to certain SNFs that would continue to be available to beneficiaries after a qualifying 3-day inpatient stay. Medicare will continue to cover SNF stays for EPM beneficiaries who require SNF care and remain in the hospital 3 days or longer under all existing rules for Medicare coverage and payment of Part A-covered SNF services, and these rules do not include a star rating requirement. In this way, the EPM waiver of the SNF 3-day stay rule is an extension of existing coverage for a Part A-covered SNF stay, and is not a limit to 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believed that 3-day rule waiver should apply to the CABG and SHFFT models in addition to the AMI model. Some of these commenters asserted that the waiver should be available for all clinical episodes under the EPMs, with participant hospitals given the flexibility to evaluate on a case-by-cases basis when early discharge to a SNF is clinically appropriate and the SNF services are medically necessary, with some recommending that CMS also implement the SNF 3-day rule waiver for Medicare Advantage Organizations and all Shared Savings Program ACOs.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in the proposed rule, to mitigate program and patient outcome vulnerabilities that may exist with adopting the waiver of the SNF 3-day rule, we believe it will be necessary to determine if this waiver applies to EPMs on a model-specific basis. Based on our analysis of data discussed in section III.J.3. of this final rule, we continue to believe the 3-day rule waiver should not be applied to CABG and SHFFT model beneficiaries, given the typical severity of their clinical conditions treated with surgery that is followed by relatively lengthy inpatient hospital care. We will continue to monitor this waiver during the EPM testing to determine if modification of this limited waiver is warranted. We note that recommendations regarding the waivers under Medicare programs other than the EPM or CJR model are out of scope of this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that instead of requiring SNF to insert a Treatment Authorization Code on the claim for a beneficiary in the model where the SNF seeks to the use the waiver, CMS should provide SNFs with reference numbers for EPM beneficiaries that are eligible to receive services under the waiver, similar to the list that CMS provides to ACOs under the Shared Savings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Under the Shared Savings Program, beneficiaries are attributed to an ACO and CMS can compile and provide ACOs with a beneficiary assignment list for the performance year. In contrast, EPM episodes are triggered by admission to an EPM participant that results in discharge from an anchor hospitalization for a specified surgery or clinical condition, and it would not be practical or timely for CMS to compile and disseminate a prospective list of EPM beneficiaries that would be available to SNFs upon SNF admission.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 modification to waive the SNF 3-day rule for AMI episodes for discharges from anchor hospitalizations that occur on or after October 4, 2018, without modification of the SNF quality requirements. We will waive the SNF 3-day rule for a beneficiary who is an AMI model beneficiary on the date of discharge from the anchor hospitalization only if the SNF is qualified at the time of the AMI model beneficiary's SNF admission. We define a qualified SNF as one that has an overall rating of three stars or better in the Five-Star Quality Rating System for SNFs on the Nursing Home Compare Web site for at least 7 of the 12 preceding months, as determined by CMS based on the most recent rolling 12 months of SNF star rating data available for the calendar quarter that includes the date of the beneficiary's admission to the SNF. We will post the list of qualified SNFs quarterly to the CMS Web site. If a SNF is on this list, the other requirements for the waiver as listed previously are met, and other existing Medicare coverage requirements are met, the SNF stay for the AMI model beneficiary will be covered under Part A under the AMI model SNF 3-day rule waiver.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SNF would insert a Treatment Authorization Code on the claim for a beneficiary in the AMI model where the SNF seeks to the use the waiver. This process would promote coordination between the SNF and the AMI model participant, as the SNF would need to be in close communication with the AMI model participant to ensure that the beneficiary is in the model at the time the waiver is used. Where the beneficiary is an AMI model beneficiary on the date of discharge from an anchor hospitalization, use of the waiver would be permitted where it is medically necessary and appropriate to discharge </w:t>
      </w:r>
      <w:r>
        <w:rPr>
          <w:rFonts w:ascii="arial" w:eastAsia="arial" w:hAnsi="arial" w:cs="arial"/>
          <w:b/>
          <w:i w:val="0"/>
          <w:strike w:val="0"/>
          <w:noProof w:val="0"/>
          <w:color w:val="000000"/>
          <w:position w:val="0"/>
          <w:sz w:val="20"/>
          <w:u w:val="none"/>
          <w:vertAlign w:val="baseline"/>
        </w:rPr>
        <w:t> [*503] </w:t>
      </w:r>
      <w:r>
        <w:rPr>
          <w:rFonts w:ascii="arial" w:eastAsia="arial" w:hAnsi="arial" w:cs="arial"/>
          <w:b w:val="0"/>
          <w:i w:val="0"/>
          <w:strike w:val="0"/>
          <w:noProof w:val="0"/>
          <w:color w:val="000000"/>
          <w:position w:val="0"/>
          <w:sz w:val="20"/>
          <w:u w:val="none"/>
          <w:vertAlign w:val="baseline"/>
        </w:rPr>
        <w:t xml:space="preserve"> the beneficiary to a SNF prior to a 3-day inpatient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other Medicare rules for coverage and payment of Part A-covered SNF services continue to apply. The waiver of the SNF 3-day rule is set forth at § 512.610.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Additional Beneficiary Protections Under the SNF 3-Day Stay Rule Waiver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those specific proposed EPMs, where we proposed to allow the SNF 3-day rule waiver, we proposed beneficiary protections against financial liability in addition to the beneficiary protections discussed elsewhere in this final rule. In proposing additional beneficiary protections that may be necessary to ensure proper use of the SNF 3-day rule waiver under the proposed EPMs, we noted that there are existing, well-established payment and coverage policies for SNF services based on sections 1861(i), 1862(a)(1), and 1879 of the Act that include protections for beneficiaries from liability for certain non-covered SNF charges. These existing payment and coverage policies for SNF services continue to apply under the EPMs, including SNF services furnished pursuant to the SNF 3-day waiver. (For example, see section 70 in the Medicare Claims Processing Manual, Chapter 30--Financial Liability Protections on the CMS Web site at </w:t>
      </w:r>
      <w:hyperlink r:id="rId114" w:history="1">
        <w:r>
          <w:rPr>
            <w:rFonts w:ascii="arial" w:eastAsia="arial" w:hAnsi="arial" w:cs="arial"/>
            <w:b w:val="0"/>
            <w:i/>
            <w:strike w:val="0"/>
            <w:noProof w:val="0"/>
            <w:color w:val="0077CC"/>
            <w:position w:val="0"/>
            <w:sz w:val="20"/>
            <w:u w:val="single"/>
            <w:vertAlign w:val="baseline"/>
          </w:rPr>
          <w:t>https://www.cms.gov/</w:t>
        </w:r>
      </w:hyperlink>
      <w:hyperlink r:id="rId114" w:history="1">
        <w:r>
          <w:rPr>
            <w:rFonts w:ascii="arial" w:eastAsia="arial" w:hAnsi="arial" w:cs="arial"/>
            <w:b/>
            <w:i/>
            <w:strike w:val="0"/>
            <w:noProof w:val="0"/>
            <w:color w:val="0077CC"/>
            <w:position w:val="0"/>
            <w:sz w:val="20"/>
            <w:u w:val="single"/>
            <w:vertAlign w:val="baseline"/>
          </w:rPr>
          <w:t>Regulations</w:t>
        </w:r>
      </w:hyperlink>
      <w:hyperlink r:id="rId114" w:history="1">
        <w:r>
          <w:rPr>
            <w:rFonts w:ascii="arial" w:eastAsia="arial" w:hAnsi="arial" w:cs="arial"/>
            <w:b w:val="0"/>
            <w:i/>
            <w:strike w:val="0"/>
            <w:noProof w:val="0"/>
            <w:color w:val="0077CC"/>
            <w:position w:val="0"/>
            <w:sz w:val="20"/>
            <w:u w:val="single"/>
            <w:vertAlign w:val="baseline"/>
          </w:rPr>
          <w:t>-and-Guidance/Guidance/Manuals/Downloads/clm104c30.pdf</w:t>
        </w:r>
      </w:hyperlink>
      <w:r>
        <w:rPr>
          <w:rFonts w:ascii="arial" w:eastAsia="arial" w:hAnsi="arial" w:cs="arial"/>
          <w:b w:val="0"/>
          <w:i w:val="0"/>
          <w:strike w:val="0"/>
          <w:noProof w:val="0"/>
          <w:color w:val="000000"/>
          <w:position w:val="0"/>
          <w:sz w:val="20"/>
          <w:u w:val="none"/>
          <w:vertAlign w:val="baseline"/>
        </w:rPr>
        <w:t xml:space="preserve">; and Medicare Coverage of Skilled Nursing Facility Care at </w:t>
      </w:r>
      <w:hyperlink r:id="rId115" w:history="1">
        <w:r>
          <w:rPr>
            <w:rFonts w:ascii="arial" w:eastAsia="arial" w:hAnsi="arial" w:cs="arial"/>
            <w:b w:val="0"/>
            <w:i/>
            <w:strike w:val="0"/>
            <w:noProof w:val="0"/>
            <w:color w:val="0077CC"/>
            <w:position w:val="0"/>
            <w:sz w:val="20"/>
            <w:u w:val="single"/>
            <w:vertAlign w:val="baseline"/>
          </w:rPr>
          <w:t>https://www.medicare.gov/Pubs/pdf/10153.pdf</w:t>
        </w:r>
      </w:hyperlink>
      <w:r>
        <w:rPr>
          <w:rFonts w:ascii="arial" w:eastAsia="arial" w:hAnsi="arial" w:cs="arial"/>
          <w:b w:val="0"/>
          <w:i w:val="0"/>
          <w:strike w:val="0"/>
          <w:noProof w:val="0"/>
          <w:color w:val="000000"/>
          <w:position w:val="0"/>
          <w:sz w:val="20"/>
          <w:u w:val="none"/>
          <w:vertAlign w:val="baseline"/>
        </w:rPr>
        <w:t xml:space="preserve">; Medicare Benefit Policy Manual, Chapter 8--Coverage of Extended Care (SNF) Services Under Hospital Insurance at </w:t>
      </w:r>
      <w:hyperlink r:id="rId116" w:history="1">
        <w:r>
          <w:rPr>
            <w:rFonts w:ascii="arial" w:eastAsia="arial" w:hAnsi="arial" w:cs="arial"/>
            <w:b w:val="0"/>
            <w:i/>
            <w:strike w:val="0"/>
            <w:noProof w:val="0"/>
            <w:color w:val="0077CC"/>
            <w:position w:val="0"/>
            <w:sz w:val="20"/>
            <w:u w:val="single"/>
            <w:vertAlign w:val="baseline"/>
          </w:rPr>
          <w:t>https://www.cms.gov/</w:t>
        </w:r>
      </w:hyperlink>
      <w:hyperlink r:id="rId116" w:history="1">
        <w:r>
          <w:rPr>
            <w:rFonts w:ascii="arial" w:eastAsia="arial" w:hAnsi="arial" w:cs="arial"/>
            <w:b/>
            <w:i/>
            <w:strike w:val="0"/>
            <w:noProof w:val="0"/>
            <w:color w:val="0077CC"/>
            <w:position w:val="0"/>
            <w:sz w:val="20"/>
            <w:u w:val="single"/>
            <w:vertAlign w:val="baseline"/>
          </w:rPr>
          <w:t>Regulations</w:t>
        </w:r>
      </w:hyperlink>
      <w:hyperlink r:id="rId116" w:history="1">
        <w:r>
          <w:rPr>
            <w:rFonts w:ascii="arial" w:eastAsia="arial" w:hAnsi="arial" w:cs="arial"/>
            <w:b w:val="0"/>
            <w:i/>
            <w:strike w:val="0"/>
            <w:noProof w:val="0"/>
            <w:color w:val="0077CC"/>
            <w:position w:val="0"/>
            <w:sz w:val="20"/>
            <w:u w:val="single"/>
            <w:vertAlign w:val="baseline"/>
          </w:rPr>
          <w:t>-and-Guidance/Guidance/Manuals/downloads/bp102c08.odf</w:t>
        </w:r>
      </w:hyperlink>
      <w:r>
        <w:rPr>
          <w:rFonts w:ascii="arial" w:eastAsia="arial" w:hAnsi="arial" w:cs="arial"/>
          <w:b w:val="0"/>
          <w:i w:val="0"/>
          <w:strike w:val="0"/>
          <w:noProof w:val="0"/>
          <w:color w:val="000000"/>
          <w:position w:val="0"/>
          <w:sz w:val="20"/>
          <w:u w:val="none"/>
          <w:vertAlign w:val="baseline"/>
        </w:rPr>
        <w:t xml:space="preserve">). In general, CMS requires that the SNF inform a beneficiary in writing about services and fees before the beneficiary is discharged to the SNF (§ 483.10(b)(6)); a beneficiary cannot be required to request extra services as a condition of continued stay (§ 483.10(c)(8)(iii)(B)); and the SNF must inform a beneficiary that requests an item or service for which a charge will be made that there will be a charge for the item or service and what the charge will be (§ 483.10(c)(8)(iii)(C)). (See also Chapter 6 of Medicare Coverage of Skills Nursing Facility Care at </w:t>
      </w:r>
      <w:hyperlink r:id="rId115" w:history="1">
        <w:r>
          <w:rPr>
            <w:rFonts w:ascii="arial" w:eastAsia="arial" w:hAnsi="arial" w:cs="arial"/>
            <w:b w:val="0"/>
            <w:i/>
            <w:strike w:val="0"/>
            <w:noProof w:val="0"/>
            <w:color w:val="0077CC"/>
            <w:position w:val="0"/>
            <w:sz w:val="20"/>
            <w:u w:val="single"/>
            <w:vertAlign w:val="baseline"/>
          </w:rPr>
          <w:t>https://www.medicare.gov/Pubs/pdf/10153.pdf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CJR Final Rule, commenters expressed concern regarding the lag between a CJR beneficiary's Medicare eligibility status change and a participant hospital's awareness of that change. There may be cases in which a SNF waiver is used by a participant hospital because the participant hospital believes that the beneficiary meets the criteria, based on the information available to the hospital and SNF at the time of the beneficiary's admission to the SNF, but in fact the beneficiary's Medicare eligibility status has changed and the hospital was unaware of it based on available information. We recognize that despite good faith efforts by participant hospitals and SNFs to determine a beneficiary's Medicare status for the model, it may occur that a beneficiary is not eligible to be included in the CJR model at the time the SNF waiver is used.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section V.N. of this final rule, for the CJR model we proposed to cover services furnished under the SNF waiver at § 510.610 when the information available to the provider at the time the services under the SNF waiver were furnished indicated that the beneficiary was included in the CJR model (see </w:t>
      </w:r>
      <w:hyperlink r:id="rId9" w:history="1">
        <w:r>
          <w:rPr>
            <w:rFonts w:ascii="arial" w:eastAsia="arial" w:hAnsi="arial" w:cs="arial"/>
            <w:b w:val="0"/>
            <w:i/>
            <w:strike w:val="0"/>
            <w:noProof w:val="0"/>
            <w:color w:val="0077CC"/>
            <w:position w:val="0"/>
            <w:sz w:val="20"/>
            <w:u w:val="single"/>
            <w:vertAlign w:val="baseline"/>
          </w:rPr>
          <w:t>81 FR 50968</w:t>
        </w:r>
      </w:hyperlink>
      <w:r>
        <w:rPr>
          <w:rFonts w:ascii="arial" w:eastAsia="arial" w:hAnsi="arial" w:cs="arial"/>
          <w:b w:val="0"/>
          <w:i w:val="0"/>
          <w:strike w:val="0"/>
          <w:noProof w:val="0"/>
          <w:color w:val="000000"/>
          <w:position w:val="0"/>
          <w:sz w:val="20"/>
          <w:u w:val="none"/>
          <w:vertAlign w:val="baseline"/>
        </w:rPr>
        <w:t xml:space="preserve"> through 50971). Similarly for EPM, we proposed to cover services furnished under the SNF waiver at proposed § 512.61 when the information available to the provider at the time the services furnished under the SNF waiver were furnished indicated that the beneficiary was included in the CJR model (see </w:t>
      </w:r>
      <w:hyperlink r:id="rId9" w:history="1">
        <w:r>
          <w:rPr>
            <w:rFonts w:ascii="arial" w:eastAsia="arial" w:hAnsi="arial" w:cs="arial"/>
            <w:b w:val="0"/>
            <w:i/>
            <w:strike w:val="0"/>
            <w:noProof w:val="0"/>
            <w:color w:val="0077CC"/>
            <w:position w:val="0"/>
            <w:sz w:val="20"/>
            <w:u w:val="single"/>
            <w:vertAlign w:val="baseline"/>
          </w:rPr>
          <w:t>81 FR 50941</w:t>
        </w:r>
      </w:hyperlink>
      <w:r>
        <w:rPr>
          <w:rFonts w:ascii="arial" w:eastAsia="arial" w:hAnsi="arial" w:cs="arial"/>
          <w:b w:val="0"/>
          <w:i w:val="0"/>
          <w:strike w:val="0"/>
          <w:noProof w:val="0"/>
          <w:color w:val="000000"/>
          <w:position w:val="0"/>
          <w:sz w:val="20"/>
          <w:u w:val="none"/>
          <w:vertAlign w:val="baseline"/>
        </w:rPr>
        <w:t xml:space="preserve"> through 50943).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as discussed in the CJR Final Rule, we noted that we would continue to evaluate the waiver of the SNF 3-day rule, including further lessons learned from Innovation Center models in which a waiver of the SNF 3-day rule is being tested. We indicated that in the event we determine that additional safeguards or protections for beneficiaries or other changes were necessary, such as to incorporate additional protections for beneficiaries, we would propose the necessary changes through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continued to learn from implementation of the SNF 3-day rule waiver in the CJR model, other models, and the Shared Savings Program. Based on these experiences, we believe there are situations where it would be appropriate to require additional beneficiary financial protections under the SNF 3-day rule waiver for the applicable proposed EPMs. Specifically, we are concerned about potential beneficiary financial liability for non-covered Part A SNF services that might be directly related to use of the SNF 3-day waiver under the applicable EPMs. For instance, we are concerned that a beneficiary could be charged for non-covered SNF services if an EPM participant discharges a beneficiary to a SNF that does not meet the quality requirement (3 stars or higher in 7 of the last 12 months), and the beneficiary is not provided a discharge planning notice, as described in proposed § 512.450(b). Another scenario would be where the EPM participant applies the SNF 3-day rule waiver for episodes that begin prior to April 1, 2018, when this waiver is not applicable (as proposed), and payment to the qualified SNF for furnishing Medicare covered SNF services is denied. A third scenario would be if an EPM participant applies the SNF 3-day rule waiver for a specific proposed EPM where the waiver is not allowed, such as under the CABG and SHFFT episodes in this final rule. In any of these circumstances, we assume the EPM participant's intent was to rely upon the SNF 3-day rule waiver, but the waiver requirements were not met. When this occurs, we are concerned that once the claim is rejected, the beneficiary may not be protected from financial liability under existing Medicare rules because the waiver would not be available, and the beneficiary would not have had a qualifying inpatient hospital stay. Thus, the EPM beneficiary could be charged by the SNF for non-covered SNF services that were a result of an inappropriate attempt to use the waiver. In these cases, Medicare would deny payment of the SNF claim, and the beneficiary could potentially be charged by the SNF for these non-covered SNF services, potentially subjecting such beneficiaries to significant financial liability. We believe that the rejection of the claim, in these cases, could easily have been avoided if the hospital had confirmed that the requirements for applying of the SNF 3-day waiver were satisfied.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models have addressed similar issues in which the beneficiary may be subject to financial liability for non-covered SNF services related to the waiver. The Next Generation ACO Model generally places the risk on the SNF, where the SNF did not qualify under the waiver or otherwise knew or reasonably could be expected to have known that payment would not be made for the non-covered SNF services. In such cases, CMS makes no payment for the services, and the SNF may not charge the beneficiary for the services and must return any monies collected from the beneficiary. Additionally, under the Next Generation ACO Model, the ACO must indemnify and hold the beneficiary harmless for the services. In the proposed rule, we stated our belief that it is appropriate to adopt a similar </w:t>
      </w:r>
      <w:r>
        <w:rPr>
          <w:rFonts w:ascii="arial" w:eastAsia="arial" w:hAnsi="arial" w:cs="arial"/>
          <w:b/>
          <w:i w:val="0"/>
          <w:strike w:val="0"/>
          <w:noProof w:val="0"/>
          <w:color w:val="000000"/>
          <w:position w:val="0"/>
          <w:sz w:val="20"/>
          <w:u w:val="none"/>
          <w:vertAlign w:val="baseline"/>
        </w:rPr>
        <w:t> [*504] </w:t>
      </w:r>
      <w:r>
        <w:rPr>
          <w:rFonts w:ascii="arial" w:eastAsia="arial" w:hAnsi="arial" w:cs="arial"/>
          <w:b w:val="0"/>
          <w:i w:val="0"/>
          <w:strike w:val="0"/>
          <w:noProof w:val="0"/>
          <w:color w:val="000000"/>
          <w:position w:val="0"/>
          <w:sz w:val="20"/>
          <w:u w:val="none"/>
          <w:vertAlign w:val="baseline"/>
        </w:rPr>
        <w:t xml:space="preserve"> policy under the EPMs. In contrast to the Next Generation ACO Model, however, we stated our belief that it was most appropriate to hold the EPM participants financially responsible for misusing the waiver in situations where waiver requirements are not met, because EPM participants are required to be aware of the 3-day waiver requirements. EPM participants are the entities financially responsible for episode spending under the proposed EPMs and will make the decision as to whether it is appropriate to discharge a beneficiary without a 3-day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EPM participants may begin using this waiver only for specific episodes beginning on or after April 1, 2018, and may only utilize the waiver to discharge a beneficiary to a SNF that meets the quality requirements. We proposed that EPM participants are required to ensure the waiver requirements of proposed § 512.610 (a) and (b) are met. Therefore, in the proposed rule we stated our belief that it is reasonable that the ultimate responsibility and liability for a non-covered SNF stay should rest with the EPM participant. We considered holding the SNF responsible but decided that since hospitals, not SNFs, are the EPM participants, they therefore should be held responsible for complying with the SNF 3-day rule waiver conditions for the reasons stated previously.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protect EPM beneficiaries from being charged for non-covered SNF charges in instances when the waiver was used inappropriately, we proposed to add certain beneficiary protection requirements in proposed § 512.610. These requirements would apply for SNF services that would otherwise have been covered except for lack of a qualifying 3-day hospital stay. Specifically, we proposed if, subsequent to an EPM participant applying the SNF 3-day rule waiver, we determine that the following waiver requirements were not met then the EPM participant will be financially liable for the SNF stay:</w:t>
      </w:r>
    </w:p>
    <w:p>
      <w:pPr>
        <w:keepNext w:val="0"/>
        <w:numPr>
          <w:numId w:val="6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discharges a beneficiary that is in a specific EPM where the SNF 3-day rule waiver does not apply.</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discharges a beneficiary prior to April 1, 2018 (as proposed), where the SNF 3-day rule waiver does not apply.</w:t>
      </w:r>
    </w:p>
    <w:p>
      <w:pPr>
        <w:keepNext w:val="0"/>
        <w:numPr>
          <w:numId w:val="6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discharges a beneficiary to a SNF that does not meet the quality requirement (3 stars or higher in 7 of the last 12 months) and does not provide a discharge planning notice, as described in proposed § 512.450(b), to the beneficiary alerting them of potential financial 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these preceding instances, we proposed to apply the following rules:</w:t>
      </w:r>
    </w:p>
    <w:p>
      <w:pPr>
        <w:keepNext w:val="0"/>
        <w:numPr>
          <w:numId w:val="6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shall make no payment to the SNF for such services.</w:t>
      </w:r>
    </w:p>
    <w:p>
      <w:pPr>
        <w:keepNext w:val="0"/>
        <w:numPr>
          <w:numId w:val="6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SNF shall not charge the beneficiary for the expenses incurred for such services, and the SNF shall return to the beneficiary any monies collected for such services.</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hospital shall be responsible for the cost of the non-covered SNF services furnished during the SNF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if the EPM participant discharges an EPM beneficiary to a SNF that does not meet the quality requirement (3 stars or higher in 7 of the last 12 months) and a discharge planning notice, as described in proposed § 512.450(b), is provided to the EPM beneficiary alerting them of potential financial liability then the hospital will not be financially liable for the cost of the SNF stay and the normal Medicare FFS rules for coverage of SNF services will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discharge notice absolves the EPM participant of liability. However, we are requiring EPM participants to keep a record of discharge planning notice distribution to EPM beneficiaries. We will monitor EPM participants' use of discharge notification letters to protect EPM beneficiaries from potential abuse of the waiver. Nevertheless, we recognize there are some situations in which a beneficiary may wish to be discharged before a qualifying 3-day stay and may accept financial liability for a non-qualifying stay, in which case the participant hospital will not be held financially liable for the SNF stay. Therefore, when the EPM participant has discharged a beneficiary to a SNF that does not qualify under the conditions of the waiver, we believe it is reasonable that the ultimate responsibility and financial liability for a non-covered SNF stay should rest with the EPM participant. We will communicate with hospitals and SNFs about how a hospital would pay SNFs for non-qualifying services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these proposals. Specifically, we sought comment on whether it is reasonable to: (a) Cover services furnished under the SNF waiver based on the EPM participant's knowledge of beneficiary eligibility for the applicable proposed EPMs, as determined by Medicare status, at the time the services under the waiver were furnished; and (b) to hold the EPM participant financially responsible for rejected SNF claims as a result of lack of a qualifying inpatient hospital stay in cases where the EPM participant discharges a beneficiary to a SNF that did not qualify for waiver use and did not provide the beneficiary with a discharge planning notice. We sought comment on whether SNFs instead of, or in addition to, the EPM participant should be held liable for such claims and under what circumstances. Finally, we sought comment on any other related issues that we should consider in connection with these proposals to protect beneficiaries from significant financial liability for non-covered SNF services related to the waiver of the SNF 3-day rule under the proposed EPMs. We may address those issues through future notice and comment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support for CMS' proposal to cover services furnished under the SNF waiver based on an EPM participant's knowledge of beneficiary eligibility for the EPM at the time the services under the waiver were furnished. A few commenters sought clarification whether CMS was proposing this policy for both the CJR model and the EPM, though these same commenters expressed their support and asserted that the same protection should be extended to both CJR and EPM beneficiaries.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commenters' support for this proposed policy. We will finalize our proposal to cover services furnished under the SNF waiver based on the EPM participant's knowledge of beneficiary eligibility for the applicable proposed EPMs, as determined by Medicare status, at the time the services under the waiver were furnished. We refer readers to section V.N. of this final rule for a discussion of the additional beneficiary protections under the SNF 3-day stay rule waiver for CJR beneficiaries.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agreed that beneficiaries should not be charged for non-covered SNF charges in instances where the EPM participant discharges a beneficiary to a SNF that did not qualify for waiver use and did not provide the beneficiary with a discharge planning notice. Some commenters asserted that hospitals should not be solely responsible for non-covered SNF services resulting from discharging a beneficiary to a SNF that does not meet the quality requirement as it is challenging for hospitals to keep track of changes in SNF ratings or to identify EPM beneficiaries in a timely manner. A few of these commenters recommended that CMS provide EPM participants with a list of eligible SNFs on a quarterly or periodic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couple of commenters expressed concern that independent physicians could refer and admit a beneficiary to a SNF that does not meet the quality </w:t>
      </w:r>
      <w:r>
        <w:rPr>
          <w:rFonts w:ascii="arial" w:eastAsia="arial" w:hAnsi="arial" w:cs="arial"/>
          <w:b/>
          <w:i w:val="0"/>
          <w:strike w:val="0"/>
          <w:noProof w:val="0"/>
          <w:color w:val="000000"/>
          <w:position w:val="0"/>
          <w:sz w:val="20"/>
          <w:u w:val="none"/>
          <w:vertAlign w:val="baseline"/>
        </w:rPr>
        <w:t> [*505] </w:t>
      </w:r>
      <w:r>
        <w:rPr>
          <w:rFonts w:ascii="arial" w:eastAsia="arial" w:hAnsi="arial" w:cs="arial"/>
          <w:b w:val="0"/>
          <w:i w:val="0"/>
          <w:strike w:val="0"/>
          <w:noProof w:val="0"/>
          <w:color w:val="000000"/>
          <w:position w:val="0"/>
          <w:sz w:val="20"/>
          <w:u w:val="none"/>
          <w:vertAlign w:val="baseline"/>
        </w:rPr>
        <w:t xml:space="preserve"> requirement without including the hospital, yet the hospital would be financially liable for the non-covered SNF stay under the proposed policy. Some commenters suggested that the SNF should share in financial liability for non-covered SNF services related to misuse of the waiver as the SNF is providing and billing for these non-covered services, and CMS should consider ways in which it could ensure the SNFs take steps to ensure that patients discharged to the SNF with less than a 3-day inpatient stay qualify to receive services under the waiver.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commenters' support for our proposal that beneficiaries should not be charged for non-covered SNF charges in instances where the EPM participant discharges a beneficiary to a SNF that did not qualify for waiver use and did not provide the beneficiary with a discharge planning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previous section, we proposed that to be qualified under the SNF 3-day rule waiver a SNF must be rated an overall 3 stars or better for at least 7 of the 12 months based on a review of the most recent rolling 12 months of overall star ratings, and we proposed to post on the CMS Web site the list of qualified SNFs in advance of the calendar quarter.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previous section, the waiver of the SNF 3-day rule only applies to circumstances where the beneficiary is medically appropriate for discharge and requires a SNF stay after less than a 3-day inpatient hospital stay. Medicare will continue to cover SNF stays for EPM beneficiaries who require SNF care and remain in the hospital 3 days or longer under all existing rules for Medicare coverage and payment of Part A-covered SNF services, and these rules do not include a star rating requirement. In this way, the EPM waiver of the SNF 3-day stay rule is an extension of existing coverage for a Part A-covered SNF stay, and is not a limit to it. An EPM participant that believes it is incapable of identifying qualifying SNFs or EPM beneficiaries is not required to use the waiver.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previous section, the waiver provides EPM participants with additional flexibilities to redesign care in order to maximize quality and efficiency, as well as reduce episode spending and generate hospital internal cost savings. Therefore, we believe that it is appropriate to hold the EPM participants financially responsible for misusing the waiver in situations where waiver requirements are not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that an independent physician might refer a beneficiary to a SNF that does not qualify under the waiver. However, we believe that the established process for discharge planning would typically involve the hospital. EPM participants are required to be aware of the 3-day waiver requirements, and the EPM participants will make the decision as to whether it is appropriate to discharge a beneficiary without a 3-day stay. We note that if the beneficiary chooses a SNF that does not qualify under the waiver based on a physician's recommendation and the hospital provides proper notification of non-coverage, the beneficiary would be financially liable for the SNF stay, while the EPM participant would not be financially liable for the SNF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the suggestions of commenters that SNFs share in financial liability for non-covered SNF services related to the waiver of the SNF 3-day rule under the proposed EPMs. EPM participants are required to be aware of the 3-day waiver requirements. SNFs are not EPM participants, and we believe that SNFs will rely upon the hospital, as the EPM participant, to determine whether use of the waiver is appropriate. As we gain experience with the EPM, we may revisit this issue in future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suggested that CMS assume responsibility for providing the beneficiary notice as an objective, informed and trusted voice in this process. Another commenter requested that CMS provide clarification as to what an EPM participant needs to maintain as documentation showing the hospital has provided the proper discharge notice to the patient prior to discharge, which would absolve the EPM participant of financial liability if the SNF waiver is not appropriate. One commenter recommended that CMS require EPM participant to inform beneficiaries of their options, including (1) waiving the 3-day hospital stay and going to a 3-star or higher rated SNF with no additional financial consequences for the beneficiary; (2) beneficiary can opt to stay in the hospital the full 3 days and then select a SNF of their choosing regardless of star status; or (3) beneficiary can accept the 3-day stay waiver and choose any SNF understanding that they are liable for the full cost of that care, as it would not be a Medicare eligible expense. One commenter urged CMS to modify its proposal so that beneficiaries are held harmless for non-covered SNF services for which they are referred by the originating hospital, regardless of whether a discharge planning notice is provided.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in section III.G. of this final rule, hospitals are required to provide beneficiaries with written notification of their post-acute care options upon discharge. Given the existing relationship between the hospital and the patient, and the hospital's established role in discharge planning, we believe that it is appropriate to require the EPM participant to provide beneficiaries with written notification if the EPM participant makes any referrals for non-covered services as part of the discharge planning process. We do not believe that it would be practical or consistent with existing Medicare policy for CMS to provide the beneficiary with notice at time of discharge if the SNF waiver is not appropriate and the services would not be covered. With respect to the commenter's suggested approach for notifying the beneficiary of the range of options available post-discharge, we refer to section III.G. of this final rule for discussion of discharge planning requirements for EPM participants and the essential elements that are required for proper beneficiary notification.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was concerned that the proposal does not address cases in which Medicare accepts a beneficiary's appeal of Medicare Provider Non-Coverage after the discharging physician determined not to certify that patient for Skilled Nursing Facility ("SNF") care. The commenter believes that CMS should not penalize EPM participant for cases where Medicare allowed an appeal.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Under this proposal, if the EPM participant provides the beneficiary with proper notification that the SNF stay would not be covered, the hospital would not be financially liable for the non-covered SNF stay regardless of the results of a beneficiary's appeal of Medicare Provider Non-Coverage.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cover services furnished under the SNF waiver based on the EPM participant's knowledge of beneficiary eligibility for the applicable proposed EPMs, as determined by Medicare status at the time the services under the waiver were furnished. We are also finalizing the proposal, without modification, to hold the EPM participant financially responsible for rejected SNF claims if an EPM beneficiary is discharged to a SNF without a qualifying 3-day inpatient stay, but the SNF is not on the qualified list as of the date of admission to the SNF, and the EPM participant has failed to provide a discharge planning notice as specified in § 512.450(b)(3). Specifically, if subsequent to an EPM participant applying the SNF 3-day rule waiver, we determine that the following </w:t>
      </w:r>
      <w:r>
        <w:rPr>
          <w:rFonts w:ascii="arial" w:eastAsia="arial" w:hAnsi="arial" w:cs="arial"/>
          <w:b/>
          <w:i w:val="0"/>
          <w:strike w:val="0"/>
          <w:noProof w:val="0"/>
          <w:color w:val="000000"/>
          <w:position w:val="0"/>
          <w:sz w:val="20"/>
          <w:u w:val="none"/>
          <w:vertAlign w:val="baseline"/>
        </w:rPr>
        <w:t> [*506] </w:t>
      </w:r>
      <w:r>
        <w:rPr>
          <w:rFonts w:ascii="arial" w:eastAsia="arial" w:hAnsi="arial" w:cs="arial"/>
          <w:b w:val="0"/>
          <w:i w:val="0"/>
          <w:strike w:val="0"/>
          <w:noProof w:val="0"/>
          <w:color w:val="000000"/>
          <w:position w:val="0"/>
          <w:sz w:val="20"/>
          <w:u w:val="none"/>
          <w:vertAlign w:val="baseline"/>
        </w:rPr>
        <w:t xml:space="preserve"> waiver requirements were not met then the EPM participant will be financially liable for the SNF stay:</w:t>
      </w:r>
    </w:p>
    <w:p>
      <w:pPr>
        <w:keepNext w:val="0"/>
        <w:numPr>
          <w:numId w:val="6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discharges a beneficiary that is in a specific EPM where the SNF 3-day rule waiver does not apply.</w:t>
      </w:r>
    </w:p>
    <w:p>
      <w:pPr>
        <w:keepNext w:val="0"/>
        <w:numPr>
          <w:numId w:val="6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anchor hospital discharges a beneficiary prior to October 4, 2018 (as finalized in section III.J.6.a. of this final rule), where the SNF 3-day rule waiver does not apply.</w:t>
      </w:r>
    </w:p>
    <w:p>
      <w:pPr>
        <w:keepNext w:val="0"/>
        <w:numPr>
          <w:numId w:val="6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discharges a beneficiary to a SNF that does not meet the quality requirement (3 stars or higher in 7 of the last 12 months) and does not provide a discharge planning notice, as described in proposed § 512.450(b)(3), to the beneficiary alerting them of potential financial 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these preceding instances, we proposed to apply the following rules:</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shall make no payment to the SNF for such services.</w:t>
      </w:r>
    </w:p>
    <w:p>
      <w:pPr>
        <w:keepNext w:val="0"/>
        <w:numPr>
          <w:numId w:val="6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SNF shall not charge the beneficiary for the expenses incurred for such services, and the SNF shall return to the beneficiary any monies collected for such services.</w:t>
      </w:r>
    </w:p>
    <w:p>
      <w:pPr>
        <w:keepNext w:val="0"/>
        <w:numPr>
          <w:numId w:val="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hospital shall be responsible for the cost of the non-covered SNF services furnished during the SNF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policies for financial liability for non-covered SNF services provided due to incorrect application of the SNF 3-day rule waiver are set forth in § 512.610(c).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Waivers of Medicare Program Rules To Allow Reconciliation Payment or Repayment Actions Resulting From the Net Payment Reconciliation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make a reconciliation payment to or carry out recoupment from a participant that results from the NPRA calculation for each performance year as discussed in section III.D.5. of this final rule, we believe we would need to waive certain Medicare program rules. Therefore, in accordance with the authority in section 1115A(d)(1) of the Act, we proposed to waive requirements of the Act for all Medicare Part A and Part B payment systems only to the extent necessary to make reconciliation payments or receive repayments based on the NPRA that reflect the episode payment methodology under this proposed payment model for EPM participants selected in accordance with CMS's proposed selection methodology. In addition, our proposals on reconciliation payments or repayments would not change beneficiary cost-sharing from the regular Medicare program cost-sharing for the related Part A and Part B services that were paid for CJR beneficiaries and aggregated to determine actual episode spending in the calculation of the NPRA. We therefore would waive the requirements of sections 1813 and 1833(a) of the Act to the extent that they would otherwise apply to reconciliation payments or repayments from an EPM participant. We sought comment on our proposed waivers related to repayment and recoupment actions as a result of the NPRA calculated.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any comments suggesting changes to this waiver thus, we are finalizing the proposal, without modification, to waive requirements of the Act for all Medicare Part A and Part B payment systems only to the extent necessary to make reconciliation payments or receive repayments based on the NPRA that reflect the episode payment methodology under this proposed payment model for EPM participants selected in accordance with CMS's proposed selection methodology. In addition, reconciliation payments or repayments would not change beneficiary cost-sharing from the regular Medicare program cost-sharing for the related Part A and Part B services that were paid for EPM beneficiaries and aggregated to determine actual episode spending in the calculation of the NPRA. We therefore are waiving the requirements of sections 1813 and 1833(a) of the Act to the extent that they would otherwise apply to reconciliation payments or repayments from an EPM participant. The waiver of deductible and coinsurance that otherwise apply to reconciliation payments or repayments is set forth at § 512.620.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New Waiver for Providers and Suppliers of Cardiac Rehabilitation and Intensive Cardiac Rehabilitation Services Furnished to EPM Beneficiaries During an AMI or CABG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cardiac rehabilitation (CR) program, as defined in § 410.49(a)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means a physician-supervised program that furnishes physician prescribed exercise, cardiac risk factor modification, psychosocial assessment, and outcomes assessment. An intensive cardiac rehabilitation (ICR) program, as defined in § 410.49(a)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means a physician-supervised program that furnishes cardiac rehabilitation and has shown, in peer-reviewed published research, that it improves patients' cardiovascular disease through specific outcome measurements described in § 410.49(c).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provided under CR and ICR programs may be furnished to EPM beneficiaries during the proposed AMI and CABG episodes. We note that all EPM beneficiaries in an AMI or CABG episode would meet CMS's coverage criteria for CR and ICR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410.49(f) describes the limitations of coverage of cardiac rehabilitation programs. The coverage requirements of CR limits the number of cardiac rehabilitation program sessions to a maximum of 2 one-hour sessions per day for up to 36 sessions over a period up to 36 weeks with the option for an additional 36 sessions over an extended period of time if approved by the MAC under section 1862(a)(1)(A) of the Act. Intensive cardiac rehabilitation program sessions are limited to 72 one-hour sessions (as defined in section 1848(b)(5) of the Act), up to 6 sessions per day, over a period of up to 18 weeks. In section VI. of this final rule, we are making a payment adjustment under the AMI and CABG models to account for and possibly incentivize the provision of CR and ICR services beyond what has historically been provided during AMI and CABG episodes. In addition, we believe that waiving certain CR/ICR program requirements may also increase the use of these beneficial services under the AMI and CABG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reviewed the following physician functions required under § 410.49 in furnishing CR/ICR services:</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Medical director--defined at § 410.49(a) as a physician that oversees or supervises the cardiac rehabilitation or intensive rehabilitation program at a particular site.</w:t>
      </w:r>
    </w:p>
    <w:p>
      <w:pPr>
        <w:keepNext w:val="0"/>
        <w:numPr>
          <w:numId w:val="6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Supervising physician--defined at § 410.49(a) as a physician that is immediately available and accessible for medical consultations and medical emergencies at all times items and services are being furnished to individuals under cardiac rehabilitation and intensive cardiac rehabilitation programs.</w:t>
      </w:r>
    </w:p>
    <w:p>
      <w:pPr>
        <w:keepNext w:val="0"/>
        <w:numPr>
          <w:numId w:val="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Physician-prescribed exercise--defined at § 410.49(a) as aerobic exercise combined with other types of exercise (that is, strengthening, stretching) as determined to be appropriate for individual patients by a physician.</w:t>
      </w:r>
    </w:p>
    <w:p>
      <w:pPr>
        <w:keepNext w:val="0"/>
        <w:numPr>
          <w:numId w:val="6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Individualized treatment plan--defined at § 410.49(a) as a written plan tailored to each individual patient that, under § 410.49(b)(2)(v), must be established, reviewed, and signed by a physician every 30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 410.49(a), and § 1861(r)(1) of the Act, a physician is defined as a doctor of medicine or osteopathy. Section 410.49(b)(3) states that Medicare Part B pays for CR/ICR in a physician's office or in a hospital outpatient setting. All settings must have a physician immediately available and accessible for medical consultations and emergencies at all times when items and services are being furnished under the program. This </w:t>
      </w:r>
      <w:r>
        <w:rPr>
          <w:rFonts w:ascii="arial" w:eastAsia="arial" w:hAnsi="arial" w:cs="arial"/>
          <w:b/>
          <w:i w:val="0"/>
          <w:strike w:val="0"/>
          <w:noProof w:val="0"/>
          <w:color w:val="000000"/>
          <w:position w:val="0"/>
          <w:sz w:val="20"/>
          <w:u w:val="none"/>
          <w:vertAlign w:val="baseline"/>
        </w:rPr>
        <w:t> [*507] </w:t>
      </w:r>
      <w:r>
        <w:rPr>
          <w:rFonts w:ascii="arial" w:eastAsia="arial" w:hAnsi="arial" w:cs="arial"/>
          <w:b w:val="0"/>
          <w:i w:val="0"/>
          <w:strike w:val="0"/>
          <w:noProof w:val="0"/>
          <w:color w:val="000000"/>
          <w:position w:val="0"/>
          <w:sz w:val="20"/>
          <w:u w:val="none"/>
          <w:vertAlign w:val="baseline"/>
        </w:rPr>
        <w:t xml:space="preserve"> provision is satisfied if the physician meets the requirements for direct supervision for physician office services, at § 410.26 of this subpart; and for hospital outpatient services at § 410.27 of this subpart.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provide greater program flexibility that might increase the availability of CR and ICR services furnished to EPM beneficiaries in AMI and CABG episodes, we proposed to provide a waiver to the definition of a physician to include a nonphysician practitioner (defined for the purposes of this waiver as a physician assistant, nurse practitioner, or clinical nurse specialist as authorized under sections 1861(s)(2)(K)(i) and (ii) of the Act and defined in section 1861(aa)(5) of the Act, or in §§ 410.74, 410.75, and 410.76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Thus, this waiver will allow, in addition to a physician, a nonphysician practitioner to perform the functions of supervisory physician, prescribing exercise, and establishing, reviewing, and signing an individualized treatment plan for a provider or supplier of CR and ICR services furnished to an EPM beneficiary during an AMI or CABG episode. We do not believe a nonphysician practitioner is qualified to act in the capacity of a medical director. Thus, we proposed to specifically exclude the medical director function from this waiver. In addition, we proposed that all other definitions and requirements related to a physician or supervising physician under § 410.49 continue to apply. We proposed to codify this waiver at § 512.630.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an EPM beneficiary in an AMI or CABG episode, we proposed that this waiver will apply to any provider or supplier that furnishes CR and ICR services to that beneficiary. We anticipate monitoring outcomes of care for EPM beneficiaries that receive CR and ICR services under this waiver during an AMI or CABG episode. The monitoring may involve an analysis of all or a sample of claims, medical records, or other clinical data for AMI and CABG model beneficiaries and providers or suppliers of CR and ICR services. We solicited comments on approaches we may take to monitor this waiver to ensure this program flexibility does not have a negative effect on how beneficiaries receive CR and ICR services which then may affect the outcome of the EPM beneficiary's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reviewed other program requirements, such as waiving beneficiary cost-sharing, allowing home nursing visits/home monitoring, and allowing telehealth visits in the home under the AMI and CABG models. We did not find clinical data and literature that we believed sufficient to support propose any additional waivers to the CR/ICR program requirements in this final rule. We solicited comments on the proposed CR/ICR waiver to allow nonphysician practitioners to perform the aforementioned physician functions specified for the provision of CR/ICR services, as well as comments on possible other CR/ICR program requirement waivers.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appreciation and support for the proposed waiver, though a number of commenters stated that implementing this kind of regulatory flexibility for only a subset of CR/ICR patients that are AMI and CABG beneficiaries in the CR/ICR program would have limited impact on increasing the availability of CR/ICR services. The commenters observed that providers and suppliers of CR/ICR services still would have to comply with physician supervision requirements for patients other than AMI and CABG beneficiaries. As a result, the added flexibility will not occur in practice, limiting its intended effect. Thus, the commenters recommend implementation of a site-specific rather than a condition-specific physician supervision waiver which should be extended to all Medicare beneficiaries receiving CR/ICR services at designated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recommended that CMS consider applying this waiver to all CR and ICR programs, including those in the control groups, as it would benefit the entire Medicare patient population. Some of these commenters asserted that the effects of the waiver and the incentive payment will be confounded in the EPMs and CR incentive payment model as proposed, while extending the waiver to all CR/ICR programs would allow CMS to isolate the impact of the EPMs and CR incentive payment on model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interest in ensuring the availability of CR/ICR services for AMI and CABG model beneficiaries, including those beneficiaries who would also be in the CR incentive payment model. We proposed a waiver that would allow, in addition to a physician, a nonphysician practitioner to perform the functions of supervisory physician, prescribing exercise, and establishing, reviewing, and signing an individualized treatment plan for a provider or supplier of CR and ICR services furnished to an AMI or CABG beneficiary during an AMI or CABG episode. We appreciate that as proposed for AMI and CABG beneficiaries alone, the physician functions of prescribing exercise and establishing, reviewing, and signing an individualized treatment plan for a provider or supplier of CR and ICR services are individual beneficiary-specific actions. In other words, a nonphysician practitioner can prescribe the exercise and sign an individualized CR/ICR treatment plan for an AMI or CABG beneficiary as part of that beneficiary's care, with no relationship to the other Medicare beneficiaries not in the AMI or CABG model but receiving CR/ICR services for whom these two individual activities would continue to be required to be performed by a physician. Therefore, the waiver to allow a nonphysician practitioner to perform these two physician functions should be useful for AMI and CABG beneficiaries to facilitate timely referral and initiation of CR/ICR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that the third physician function that we proposed to waive, specifically that of physician supervision for CR/ICR services, to allow a nonphysician practitioner to supervise CR/ICR services for AMI and CABG beneficiaries is a different circumstance. Our understanding is that most CR/ICR programs operate during hours where multiple patients receive treatment in the CR/ICR program during the same period of time, all supervised by one physician while the beneficiaries' care is being furnished by clinical staff of the program. Therefore, it may be challenging for providers and suppliers of CR/ICR services to actually make meaningful use of the waiver of the physician supervision requirement for CR/ICR services furnished to AMI and CABG beneficiaries during operating hours of a CR/ICR program where other patients are also being seen who still require physician supervision.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commenters pointed out, we also appreciate that providing a site-specific waiver of physician supervision for CR/ICR services to allow a nonphysician practitioner to supervise these services in a CR/ICR program at that site could provide more meaningful flexibilities that could expand the availability of CR/ICR services for AMI and CABG beneficiaries, consistent with our rationale for proposing this waiver. However, while some commenters arguing in favor of CR/ICR site-specific waivers of the physician supervision function, rather than the proposed limitation of the waiver only to AMI and CABG beneficiaries, recommended that we provide the waiver for CR/ICR services at specific institutions, AMI and CABG beneficiaries have complete freedom of choice to obtain care from </w:t>
      </w:r>
      <w:r>
        <w:rPr>
          <w:rFonts w:ascii="arial" w:eastAsia="arial" w:hAnsi="arial" w:cs="arial"/>
          <w:b/>
          <w:i w:val="0"/>
          <w:strike w:val="0"/>
          <w:noProof w:val="0"/>
          <w:color w:val="000000"/>
          <w:position w:val="0"/>
          <w:sz w:val="20"/>
          <w:u w:val="none"/>
          <w:vertAlign w:val="baseline"/>
        </w:rPr>
        <w:t> [*508] </w:t>
      </w:r>
      <w:r>
        <w:rPr>
          <w:rFonts w:ascii="arial" w:eastAsia="arial" w:hAnsi="arial" w:cs="arial"/>
          <w:b w:val="0"/>
          <w:i w:val="0"/>
          <w:strike w:val="0"/>
          <w:noProof w:val="0"/>
          <w:color w:val="000000"/>
          <w:position w:val="0"/>
          <w:sz w:val="20"/>
          <w:u w:val="none"/>
          <w:vertAlign w:val="baseline"/>
        </w:rPr>
        <w:t xml:space="preserve"> any provider or supplier throughout AMI and CABG episodes, as discussed in section III.G.2. of this final rule. Therefore, we are not confident that we could identify specific institutions for a site-specific CR/ICR physician supervision waiver and still preserve AMI and CABG beneficiary freedom of choice of providers and suppliers, if certain institutions were afforded the opportunity under the AMI and CABG models to furnish CR/ICR services with more flexibility to AMI and CABG beneficiaries and others were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possibility we considered in response to commenters' concerns was providing the waiver of physician supervision to any CR/ICR site where an AMI or CABG beneficiary was being treated, an approach that would provide the same flexibilities regarding CR/ICR services to any CR/ICR provider or supplier chosen by the AMI or CABG beneficiary, thereby not interfering with beneficiary freedom of choice. However, this latter scenario would greatly expand the CR/ICR physician supervision waiver by potentially applying it to the CR/ICR services furnished to a large number of Medicare beneficiaries who are not in the AMI or CABG model just because they are being treated in the same CR/ICR program as even a single AMI or CABG beneficiary. While some commenters urged us to apply the proposed CR/ICR physician supervision waiver to all CR/ICR programs, including those in the AMI and CABG model control groups, based on their rationale that it would benefit the entire Medicare patient population, we may only provide waivers that are necessary to test the AMI and CABG models with regard to the cost and quality of care for AMI and CABG beneficiaries, not those that we believe would benefit all Medicare beneficiaries. Therefore, we do not believe such an expansion is necessary to test the AMI and CABG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continue to believe that the proposed waiver that would allow, in addition to a physician, a nonphysician practitioner to perform the functions of supervisory physician, prescribing exercise, and establishing, reviewing, and signing an individualized treatment plan for a provider or supplier of CR and ICR services furnished to an AMI or CABG beneficiary during an AMI or CABG episode is a waiver that is necessary to test the AMI and CABG models. At this time, we will not modify the proposed waiver to expand the waiver of the CR/ICR physician supervision requirement to any beneficiaries that are not in AMI or CABG episodes. We will continue to seek input from AMI and CABG model participants, including those who are also EPM-CR participants, throughout implementation of the models and may consider making future proposals if we observe that limited availability of CR/ICR services is affecting beneficiaries' access to CR/ICR services under the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their support for a current legislative bill that would expand access to cardiac rehabilitation by allowing physicians assistants, nurse practitioners and clinical nurse specialists to supervise cardiac, intensive cardiac and pulmonary rehabilitation programs. The commenters requested that CMS provide Congress with data from the AMI and CABG models that support the value of cardiac rehabilitation.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Upon receiving a specific request from Congress, the Secretary will provide the necessary technical assistance.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sought clarification whether the proposed waiver would allow nonphysician practitioners to independently refer, that is, sign the order for CR/ICR services, per state scope of practice laws, therefore directly addressing the delay between hospital discharge, referral, and enrollment into CR/ICR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waiver of physician definition for prescribing exercise would allow nonphysician practitioners to independently sign the order for CR/ICR services, subject to state scope of practice laws.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recommended that CMS extend the waiver to allow qualified nonphysician practitioners to perform the functions of a Medical Director for a provider or supplier of CR or ICR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believe that extending the waiver to cover the functions of the Medical Director is medically appropriate for testing the AMI and CABG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provide a waiver to the definition of a physician to include a nonphysician practitioner (defined for the purposes of this waiver as a physician assistant, nurse practitioner, or clinical nurse specialist as authorized under sections 1861(s)(2)(K)(i) and (ii) of the Act and defined in section 1861(aa)(5) of the Act, or in §§ 410.74, 410.75, and 410.76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Thus, this waiver will allow, in addition to a physician, a nonphysician practitioner to perform the functions of supervisory physician, prescribing exercise, and establishing, reviewing, and signing an individualized treatment plan for a provider or supplier of CR and ICR services furnished to an EPM beneficiary during an AMI or CABG episode. The waiver of physician definition for furnishing cardiac rehabilitation and intensive cardiac rehabilitation services to an EPM beneficiary is set forth at § 512.630.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Data 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Overview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 III.D.2. </w:t>
      </w:r>
      <w:hyperlink r:id="rId9" w:history="1">
        <w:r>
          <w:rPr>
            <w:rFonts w:ascii="arial" w:eastAsia="arial" w:hAnsi="arial" w:cs="arial"/>
            <w:b w:val="0"/>
            <w:i/>
            <w:strike w:val="0"/>
            <w:noProof w:val="0"/>
            <w:color w:val="0077CC"/>
            <w:position w:val="0"/>
            <w:sz w:val="20"/>
            <w:u w:val="single"/>
            <w:vertAlign w:val="baseline"/>
          </w:rPr>
          <w:t>(81 FR 50843</w:t>
        </w:r>
      </w:hyperlink>
      <w:r>
        <w:rPr>
          <w:rFonts w:ascii="arial" w:eastAsia="arial" w:hAnsi="arial" w:cs="arial"/>
          <w:b w:val="0"/>
          <w:i w:val="0"/>
          <w:strike w:val="0"/>
          <w:noProof w:val="0"/>
          <w:color w:val="000000"/>
          <w:position w:val="0"/>
          <w:sz w:val="20"/>
          <w:u w:val="none"/>
          <w:vertAlign w:val="baseline"/>
        </w:rPr>
        <w:t xml:space="preserve"> through 50845) of the proposed rule, we proposed models similar to the CJR model, to financially incentivize EPM participants to engage in care redesign efforts to improve quality of care and reduce spending for the aggregate Part A and B FFS spending for beneficiaries included in the models during the inpatient hospitalization and 90 days post-discharge. Consistent with the CJR model, we proposed retrospective bundled payment models that would provide financial incentives for EPM participants to work with other health care providers and suppliers to improve the quality and efficiency of care for Medicare beneficiaries by paying EPM participants or holding them responsible for repaying Medicare based on EPM participants' performance with respect to the quality and spending for AMI, CABG, and SHFFT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CJR model, we have experience with a range of efforts designed to improve care coordination for Medicare beneficiaries through financial incentives similar to those proposed, including the Shared Savings Program, the Pioneer ACO model and the BPCI initiative, all of which make certain data available to participants to better enable them to achieve their goals. For example, participants in the Shared Savings Program initially receive aggregate information on their historical financial performance as well as quarterly data throughout their tenure in the program. In addition, Shared Savings ACOs receive certain beneficiary-identifiable claims information in accordance with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noted in the June 9, 2015 Medicare Shared Savings Program final rule </w:t>
      </w:r>
      <w:hyperlink r:id="rId117" w:history="1">
        <w:r>
          <w:rPr>
            <w:rFonts w:ascii="arial" w:eastAsia="arial" w:hAnsi="arial" w:cs="arial"/>
            <w:b w:val="0"/>
            <w:i/>
            <w:strike w:val="0"/>
            <w:noProof w:val="0"/>
            <w:color w:val="0077CC"/>
            <w:position w:val="0"/>
            <w:sz w:val="20"/>
            <w:u w:val="single"/>
            <w:vertAlign w:val="baseline"/>
          </w:rPr>
          <w:t>(80 FR 32733),</w:t>
        </w:r>
      </w:hyperlink>
      <w:r>
        <w:rPr>
          <w:rFonts w:ascii="arial" w:eastAsia="arial" w:hAnsi="arial" w:cs="arial"/>
          <w:b w:val="0"/>
          <w:i w:val="0"/>
          <w:strike w:val="0"/>
          <w:noProof w:val="0"/>
          <w:color w:val="000000"/>
          <w:position w:val="0"/>
          <w:sz w:val="20"/>
          <w:u w:val="none"/>
          <w:vertAlign w:val="baseline"/>
        </w:rPr>
        <w:t xml:space="preserve"> ACOs participating in the Shared Savings Program have reported that the beneficiary-identifiable claims data that they receive from CMS are being used effectively to better understand the FFS beneficiaries that are receiving services from their providers. As stated in that rule, these data give ACOs valuable insight into patterns of care for their beneficiary population and enable them to improve </w:t>
      </w:r>
      <w:r>
        <w:rPr>
          <w:rFonts w:ascii="arial" w:eastAsia="arial" w:hAnsi="arial" w:cs="arial"/>
          <w:b/>
          <w:i w:val="0"/>
          <w:strike w:val="0"/>
          <w:noProof w:val="0"/>
          <w:color w:val="000000"/>
          <w:position w:val="0"/>
          <w:sz w:val="20"/>
          <w:u w:val="none"/>
          <w:vertAlign w:val="baseline"/>
        </w:rPr>
        <w:t> [*509] </w:t>
      </w:r>
      <w:r>
        <w:rPr>
          <w:rFonts w:ascii="arial" w:eastAsia="arial" w:hAnsi="arial" w:cs="arial"/>
          <w:b w:val="0"/>
          <w:i w:val="0"/>
          <w:strike w:val="0"/>
          <w:noProof w:val="0"/>
          <w:color w:val="000000"/>
          <w:position w:val="0"/>
          <w:sz w:val="20"/>
          <w:u w:val="none"/>
          <w:vertAlign w:val="baseline"/>
        </w:rPr>
        <w:t xml:space="preserve"> care coordination among and across providers and suppliers and sites of care. Similarly, participants in the Pioneer ACO model were given the ability to request historical claims data of beneficiaries aligned with the particular Pioneer ACO entity. (For more information see the CMS Web site </w:t>
      </w:r>
      <w:hyperlink r:id="rId118" w:history="1">
        <w:r>
          <w:rPr>
            <w:rFonts w:ascii="arial" w:eastAsia="arial" w:hAnsi="arial" w:cs="arial"/>
            <w:b w:val="0"/>
            <w:i/>
            <w:strike w:val="0"/>
            <w:noProof w:val="0"/>
            <w:color w:val="0077CC"/>
            <w:position w:val="0"/>
            <w:sz w:val="20"/>
            <w:u w:val="single"/>
            <w:vertAlign w:val="baseline"/>
          </w:rPr>
          <w:t>http://innovation.cms.gov/Files/fact-sheet/Pioneer-ACO-Model-Beneficiaries-Rights-Fact-Sheet.pdf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provide BPCI participants with the opportunity to request beneficiary claims data regarding their own patients, both for the historical period used to set baseline prices for entities participating in BPCI as well as ongoing monthly claims feeds containing Medicare FFS claims for beneficiaries that could have initiated an episode of care for that particular BPCI participant. These monthly claims feeds provide BPCI participants with data for both acute and post-acute care spending for beneficiaries that could have initiated an episode of care at that BPCI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experience with these efforts, we believe that making certain data available to EPM participants can have a salutary effect on their performance and is necessary for them to, among other things, adequately structure their care pathways, coordinate care for beneficiaries, make practice changes supported under the models, identify services furnished to beneficiaries receiving services under the models, and estimate spending across provider types within EPM episodes. Further, we believe that providing EPM participants with certain claims and summary information on beneficiaries in accordance with applicable privacy and security laws and established privacy and security protections would improve their ability to monitor their performance and understand the totality of care provided during an episode of care. With this greater awareness and understanding, we anticipate that EPM participants would be better equipped to evaluate and modify their practice patterns and actively manage care delivery so that care for beneficiaries is better coordinated, quality and efficiency are improved, and payments are aligned more appropriately to the medically necessary services beneficiaries have a right to receive.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in the proposed rule, we proposed to provide EPM participants in the proposed AMI, CABG, and SHFFT models with beneficiary-level claims data for the historical period used to calculate their episode benchmark and quality-adjusted target prices as well as with ongoing quarterly beneficiary-identifiable claims data in response to their request for such data in accordance with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(81 FR 50944</w:t>
        </w:r>
      </w:hyperlink>
      <w:r>
        <w:rPr>
          <w:rFonts w:ascii="arial" w:eastAsia="arial" w:hAnsi="arial" w:cs="arial"/>
          <w:b w:val="0"/>
          <w:i w:val="0"/>
          <w:strike w:val="0"/>
          <w:noProof w:val="0"/>
          <w:color w:val="000000"/>
          <w:position w:val="0"/>
          <w:sz w:val="20"/>
          <w:u w:val="none"/>
          <w:vertAlign w:val="baseline"/>
        </w:rPr>
        <w:t xml:space="preserve"> through 50946). Given that we also proposed to incorporate regional pricing in the calculation of benchmark and quality-adjusted target prices, we also proposed to provide EPM participants with aggregate regional data </w:t>
      </w:r>
      <w:hyperlink r:id="rId9" w:history="1">
        <w:r>
          <w:rPr>
            <w:rFonts w:ascii="arial" w:eastAsia="arial" w:hAnsi="arial" w:cs="arial"/>
            <w:b w:val="0"/>
            <w:i/>
            <w:strike w:val="0"/>
            <w:noProof w:val="0"/>
            <w:color w:val="0077CC"/>
            <w:position w:val="0"/>
            <w:sz w:val="20"/>
            <w:u w:val="single"/>
            <w:vertAlign w:val="baseline"/>
          </w:rPr>
          <w:t>(81 FR 50945).</w:t>
        </w:r>
      </w:hyperlink>
      <w:r>
        <w:rPr>
          <w:rFonts w:ascii="arial" w:eastAsia="arial" w:hAnsi="arial" w:cs="arial"/>
          <w:b w:val="0"/>
          <w:i w:val="0"/>
          <w:strike w:val="0"/>
          <w:noProof w:val="0"/>
          <w:color w:val="000000"/>
          <w:position w:val="0"/>
          <w:sz w:val="20"/>
          <w:u w:val="none"/>
          <w:vertAlign w:val="baseline"/>
        </w:rPr>
        <w:t xml:space="preserve"> Our proposal to make these data available to EPM participants was included in § 512.350. We note that, consistent with CJR, the EPM participant with which we would share data is the acute care hospital that is held accountable for spending during the episode of care. We believe our proposal to share data as we do under the CJR model would be the most effective approach under the proposed AMI, CABG, and SHFFT models, and that proposing different processes for these models would increase administrative complexity for CMS and model participants as well as create confusion, especially given that we proposed in section III.B.1. of the proposed rule </w:t>
      </w:r>
      <w:hyperlink r:id="rId9" w:history="1">
        <w:r>
          <w:rPr>
            <w:rFonts w:ascii="arial" w:eastAsia="arial" w:hAnsi="arial" w:cs="arial"/>
            <w:b w:val="0"/>
            <w:i/>
            <w:strike w:val="0"/>
            <w:noProof w:val="0"/>
            <w:color w:val="0077CC"/>
            <w:position w:val="0"/>
            <w:sz w:val="20"/>
            <w:u w:val="single"/>
            <w:vertAlign w:val="baseline"/>
          </w:rPr>
          <w:t>(81 FR 50813)</w:t>
        </w:r>
      </w:hyperlink>
      <w:r>
        <w:rPr>
          <w:rFonts w:ascii="arial" w:eastAsia="arial" w:hAnsi="arial" w:cs="arial"/>
          <w:b w:val="0"/>
          <w:i w:val="0"/>
          <w:strike w:val="0"/>
          <w:noProof w:val="0"/>
          <w:color w:val="000000"/>
          <w:position w:val="0"/>
          <w:sz w:val="20"/>
          <w:u w:val="none"/>
          <w:vertAlign w:val="baseline"/>
        </w:rPr>
        <w:t xml:space="preserve"> that some of the hospitals participating in CJR would also participate in the proposed EPMs. We requested comments on these proposals, particularly regarding possible ways, if any, to further align our proposed policies with those finalized under the CJR model, as well as any appropriate bases for treating these models differently.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requested that CMS explicitly encourage the use of health IT to allow clinicians to communicate across settings of care. A commenter further suggested that CMS encourage post-acute care adoption of health information technology through incentives. The commenter stated that to date, there has not been a focus on post-acute care health information technology adoption or any standardization of data sharing platforms for clinical, financial or patient experience data between acute and post-acute care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do not explicitly require the use of health information exchange mechanisms in this final rule for all proposed EPM tracks, we do encourage EPM participants to collaborate with their post-acute care providers in their care redesign and to the extent that health information technology (health IT) is useful to that end we would encourage its use. Providing incentives for such use is beyond the scope of this final rule but in the evaluation of the EPMs we will certainly look to see the impact that health IT has on care coordination to the extent that participants use health IT to communicate with their preferred post-acute care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Beneficiary Claims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stated in the proposed rule, based on our experience with BPCI and CJR participants, we recognize that EPM participants could vary with respect to the kinds of beneficiary claims information that would be most helpful. For example, we believe that while many EPM participants might have the ability to analyze raw claims data, other EPM participants could find it more useful to have a summary of these data. Given this, we proposed to make beneficiary claims information for AMI, CABG, and SHFFT episodes available through two formats both for the baseline period and on an ongoing basis during their participation in the model as we do for CJR </w:t>
      </w:r>
      <w:hyperlink r:id="rId9" w:history="1">
        <w:r>
          <w:rPr>
            <w:rFonts w:ascii="arial" w:eastAsia="arial" w:hAnsi="arial" w:cs="arial"/>
            <w:b w:val="0"/>
            <w:i/>
            <w:strike w:val="0"/>
            <w:noProof w:val="0"/>
            <w:color w:val="0077CC"/>
            <w:position w:val="0"/>
            <w:sz w:val="20"/>
            <w:u w:val="single"/>
            <w:vertAlign w:val="baseline"/>
          </w:rPr>
          <w:t>(81 FR 50944-50945).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for EPM participants that lack the capacity to analyze raw claims data, we proposed to provide summary beneficiary claims data reports on beneficiaries' use of health care services during the baseline and performance periods upon request and in accordance with applicable privacy and security laws and established privacy and security protections. Such summary reports would provide tools to monitor, understand, and manage utilization and expenditure patterns as well as to develop, target, and implement quality improvement programs and initiatives. For example, if the data provided by CMS to a particular EPM participant reflected that, relative to their peers, a certain provider was associated with significantly higher rates of inpatient readmissions than the rates experienced by other beneficiaries with similar care needs, that may be evidence that the EPM participant could consider, among other things, the appropriateness of that provider, whether other alternatives might be more appropriate, and whether there exist certain care interventions that could be incorporated post-discharge to lower readmission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reports would allow EPM participants to assess summary data on their relevant beneficiary population without requiring a more complicated analysis of raw claims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for both the baseline period and on a quarterly basis during an EPM participant's performance period, we proposed to provide EPM participants with an opportunity to request summary claims data that would encompass the total expenditures and claims for episodes under the proposed AMI, CABG, and SHFFT models in which they are participating, including the procedure, inpatient stay, and all related </w:t>
      </w:r>
      <w:r>
        <w:rPr>
          <w:rFonts w:ascii="arial" w:eastAsia="arial" w:hAnsi="arial" w:cs="arial"/>
          <w:b/>
          <w:i w:val="0"/>
          <w:strike w:val="0"/>
          <w:noProof w:val="0"/>
          <w:color w:val="000000"/>
          <w:position w:val="0"/>
          <w:sz w:val="20"/>
          <w:u w:val="none"/>
          <w:vertAlign w:val="baseline"/>
        </w:rPr>
        <w:t> [*510] </w:t>
      </w:r>
      <w:r>
        <w:rPr>
          <w:rFonts w:ascii="arial" w:eastAsia="arial" w:hAnsi="arial" w:cs="arial"/>
          <w:b w:val="0"/>
          <w:i w:val="0"/>
          <w:strike w:val="0"/>
          <w:noProof w:val="0"/>
          <w:color w:val="000000"/>
          <w:position w:val="0"/>
          <w:sz w:val="20"/>
          <w:u w:val="none"/>
          <w:vertAlign w:val="baseline"/>
        </w:rPr>
        <w:t xml:space="preserve"> care covered under Medicare Parts A and B within the 90 days after discharge, including hospital care, post-acute care, and physician services for the EPM participant's beneficiaries with an anchor diagnosis at discharge that is included under one of the proposed AMI, CABG, or SHFFT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proposed that these summary claims data reports, at a minimum, would also contain payment information, based upon the following categories for each episode initiated under the models:</w:t>
      </w:r>
    </w:p>
    <w:p>
      <w:pPr>
        <w:keepNext w:val="0"/>
        <w:numPr>
          <w:numId w:val="6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Outpatient.</w:t>
      </w:r>
    </w:p>
    <w:p>
      <w:pPr>
        <w:keepNext w:val="0"/>
        <w:numPr>
          <w:numId w:val="6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Skilled Nursing Facility.</w:t>
      </w:r>
    </w:p>
    <w:p>
      <w:pPr>
        <w:keepNext w:val="0"/>
        <w:numPr>
          <w:numId w:val="6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Home Health.</w:t>
      </w:r>
    </w:p>
    <w:p>
      <w:pPr>
        <w:keepNext w:val="0"/>
        <w:numPr>
          <w:numId w:val="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Hospice.</w:t>
      </w:r>
    </w:p>
    <w:p>
      <w:pPr>
        <w:keepNext w:val="0"/>
        <w:numPr>
          <w:numId w:val="6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Carrier/Part-B.</w:t>
      </w:r>
    </w:p>
    <w:p>
      <w:pPr>
        <w:keepNext w:val="0"/>
        <w:numPr>
          <w:numId w:val="6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Durable Medical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files would provide summary spending data such as episode counts, total average spending for each episode, and a breakdown of the episode counts and spending averages by each of the most common categories listed previously (for example, Inpatient, Outpatient, etc.). These reports should allow participants to assess summary data on their relevant beneficiary population without requiring analysis of raw claims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Alternatively, for EPM participants with the capacity to analyze raw claims data, we proposed to make more detailed beneficiary-level information available upon request and in accordance with applicable privacy and security laws and established privacy and security protections. These files would be much more detailed and include all beneficiary-level raw claims for all of the categories listed for each episode payment model episode. In addition, they would include episode summaries, indicators for excluded episodes, diagnosis and procedure codes, and enrollment and dual eligibility information for beneficiaries that initiate AMI, CABG, and SHFFT episodes. Through analysis, these detailed claims data would provide EPM participants with information to improve their ability to coordinate and target care strategies, as well as information to monitor, understand, and manage utilization and expenditure patterns. Such data would also aid them in developing, targeting, and implementing quality improvement programs and initiatives. We proposed that the data files would be packaged and sent to a data portal (to which the EPM participants must request and be granted access) in a "flat" or binary format for the EPM participant to retrieve. We would also note that, for both the summary and more detailed claims data, information that is subject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confidentiality of alcohol and drug abuse patient records (42 CFR part 2) would be excluded from the data shared with an EPM participant. Our proposal to make available to EPM participants, through the most appropriate means, data that CMS determines may be useful to EPM participants to determine appropriate ways to increase the coordination of care, improve quality, enhance efficiencies in the delivery system, and otherwise achieve the goals of the proposed episode payment models was included in § 512.350. Further, CMS would make beneficiary-identifiable data available to an EPM participant in accordance with applicable privacy and security laws and only in response to the EPM participant's request for such data for a beneficiary who has been furnished a billable service by the participant corresponding to the episode definitions for AMI, CABG, and SHFFT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requested comments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overwhelmingly supported our proposal to make data, in the form of raw claims and summary format, available upon request. Multiple commenters stated that meaningful and accurate data is a necessity for success under the CJR model and will be critical to success under the proposed EPMs. However, some commenters had suggestions on how to improve the data that we proposed to provide based on their experiences with other CMS models such as CJR and BPCI. These commenters stated that they have heard from multiple BPCI and CJR participants that there is a need for more sophisticated data in order to better understand performance and opportunities for improvement. They also stated that the data shared to date in CJR is resource-intensive to interpret and is not always actionable and that improved claims data quality would help EPM participants. Another commenter agreed that CMS should improve the quality of reports it provides hospitals. They noted that many hospitals do not have the capability to manipulate claims level data in house nor can they afford to purchase that capability. The commenters stated that CMS has clearly indicated it is moving toward longitudinal payment models and that CMS contractors therefore need to develop standardized reporting capabilities (and reports) that will fully support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Based on our experience on other CMS models like BPCI and CJR and feedback we have received through learning events, affinity groups, and collaboration site discussion boards, we generally believe we have proposed to make available the relevant data needed to succeed in the EPMs. However, we will take these comments into consideration when creating the data feeds for the new models. We will also work with our contractors to standardize, refine, and improve the data we disseminate to better inform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Multiple commenters stressed the importance of data reliability and accuracy. A few commenters currently participating in CJR stated that the data files they receive are unwieldy to work with, contain errors, and are not delivered in a timely manner, further delaying analysis and results calculation. Another commenter stated that some of the files were difficult for some smaller hospitals to analyze and that the hospitals that could analyze the data found the data to be incomplete in many cases and inconsistent with the hospital's own data. A commenter further suggested that for the EPMs, CMS should institute and enforce service level agreements (SLA) with its contractors that dictate acceptable time frames in which to provide EPM participants with accurate, complete data files. In addition, they suggested that CMS needs to create an EPM ombudsman who will serve as the conduit for complaints from providers regarding data and that the ombudsman should be responsible for determining whether the contractor is in violation of the SLA and subject to penalty.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need for accurate, complete, and timely data and intend, to the extent feasible and appropriate, to build quality assurance tasks into the statement(s) of work for the payment contractor(s) we engage to perform the payment analysis, reporting and data file preparation. We will also work to enhance the underlying IT structure and systems to assist in resolving file load and transfer times. We will work with our contractors to ensure they are delivering accurate and complete data in a timely manner according to the terms of their contracts and to ensure that they have quality assurance protocols in place to run on the data in advance of the file releases. Likewise, consistent with the terms of their contracts, we will take appropriate corrective actions with contractors where performance falls short of expectations. While the models have not yet been implemented, we have no </w:t>
      </w:r>
      <w:r>
        <w:rPr>
          <w:rFonts w:ascii="arial" w:eastAsia="arial" w:hAnsi="arial" w:cs="arial"/>
          <w:b/>
          <w:i w:val="0"/>
          <w:strike w:val="0"/>
          <w:noProof w:val="0"/>
          <w:color w:val="000000"/>
          <w:position w:val="0"/>
          <w:sz w:val="20"/>
          <w:u w:val="none"/>
          <w:vertAlign w:val="baseline"/>
        </w:rPr>
        <w:t> [*511] </w:t>
      </w:r>
      <w:r>
        <w:rPr>
          <w:rFonts w:ascii="arial" w:eastAsia="arial" w:hAnsi="arial" w:cs="arial"/>
          <w:b w:val="0"/>
          <w:i w:val="0"/>
          <w:strike w:val="0"/>
          <w:noProof w:val="0"/>
          <w:color w:val="000000"/>
          <w:position w:val="0"/>
          <w:sz w:val="20"/>
          <w:u w:val="none"/>
          <w:vertAlign w:val="baseline"/>
        </w:rPr>
        <w:t xml:space="preserve"> reason to expect that contractor performance should fall short of expectations and thus do not anticipate a need for a special ombudsman to address data complaints and assess penalties. We will establish an open communication system with EPM participants so that they can immediately bring any issues surrounding file or data quality to our attention so that we can investigate and resolve problems quickly should they arise.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Another commenter encouraged CMS to use master data management technology to ensure correct patient-provider alignment across programs to ensure quality, timeliness, and proper assigning of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this comment and will explore options for incorporating this technology with our contractors.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requested that CMS consider adding hierarchical condition category (HCC) risk scores to the data files, citing that they may help EPM participants identify outliers and patients requiring more intense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At this time, we do not plan to add HCC risk scores to the data files we will provide because we do not believe they are necessary data elements for EPM participants to conduct day-to-day operations in the EPMs given the current structure of the EPM models and payment calculations. Therefore, those data elements would not meet the HIPAA Privacy Rule's "minimum necessary" standard, which applies to "health care operations" disclosures.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who stated that they are a current CJR participant, noted the difficulties in mining the data they received to exclude BPCI episodes and other cancelled episodes. They added that participants need to ensure they are identifying every patient whose care is included in the bundle and to confirm those patients were moved into cost-effective care coordination pathways.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this comment and we plan to explore adding indicators to the beneficiary-identifiable claims data supplied to EPM participants that will provide information about circumstances that could result in EPM episode cancellation, such as admission of a beneficiary to a hospital that initiates episodes under BPCI for care that could potentially cancel an EPM episode. To the extent that adding such indicators to the claims data is feasible, providing this information through the claims data to EPM participants would ensure that EPM participants are informed as frequently as quarterly about circumstances that could result in EPM episode cancellation. We also note that at reconciliation, complete information would be provided to EPM participants about those episodes that were ultimately included in the participant's reconciliation report as discussed in section III.D.5. of this final rule. Additional discussion on this can be found in sections III.C.4. (EPM Episodes) and III.D.6. (Adjustments for Overlaps)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some comments expressing concerns with the logistics of receiving EPM data from some participants with past experience in CJR. A few of these commenters recommended that CMS ensure appropriate processes are in place for the proposed EPMs to ensure that providers will actually be able to access data when needed. Another commenter also provided some specific examples of improvements that could be made to the data delivery process to improve efficiency for users that may work with multiple EPM hospitals and models. Some examples include a mechanism to download multiple sets of files simultaneously, delivering the data through a secure FTP site, and providing accurate file layouts before data is released. In addition, they requested specific points of contact for hospital systems participating in EPM for issues related to data dissemination.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these comments and will take them into consideration when developing the data dissemination process and creating the data portal for the EPMs. We will provide EPM participants with specific points of contact for data issues at the time they register for their portal account access.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also expressed that they are sensitive to the increasing volume of requests that CMS is likely experiencing in parallel with expanding care and payment redesign models, and they encouraged CMS to carefully consider how potential backlogs and delays in data availability may impact the target implementation date.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this comment and understand this concern. We realize that timely access to data prior to model implementation is important to model participants and will work with our contractors and other CMS components to disseminate data as soon as feasible once the final rule is published.</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cited CMS' interpretation of Section 105(b) of MACRA (</w:t>
      </w:r>
      <w:r>
        <w:rPr>
          <w:rFonts w:ascii="arial" w:eastAsia="arial" w:hAnsi="arial" w:cs="arial"/>
          <w:b w:val="0"/>
          <w:i/>
          <w:strike w:val="0"/>
          <w:noProof w:val="0"/>
          <w:color w:val="000000"/>
          <w:position w:val="0"/>
          <w:sz w:val="20"/>
          <w:u w:val="none"/>
          <w:vertAlign w:val="baseline"/>
        </w:rPr>
        <w:t>Pub. L. 114-10</w:t>
      </w:r>
      <w:r>
        <w:rPr>
          <w:rFonts w:ascii="arial" w:eastAsia="arial" w:hAnsi="arial" w:cs="arial"/>
          <w:b w:val="0"/>
          <w:i w:val="0"/>
          <w:strike w:val="0"/>
          <w:noProof w:val="0"/>
          <w:color w:val="000000"/>
          <w:position w:val="0"/>
          <w:sz w:val="20"/>
          <w:u w:val="none"/>
          <w:vertAlign w:val="baseline"/>
        </w:rPr>
        <w:t xml:space="preserve">--see </w:t>
      </w:r>
      <w:hyperlink r:id="rId119" w:history="1">
        <w:r>
          <w:rPr>
            <w:rFonts w:ascii="arial" w:eastAsia="arial" w:hAnsi="arial" w:cs="arial"/>
            <w:b w:val="0"/>
            <w:i/>
            <w:strike w:val="0"/>
            <w:noProof w:val="0"/>
            <w:color w:val="0077CC"/>
            <w:position w:val="0"/>
            <w:sz w:val="20"/>
            <w:u w:val="single"/>
            <w:vertAlign w:val="baseline"/>
          </w:rPr>
          <w:t>81 FR 44471</w:t>
        </w:r>
      </w:hyperlink>
      <w:r>
        <w:rPr>
          <w:rFonts w:ascii="arial" w:eastAsia="arial" w:hAnsi="arial" w:cs="arial"/>
          <w:b w:val="0"/>
          <w:i w:val="0"/>
          <w:strike w:val="0"/>
          <w:noProof w:val="0"/>
          <w:color w:val="000000"/>
          <w:position w:val="0"/>
          <w:sz w:val="20"/>
          <w:u w:val="none"/>
          <w:vertAlign w:val="baseline"/>
        </w:rPr>
        <w:t xml:space="preserve"> for CMS interpretation) and requested that CMS provide qualified clinical data registries (QCDRs) with access to Medicare data for purposes of linking such data with clinical outcomes data and performing scientifically valid analysis or research to support quality improvement or patient safety. In addition, they encouraged CMS to indicate "fact of death" by matching Medicare claims data with Social Security Death Masterfile (SSDMF) death data (or another source of vital statistics) before providing it to QCDRs.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these comments are outside the scope of this final rule, but we would encourage QCDRs to contact ResDAC for more information on requesting the files they desire at: </w:t>
      </w:r>
      <w:hyperlink r:id="rId120" w:history="1">
        <w:r>
          <w:rPr>
            <w:rFonts w:ascii="arial" w:eastAsia="arial" w:hAnsi="arial" w:cs="arial"/>
            <w:b w:val="0"/>
            <w:i/>
            <w:strike w:val="0"/>
            <w:noProof w:val="0"/>
            <w:color w:val="0077CC"/>
            <w:position w:val="0"/>
            <w:sz w:val="20"/>
            <w:u w:val="single"/>
            <w:vertAlign w:val="baseline"/>
          </w:rPr>
          <w:t>http://www.resdac.org/cms-data/request/cms-data-request-center</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also remarked on CMS' proposal to exclude individually identifiable data related to substance abuse from claims files as it currently does in other programs. Commenters noted that this information is key for hospitals to understand the full risk associated with patients and identify appropriate care management. Some comments suggested that CMS should provide cost and claim data for these services since hospitals will be forced to bear risk for these patients. A few commenters also requested that CMS provide the de-identified cost and claims data for these services and stated that if this is not possible CMS should, at a minimum, provide the aggregate payment amount for these services. Another commenter encouraged the Innovation Center to use its waiver authority to make beneficiary-specific claims-level substance abuse information available to hospitals. In addition, they recommended that CMS work with the Congress to create an exception to 42 CFR part 2 to provide beneficiary-specific claims level substance abuse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Section 1115A of the Act does not authorize the waiver of the requirements under 42 CFR part 2. Moreover, our proposal to exclude this information is consistent with our treatment of these data in other similar CMS programs and models where providers must take on risk in managing the care of their beneficiaries, such as the Shared Savings Program and the BPCI initiative. We would note that, based on our experience to date, we are unaware of this policy being a significant impediment to the operations of these efforts. We also appreciate the suggestions to make these data available in a de-identified manner. We have considered this option and are not currently aware of a means to make de-identified beneficiary-specific data </w:t>
      </w:r>
      <w:r>
        <w:rPr>
          <w:rFonts w:ascii="arial" w:eastAsia="arial" w:hAnsi="arial" w:cs="arial"/>
          <w:b/>
          <w:i w:val="0"/>
          <w:strike w:val="0"/>
          <w:noProof w:val="0"/>
          <w:color w:val="000000"/>
          <w:position w:val="0"/>
          <w:sz w:val="20"/>
          <w:u w:val="none"/>
          <w:vertAlign w:val="baseline"/>
        </w:rPr>
        <w:t> [*512] </w:t>
      </w:r>
      <w:r>
        <w:rPr>
          <w:rFonts w:ascii="arial" w:eastAsia="arial" w:hAnsi="arial" w:cs="arial"/>
          <w:b w:val="0"/>
          <w:i w:val="0"/>
          <w:strike w:val="0"/>
          <w:noProof w:val="0"/>
          <w:color w:val="000000"/>
          <w:position w:val="0"/>
          <w:sz w:val="20"/>
          <w:u w:val="none"/>
          <w:vertAlign w:val="baseline"/>
        </w:rPr>
        <w:t xml:space="preserve"> available in a way that would provide useful information to participating hospitals without potentially making it possible to identify beneficiaries. Similarly, we have also not identified a way in which to make meaningful aggregate data available on a limited basis without potentially compromising beneficiary confidentiality. However, we will continue to consider these comments and the feasibility of making such data available in a way that is both meaningful to participating hospitals and in compliance with 42 CFR part 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our proposals at § 512.350 (a) to make available to EPM participants, through the most appropriate means and in the manner described previously, summary and beneficiary-level claims data that CMS determines may be useful to EPM participants for purposes of the EPMs. We are also finalizing our proposal to exclude information that is subject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confidentiality of alcohol and drug abuse patient records (42 CFR part 2) from any summary or beneficiary-level claims data shared with an EPM participant. CMS will make beneficiary-identifiable data available to an EPM participant in accordance with applicable privacy and security laws and established privacy and security protections and only in response to the EPM participant's request for such data for a beneficiary who has been furnished a billable service by the participant corresponding to the episode definitions for AMI, CABG, and SHFFT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Aggregate Regional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section III.D.4.b.(6) </w:t>
      </w:r>
      <w:hyperlink r:id="rId9" w:history="1">
        <w:r>
          <w:rPr>
            <w:rFonts w:ascii="arial" w:eastAsia="arial" w:hAnsi="arial" w:cs="arial"/>
            <w:b w:val="0"/>
            <w:i/>
            <w:strike w:val="0"/>
            <w:noProof w:val="0"/>
            <w:color w:val="0077CC"/>
            <w:position w:val="0"/>
            <w:sz w:val="20"/>
            <w:u w:val="single"/>
            <w:vertAlign w:val="baseline"/>
          </w:rPr>
          <w:t>(81 FR 50855 and 50856)</w:t>
        </w:r>
      </w:hyperlink>
      <w:r>
        <w:rPr>
          <w:rFonts w:ascii="arial" w:eastAsia="arial" w:hAnsi="arial" w:cs="arial"/>
          <w:b w:val="0"/>
          <w:i w:val="0"/>
          <w:strike w:val="0"/>
          <w:noProof w:val="0"/>
          <w:color w:val="000000"/>
          <w:position w:val="0"/>
          <w:sz w:val="20"/>
          <w:u w:val="none"/>
          <w:vertAlign w:val="baseline"/>
        </w:rPr>
        <w:t xml:space="preserve"> of the proposed rule, we proposed to incorporate regional pricing data when establishing target prices for EPM participants as we do in the CJR model pricing methodology. As indicated in the CJR final rule </w:t>
      </w:r>
      <w:hyperlink r:id="rId21" w:history="1">
        <w:r>
          <w:rPr>
            <w:rFonts w:ascii="arial" w:eastAsia="arial" w:hAnsi="arial" w:cs="arial"/>
            <w:b w:val="0"/>
            <w:i/>
            <w:strike w:val="0"/>
            <w:noProof w:val="0"/>
            <w:color w:val="0077CC"/>
            <w:position w:val="0"/>
            <w:sz w:val="20"/>
            <w:u w:val="single"/>
            <w:vertAlign w:val="baseline"/>
          </w:rPr>
          <w:t>(80 FR 73510),</w:t>
        </w:r>
      </w:hyperlink>
      <w:r>
        <w:rPr>
          <w:rFonts w:ascii="arial" w:eastAsia="arial" w:hAnsi="arial" w:cs="arial"/>
          <w:b w:val="0"/>
          <w:i w:val="0"/>
          <w:strike w:val="0"/>
          <w:noProof w:val="0"/>
          <w:color w:val="000000"/>
          <w:position w:val="0"/>
          <w:sz w:val="20"/>
          <w:u w:val="none"/>
          <w:vertAlign w:val="baseline"/>
        </w:rPr>
        <w:t xml:space="preserve"> we finalized our proposal to share regional pricing data with CJR participants because it was a factor affecting target prices. Given the similarities between the CJR model and the proposed EPMs, particularly our proposal to incorporate regional pricing data when establishing target prices under the model, we proposed to provide aggregate expenditure data available for all claims associated with AMI, CABG, and SHFFT episodes for the U.S. Census Division in which the EPM participant is located, as we similarly provide to hospitals participating in the CJR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we proposed to provide EPM participants with aggregate data on the total expenditures during an acute inpatient stay and 90-day post-discharge period for all Medicare FFS beneficiaries who would have initiated an episode under our proposed episode definitions in section III.C. of the proposed rule </w:t>
      </w:r>
      <w:hyperlink r:id="rId9" w:history="1">
        <w:r>
          <w:rPr>
            <w:rFonts w:ascii="arial" w:eastAsia="arial" w:hAnsi="arial" w:cs="arial"/>
            <w:b w:val="0"/>
            <w:i/>
            <w:strike w:val="0"/>
            <w:noProof w:val="0"/>
            <w:color w:val="0077CC"/>
            <w:position w:val="0"/>
            <w:sz w:val="20"/>
            <w:u w:val="single"/>
            <w:vertAlign w:val="baseline"/>
          </w:rPr>
          <w:t>(81 FR 50829).</w:t>
        </w:r>
      </w:hyperlink>
      <w:r>
        <w:rPr>
          <w:rFonts w:ascii="arial" w:eastAsia="arial" w:hAnsi="arial" w:cs="arial"/>
          <w:b w:val="0"/>
          <w:i w:val="0"/>
          <w:strike w:val="0"/>
          <w:noProof w:val="0"/>
          <w:color w:val="000000"/>
          <w:position w:val="0"/>
          <w:sz w:val="20"/>
          <w:u w:val="none"/>
          <w:vertAlign w:val="baseline"/>
        </w:rPr>
        <w:t xml:space="preserve"> This data would be provided at the regional level; that is, we proposed that an EPM participant would receive, if requested from CMS, aggregate regional data for potential episode payment model AMI, CABG, and/or SHFFT episodes initiated in the U.S. Census Division where the EPM participant is located.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regional data would be in a format similar to the proposed summary claims data reports and would provide summary information on the average episode spending for AMI, CABG, and SHFFT episodes in the U.S. Census Division in which the EPM participant is located. We sought comments on our proposal to provide these data to EPM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Coment:</w:t>
      </w:r>
      <w:r>
        <w:rPr>
          <w:rFonts w:ascii="arial" w:eastAsia="arial" w:hAnsi="arial" w:cs="arial"/>
          <w:b w:val="0"/>
          <w:i w:val="0"/>
          <w:strike w:val="0"/>
          <w:noProof w:val="0"/>
          <w:color w:val="000000"/>
          <w:position w:val="0"/>
          <w:sz w:val="20"/>
          <w:u w:val="none"/>
          <w:vertAlign w:val="baseline"/>
        </w:rPr>
        <w:t xml:space="preserve"> We received comments supporting our proposal to provide the opportunity to request aggregate regional data that includes information about average episode spending. However, commenters also included several suggestions for how this data could be improved. A commenter stated that they believe this data can be made more actionable by including key utilization metrics such as--</w:t>
      </w:r>
    </w:p>
    <w:p>
      <w:pPr>
        <w:keepNext w:val="0"/>
        <w:numPr>
          <w:numId w:val="6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Percent of episodes with at least one readmission</w:t>
      </w:r>
    </w:p>
    <w:p>
      <w:pPr>
        <w:keepNext w:val="0"/>
        <w:numPr>
          <w:numId w:val="6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Percent of episodes that include skilled nursing facility (SNF) care</w:t>
      </w:r>
    </w:p>
    <w:p>
      <w:pPr>
        <w:keepNext w:val="0"/>
        <w:numPr>
          <w:numId w:val="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Percent of episodes that include home health care</w:t>
      </w:r>
    </w:p>
    <w:p>
      <w:pPr>
        <w:keepNext w:val="0"/>
        <w:numPr>
          <w:numId w:val="6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Percent of episodes that include an inpatient rehabilitation (IP rehab) stay</w:t>
      </w:r>
    </w:p>
    <w:p>
      <w:pPr>
        <w:keepNext w:val="0"/>
        <w:numPr>
          <w:numId w:val="6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Index hospitalization average length of stay (ALOS)</w:t>
      </w:r>
    </w:p>
    <w:p>
      <w:pPr>
        <w:keepNext w:val="0"/>
        <w:numPr>
          <w:numId w:val="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SNF ALOS for episodes that include SNF</w:t>
      </w:r>
    </w:p>
    <w:p>
      <w:pPr>
        <w:keepNext w:val="0"/>
        <w:numPr>
          <w:numId w:val="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IP rehab ALOS for episodes that include IP rehab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stated that these metrics would serve as benchmarks for EPM participants, and help identify opportunities for improvement and inform care intervention strategies.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supporting our proposal to provide the opportunity to request aggregate regional data. In addition, we will continually work to improve the data we provide to EPM participants and we will explore the feasibility of including the additional utilization metrics suggested by the commenter in the aggregate regional data files.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our proposal to provide EPM participants with aggregate data on the total expenditures during an acute inpatient stay and 90-day post-discharge period for all Medicare FFS beneficiaries for potential episode payment model AMI, CABG, and/or SHFFT episodes initiated in the U.S. Census Division where the EPM participant is located.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Timing and Period of Baseline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recognize that providing the ability to request certain baseline data will be important for EPM participants to be able to estimate episode spending, coordinate care, and identify areas for practice transformation, and that early release of this data can facilitate their efforts to do so. Also, as discussed in section III.D.4.b.(3) of the proposed rule </w:t>
      </w:r>
      <w:hyperlink r:id="rId9" w:history="1">
        <w:r>
          <w:rPr>
            <w:rFonts w:ascii="arial" w:eastAsia="arial" w:hAnsi="arial" w:cs="arial"/>
            <w:b w:val="0"/>
            <w:i/>
            <w:strike w:val="0"/>
            <w:noProof w:val="0"/>
            <w:color w:val="0077CC"/>
            <w:position w:val="0"/>
            <w:sz w:val="20"/>
            <w:u w:val="single"/>
            <w:vertAlign w:val="baseline"/>
          </w:rPr>
          <w:t>(81 FR 50854),</w:t>
        </w:r>
      </w:hyperlink>
      <w:r>
        <w:rPr>
          <w:rFonts w:ascii="arial" w:eastAsia="arial" w:hAnsi="arial" w:cs="arial"/>
          <w:b w:val="0"/>
          <w:i w:val="0"/>
          <w:strike w:val="0"/>
          <w:noProof w:val="0"/>
          <w:color w:val="000000"/>
          <w:position w:val="0"/>
          <w:sz w:val="20"/>
          <w:u w:val="none"/>
          <w:vertAlign w:val="baseline"/>
        </w:rPr>
        <w:t xml:space="preserve"> episode benchmark prices would be calculated using an EPM participant's historical episode spending during their baseline period. Further, we believe that EPM participants will view the episode payment model effort as one involving continuous improvement. As a result, changes initially contemplated by an EPM participant could be subsequently revised based on updated information and experiences.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as with CJR and BPCI, we proposed to make 3 years of baseline data available to EPM participants and intend to make these data available upon request prior to the start of the first episode payment model performance year and in accordance with applicable privacy and security laws and established privacy and security protections. We believed that 3 years of baseline data is sufficient to reflect both an EPM participant's most recent performance and recent performance trends. Moreover, making data available for a 3-year period aligns with our proposal to set a target price based on a 3-year period of baseline data in section III.D. of this final rule. As we stated in the proposed rule, we believe that if an EPM participant has access to baseline data for the 3-year period used to set its episode benchmark and quality-adjusted target prices, then it would be better able to assess its practice patterns, identify cost drivers, and ultimately redesign its care practices to improve efficiency and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we proposed that the 3-year period utilized for the baseline period match the baseline data used to create EPM participants episode benchmark and quality-adjusted target prices, as discussed in section III.D. of this final rule. Specifically, we proposed that the baseline beneficiary-level and </w:t>
      </w:r>
      <w:r>
        <w:rPr>
          <w:rFonts w:ascii="arial" w:eastAsia="arial" w:hAnsi="arial" w:cs="arial"/>
          <w:b/>
          <w:i w:val="0"/>
          <w:strike w:val="0"/>
          <w:noProof w:val="0"/>
          <w:color w:val="000000"/>
          <w:position w:val="0"/>
          <w:sz w:val="20"/>
          <w:u w:val="none"/>
          <w:vertAlign w:val="baseline"/>
        </w:rPr>
        <w:t> [*513] </w:t>
      </w:r>
      <w:r>
        <w:rPr>
          <w:rFonts w:ascii="arial" w:eastAsia="arial" w:hAnsi="arial" w:cs="arial"/>
          <w:b w:val="0"/>
          <w:i w:val="0"/>
          <w:strike w:val="0"/>
          <w:noProof w:val="0"/>
          <w:color w:val="000000"/>
          <w:position w:val="0"/>
          <w:sz w:val="20"/>
          <w:u w:val="none"/>
          <w:vertAlign w:val="baseline"/>
        </w:rPr>
        <w:t xml:space="preserve"> summary data (both EPM participant-level and regional summary data) would be available for episodes that began January 1, 2013 through December 31, 2015. We requested comments on these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many comments about the importance of providing timely data prior to the start of the model. Many commenters requested that CMS make historical and program design data available to EPM participants as soon as CMS is able to do so after the publication of the final rule. The commenters stated that they would need the data as early as possible in order to allow for enough time to review the data, to understand the needs and utilization patterns of the population, and to tailor interventions based on findings. They also stated that the data would help identify the facilities and provider types most frequently used by patients after discharge. In addition, commenters pointed out that early data would be essential for EPM participants to understand how their episodes compare to others in the region and where they stand at the start of the EPMs. A commenter recommended that CMS provide historical claims data a minimum of 6 months prior to the commencement of the models so as to allow providers the opportunity to analyze the data for care coordination opportunities, evaluate post-acute care providers for partnership opportunities, and negotiate risk-sharing arrangements. Another commenter further requested all the historical data used to set the target prices be provided to EPM participants by December 31, 2016 for a July 1, 2017 start date and that we also provide guidance and technical support to assist participants once this data is shared.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comments and understand the usefulness of these data to EPM participants' ability to understand and adjust their performance and partner with collaborators. We will make every effort to make this data available for request as soon as possible after the final rule is published while complying with applicable privacy and security laws. Additionally, we will provide guidance and technical support during the process to request, retrieve, and evaluate the data received.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cited that data challenges, including the significant financial investment, time and complexities involved in developing and using the necessary infrastructure, along with substantial transaction fees for sharing health information necessitate a delay in the start of the EPMs. They went on to state that EPM participants should be provided data with at least as much preparatory time as BPCI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these comments and again acknowledge the importance of providing timely access to data. As previously noted, we will work to make this data available for request as soon as feasible while complying with applicable privacy and security laws. To the extent that it may be relevant, we note that we have revised our proposal to begin downside risk across the board as of April 1, 2018. As discussed in detail in section III.D.2.c. of this final rule, we are finalizing an option to allow the voluntary selection of downside risk for performance year 2 and to extend our proposed date for required downside risk to performance year 3, which should provide participants with more lead time to understand their data prior to taking on 2 sided risk under the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our proposal, without modification to make 3 years of baseline data available to EPM participants and intend to make these data available to participants upon request prior to the start of the first episode payment model performance year (July 1, 2017) and in accordance with applicable privacy and security laws and established privacy and security protections. The 3-year period utilized for the baseline period matches the baseline data used to create EPM participants' episode benchmark prices. Specifically, the baseline beneficiary-level and summary data (both EPM participant-level and regional summary data) will be available for episodes that began January 1, 2013 through December 31,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Frequency and Period of Claims Data Updates for Sharing Beneficiary-Identifiable Claims Data During the Performance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stated in the proposed rule </w:t>
      </w:r>
      <w:hyperlink r:id="rId9" w:history="1">
        <w:r>
          <w:rPr>
            <w:rFonts w:ascii="arial" w:eastAsia="arial" w:hAnsi="arial" w:cs="arial"/>
            <w:b w:val="0"/>
            <w:i/>
            <w:strike w:val="0"/>
            <w:noProof w:val="0"/>
            <w:color w:val="0077CC"/>
            <w:position w:val="0"/>
            <w:sz w:val="20"/>
            <w:u w:val="single"/>
            <w:vertAlign w:val="baseline"/>
          </w:rPr>
          <w:t>(81 FR 50946),</w:t>
        </w:r>
      </w:hyperlink>
      <w:r>
        <w:rPr>
          <w:rFonts w:ascii="arial" w:eastAsia="arial" w:hAnsi="arial" w:cs="arial"/>
          <w:b w:val="0"/>
          <w:i w:val="0"/>
          <w:strike w:val="0"/>
          <w:noProof w:val="0"/>
          <w:color w:val="000000"/>
          <w:position w:val="0"/>
          <w:sz w:val="20"/>
          <w:u w:val="none"/>
          <w:vertAlign w:val="baseline"/>
        </w:rPr>
        <w:t xml:space="preserve"> in addition to baseline data, we believe that the availability of periodically updated beneficiary-identifiable claims data (both summary and beneficiary-level) will assist EPM participants in the proposed AMI, CABG, and SHFFT models to identify areas where they might wish to change their care practice patterns, as well as monitor the effects of any such changes. With respect to these purposes, we have considered what would be the most appropriate period and frequency for making updated claims information available to EPM participants, while complying with the HIPAA Privacy Rule's "minimum necessary" standard.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stated in the proposed rule, we believe that, as is the case with CJR, making claims data available that would represent up to 6 quarters of information upon receipt of a request for such information that meets the requirements of the HIPAA Privacy Rule, would be representative of total spending and useful to hospitals as they consider long-term practice changes. We note that we intend for the data for this model to be consistent with our proposed performance year of January 1 through December 31 (July 1 through December 31 for performance year 1). To accomplish this for the first year of the models (2017), we proposed to provide, upon request and in accordance with the HIPAA Privacy Rule, claims data from July 1, 2017 to June 30, 2018 on as frequently as a running quarterly basis, as claims were available </w:t>
      </w:r>
      <w:hyperlink r:id="rId9" w:history="1">
        <w:r>
          <w:rPr>
            <w:rFonts w:ascii="arial" w:eastAsia="arial" w:hAnsi="arial" w:cs="arial"/>
            <w:b w:val="0"/>
            <w:i/>
            <w:strike w:val="0"/>
            <w:noProof w:val="0"/>
            <w:color w:val="0077CC"/>
            <w:position w:val="0"/>
            <w:sz w:val="20"/>
            <w:u w:val="single"/>
            <w:vertAlign w:val="baseline"/>
          </w:rPr>
          <w:t>(81 FR 50946).</w:t>
        </w:r>
      </w:hyperlink>
      <w:r>
        <w:rPr>
          <w:rFonts w:ascii="arial" w:eastAsia="arial" w:hAnsi="arial" w:cs="arial"/>
          <w:b w:val="0"/>
          <w:i w:val="0"/>
          <w:strike w:val="0"/>
          <w:noProof w:val="0"/>
          <w:color w:val="000000"/>
          <w:position w:val="0"/>
          <w:sz w:val="20"/>
          <w:u w:val="none"/>
          <w:vertAlign w:val="baseline"/>
        </w:rPr>
        <w:t xml:space="preserve"> For each quarter and extending through June 30, 2018, we proposed that participants during that first year would receive data for up to the current quarter and all of the previous quarters going back to July 1, 2017. These data sets would contain all claims for all potential episodes that were initiated on or after July 1, 2017 and capture a sufficient amount of time for relevant claims to have been processed. We noted that we would limit the content of this data set to the minimum data necessary for the participating hospital to conduct quality assessment and improvement activities and effectively coordinate care of its patient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we proposed to make updated claims data available to EPM participants, representing up to 6 quarters of data, upon receipt of a request for such information that meets CMS' requirements to ensure the applicable HIPAA conditions for disclosure have been met. Also, consistent with our procedures for CJR, we proposed to make these data available as frequently as on a quarterly basis. Given that we have received requests in other initiatives to make data available on a more frequent basis, we also proposed to eventually make these data available on as frequently as a monthly basis if practicable. In addition, we proposed that for an EPM participant to receive data on episode spending, they would only need to make a single initial request rather than multiple periodic requests for data. CMS would make data available to the EPM participant for the duration of their participation or until they notify CMS </w:t>
      </w:r>
      <w:r>
        <w:rPr>
          <w:rFonts w:ascii="arial" w:eastAsia="arial" w:hAnsi="arial" w:cs="arial"/>
          <w:b/>
          <w:i w:val="0"/>
          <w:strike w:val="0"/>
          <w:noProof w:val="0"/>
          <w:color w:val="000000"/>
          <w:position w:val="0"/>
          <w:sz w:val="20"/>
          <w:u w:val="none"/>
          <w:vertAlign w:val="baseline"/>
        </w:rPr>
        <w:t> [*514] </w:t>
      </w:r>
      <w:r>
        <w:rPr>
          <w:rFonts w:ascii="arial" w:eastAsia="arial" w:hAnsi="arial" w:cs="arial"/>
          <w:b w:val="0"/>
          <w:i w:val="0"/>
          <w:strike w:val="0"/>
          <w:noProof w:val="0"/>
          <w:color w:val="000000"/>
          <w:position w:val="0"/>
          <w:sz w:val="20"/>
          <w:u w:val="none"/>
          <w:vertAlign w:val="baseline"/>
        </w:rPr>
        <w:t xml:space="preserve"> that they no longer wish to receive these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 to make the minimum data necessary for EPM participants to conduct quality assessment and improvement activities and effectively coordinate care of its patient population as frequently as on a quarterly basis throughout the EPM participant's participation or until they notify CMS that they no longer wish to receive these data is included at § 512.350(b)(2). We sought comments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were supportive of CMS' proposal to make data available as frequently as monthly if practical, but strongly encouraged the monthly release of the data to the EPM participants as soon as the EPMs are implemented, as opposed to quarterly. A commenter stated that a quarterly timeline would significantly delay EPM participants in identifying inefficiencies arising with regard to beneficiary utilization and noted that issues could occur in the continuum of care delivery and coordination. Another commenter indicated that monthly data is essential, especially at the beginning of the EPMs, and that the quarterly data has a lag so the initial file will contain mostly incomplete episodes. Other commenters referenced the BPCI initiative which currently provides monthly data to its Awardees.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these comments and realize that frequent data will assist many EPM participants that are selected for the EPMs. As proposed, we will work with our contractors to provide data monthly as opposed to quarterly as soon as it is feasible for us to do so.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some comments on providing reconciliation data and results more frequently than annually. Commenters referenced the quarterly reconciliation timelines in BPCI and one commenter stated that the quarterly results would allow providers to assess their performance and understand if care interventions are working, or need to be altered. Another commenter strongly encouraged CMS to provide EPM participants with quarterly updates for completed episodes through a mechanism similar to other Innovation Center initiatives.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Based on our experience in BPCI, quarterly reconciliation can lead to large variation in NPRA and uncertainty for providers, in addition to being a very resource-intensive process for providers and CMS. While we understand that quarterly reconciliation results and data could be helpful for providers to assess their performance, we believe that the beneficiary claims data we plan to disseminate will allow providers to do this. Additionally we note that we will be working with our contractors to explore the feasibility of providing a high-level interim report on reconciliation status during the payment year which should help EPM participants assess how they are doing under the model. Therefore, as stated in section III.D.5. of this final rule, we plan to finalize our policy for annual reconciliation data and results in the same way we have done this for CJR. Additional discussion on this topic can be found in section III.D.5.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requested that data be made available automatically without a specific request for the data. These commenters noted the potential for additional administrative burden associated with requesting the data. A commenter recommended that an EPM participant should only need to register to receive data and provide the appropriate contact.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want to limit administrative burden for EPM participants participating in these models and wish to clarify that while we will make data available to EPM participants only upon request, participants would be able to make a single request for these data for each model prior to the start of the performance period and the data would be available to them for the duration of their participation or until they notify CMS that they no longer wish to receive these data. To be consistent with the HIPAA Privacy Rule's "minimum necessary" standard, we will continue to make data available only in response to a request.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Other commenters appreciated our proposal that EPM participants only need to make an initial single request rather than multiple periodic requests for data as this will impose less of an administrative burden on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our proposal at § 512.350(b)(1) to provide up to 6 quarters of claims data (both summary and beneficiary-level) to EPM participants upon request and in accordance with applicable privacy and security laws. We are also finalizing our proposal that for an EPM participant to receive data on episode spending, they need only make a single initial request rather than multiple periodic requests. Additionally, we are finalizing our proposal to make these data available on a quarterly basis and as frequently as a monthly basis if practicable. Consistent with our proposal to make these data available as frequently as monthly if practicable, we are updating our proposal at § 512.350(b)(2) to provide that updated claims data will be made available not "as frequently as on a quarterly basis throughout the EPM participant's participation," but instead "no less frequently than on a quarterly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Legal Permission To Share Beneficiary-Identifiable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have stated previously </w:t>
      </w:r>
      <w:hyperlink r:id="rId21" w:history="1">
        <w:r>
          <w:rPr>
            <w:rFonts w:ascii="arial" w:eastAsia="arial" w:hAnsi="arial" w:cs="arial"/>
            <w:b w:val="0"/>
            <w:i/>
            <w:strike w:val="0"/>
            <w:noProof w:val="0"/>
            <w:color w:val="0077CC"/>
            <w:position w:val="0"/>
            <w:sz w:val="20"/>
            <w:u w:val="single"/>
            <w:vertAlign w:val="baseline"/>
          </w:rPr>
          <w:t>(80 FR 73513),</w:t>
        </w:r>
      </w:hyperlink>
      <w:r>
        <w:rPr>
          <w:rFonts w:ascii="arial" w:eastAsia="arial" w:hAnsi="arial" w:cs="arial"/>
          <w:b w:val="0"/>
          <w:i w:val="0"/>
          <w:strike w:val="0"/>
          <w:noProof w:val="0"/>
          <w:color w:val="000000"/>
          <w:position w:val="0"/>
          <w:sz w:val="20"/>
          <w:u w:val="none"/>
          <w:vertAlign w:val="baseline"/>
        </w:rPr>
        <w:t xml:space="preserve"> we recognize that there are a number of issues and sensitivities surrounding the disclosure of beneficiary-identifiable health information, and note that a number of laws place constraints on sharing individually identifiable health information. For example, section 1106 of the Act bars the disclosure of information collected under the Act without consent unless a law (statute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permits the disclosure. Here, the HIPAA Privacy Rule allows for the proposed disclosure of individually identifiable health information by CMS.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we proposed to make EPM participants financially responsible for services that may have occurred outside of the hospital during the 90-day post-discharge period </w:t>
      </w:r>
      <w:hyperlink r:id="rId9" w:history="1">
        <w:r>
          <w:rPr>
            <w:rFonts w:ascii="arial" w:eastAsia="arial" w:hAnsi="arial" w:cs="arial"/>
            <w:b w:val="0"/>
            <w:i/>
            <w:strike w:val="0"/>
            <w:noProof w:val="0"/>
            <w:color w:val="0077CC"/>
            <w:position w:val="0"/>
            <w:sz w:val="20"/>
            <w:u w:val="single"/>
            <w:vertAlign w:val="baseline"/>
          </w:rPr>
          <w:t>(81 FR 50946).</w:t>
        </w:r>
      </w:hyperlink>
      <w:r>
        <w:rPr>
          <w:rFonts w:ascii="arial" w:eastAsia="arial" w:hAnsi="arial" w:cs="arial"/>
          <w:b w:val="0"/>
          <w:i w:val="0"/>
          <w:strike w:val="0"/>
          <w:noProof w:val="0"/>
          <w:color w:val="000000"/>
          <w:position w:val="0"/>
          <w:sz w:val="20"/>
          <w:u w:val="none"/>
          <w:vertAlign w:val="baseline"/>
        </w:rPr>
        <w:t xml:space="preserve"> Although we expect EPM participants to be actively engaged in post-discharge planning and other care during the 90-day post-discharge period for beneficiaries receiving services under the proposed AMI, CABG, and SHFFT models, we believe that it is necessary for the purposes of these models to provide EPM participants with beneficiary-level claims data, either in summary or line-level claim formats for a 3-year historical period as well as on a quarterly basis during the performance period. We believe that these data constitute the minimum information necessary to enable the participant hospital to understand spending patterns during the episode, appropriately coordinate care, and target care strategies toward individual beneficiaries furnished care by the participant hospital and other providers and suppliers.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HIPAA Privacy Rule, covered entities (defined as health care plans, providers that conduct covered transactions, including hospitals, and health care clearinghouses) are barred from using or disclosing individually identifiable health information (called "protected health information" or PHI) in a manner that is not explicitly permitted or required under the HIPAA Privacy Rule. The Medicare FFS </w:t>
      </w:r>
      <w:r>
        <w:rPr>
          <w:rFonts w:ascii="arial" w:eastAsia="arial" w:hAnsi="arial" w:cs="arial"/>
          <w:b/>
          <w:i w:val="0"/>
          <w:strike w:val="0"/>
          <w:noProof w:val="0"/>
          <w:color w:val="000000"/>
          <w:position w:val="0"/>
          <w:sz w:val="20"/>
          <w:u w:val="none"/>
          <w:vertAlign w:val="baseline"/>
        </w:rPr>
        <w:t> [*515] </w:t>
      </w:r>
      <w:r>
        <w:rPr>
          <w:rFonts w:ascii="arial" w:eastAsia="arial" w:hAnsi="arial" w:cs="arial"/>
          <w:b w:val="0"/>
          <w:i w:val="0"/>
          <w:strike w:val="0"/>
          <w:noProof w:val="0"/>
          <w:color w:val="000000"/>
          <w:position w:val="0"/>
          <w:sz w:val="20"/>
          <w:u w:val="none"/>
          <w:vertAlign w:val="baseline"/>
        </w:rPr>
        <w:t xml:space="preserve"> program, a "health plan" function of the Department, is subject to the HIPAA Privacy Rule limitations on the disclosure of PHI. The hospitals and other Medicare providers and suppliers are also covered entities, provided they are health care providers as defined by </w:t>
      </w:r>
      <w:hyperlink r:id="rId121" w:history="1">
        <w:r>
          <w:rPr>
            <w:rFonts w:ascii="arial" w:eastAsia="arial" w:hAnsi="arial" w:cs="arial"/>
            <w:b w:val="0"/>
            <w:i/>
            <w:strike w:val="0"/>
            <w:noProof w:val="0"/>
            <w:color w:val="0077CC"/>
            <w:position w:val="0"/>
            <w:sz w:val="20"/>
            <w:u w:val="single"/>
            <w:vertAlign w:val="baseline"/>
          </w:rPr>
          <w:t>45 CFR 160.103</w:t>
        </w:r>
      </w:hyperlink>
      <w:r>
        <w:rPr>
          <w:rFonts w:ascii="arial" w:eastAsia="arial" w:hAnsi="arial" w:cs="arial"/>
          <w:b w:val="0"/>
          <w:i w:val="0"/>
          <w:strike w:val="0"/>
          <w:noProof w:val="0"/>
          <w:color w:val="000000"/>
          <w:position w:val="0"/>
          <w:sz w:val="20"/>
          <w:u w:val="none"/>
          <w:vertAlign w:val="baseline"/>
        </w:rPr>
        <w:t xml:space="preserve"> and they conduct (or someone on their behalf conducts) one or more HIPAA standard transactions electronically, such as for claims transactions. In light of these relationships, we believe that the proposed disclosure of the beneficiary claims data for an acute inpatient stay plus 90-day post-discharge for episodes included under the proposed models would be permitted by the HIPAA Privacy Rule under the provisions that permit disclosures of PHI for "health care operations" purposes. Under those provisions, a covered entity is permitted to disclose PHI to another covered entity for the recipient's health care operations purposes if both covered entities have or had a relationship with the subject of the PHI to be disclosed, the PHI pertains to that relationship, and the recipient will use the PHI for a "health care operations" function that falls within the first two paragraphs of the definition of "health care operations" in the HIPAA Privacy Rule (</w:t>
      </w:r>
      <w:hyperlink r:id="rId122" w:history="1">
        <w:r>
          <w:rPr>
            <w:rFonts w:ascii="arial" w:eastAsia="arial" w:hAnsi="arial" w:cs="arial"/>
            <w:b w:val="0"/>
            <w:i/>
            <w:strike w:val="0"/>
            <w:noProof w:val="0"/>
            <w:color w:val="0077CC"/>
            <w:position w:val="0"/>
            <w:sz w:val="20"/>
            <w:u w:val="single"/>
            <w:vertAlign w:val="baseline"/>
          </w:rPr>
          <w:t>45 CFR 164.506(c)(4)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paragraph of the definition of health care operations includes "conducting quality assessment and improvement activities, including outcomes evaluation and development of clinical guidelines," and "population-based activities relating to improving health or reducing health costs, protocol development, case management and care coordination" (</w:t>
      </w:r>
      <w:hyperlink r:id="rId123" w:history="1">
        <w:r>
          <w:rPr>
            <w:rFonts w:ascii="arial" w:eastAsia="arial" w:hAnsi="arial" w:cs="arial"/>
            <w:b w:val="0"/>
            <w:i/>
            <w:strike w:val="0"/>
            <w:noProof w:val="0"/>
            <w:color w:val="0077CC"/>
            <w:position w:val="0"/>
            <w:sz w:val="20"/>
            <w:u w:val="single"/>
            <w:vertAlign w:val="baseline"/>
          </w:rPr>
          <w:t>45 CFR 164.501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our proposal, EPM participants would be using the data on their patients to evaluate the performance of the participant hospital and other providers and suppliers that furnished services to the patient, conduct quality assessment and improvement activities, and conduct population-based activities relating to improved health for their patients. When done by or on behalf of a covered entity, these are covered functions and activities that would qualify as "health care operations" under the first and second paragraphs of the definition of health care operations at </w:t>
      </w:r>
      <w:hyperlink r:id="rId123" w:history="1">
        <w:r>
          <w:rPr>
            <w:rFonts w:ascii="arial" w:eastAsia="arial" w:hAnsi="arial" w:cs="arial"/>
            <w:b w:val="0"/>
            <w:i/>
            <w:strike w:val="0"/>
            <w:noProof w:val="0"/>
            <w:color w:val="0077CC"/>
            <w:position w:val="0"/>
            <w:sz w:val="20"/>
            <w:u w:val="single"/>
            <w:vertAlign w:val="baseline"/>
          </w:rPr>
          <w:t>45 CFR 164.501</w:t>
        </w:r>
      </w:hyperlink>
      <w:r>
        <w:rPr>
          <w:rFonts w:ascii="arial" w:eastAsia="arial" w:hAnsi="arial" w:cs="arial"/>
          <w:b w:val="0"/>
          <w:i w:val="0"/>
          <w:strike w:val="0"/>
          <w:noProof w:val="0"/>
          <w:color w:val="000000"/>
          <w:position w:val="0"/>
          <w:sz w:val="20"/>
          <w:u w:val="none"/>
          <w:vertAlign w:val="baseline"/>
        </w:rPr>
        <w:t>. Hence, as previously discussed, we believe that this provision is extensive enough to cover the uses we would expect an EPM participant to make of the beneficiary-identifiable data and would be permissible under the HIPAA Privacy Rule. Moreover, our proposed disclosures would be made only to HIPAA covered entities that have (or had) a relationship with the subject of the information, the information we would disclose would pertain to such relationship, and those disclosures would be for purposes listed in the first two paragraphs of the definition of "health care operations".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using or disclosing PHI, or when requesting this information from another covered entity, covered entities must make "reasonable efforts to limit" the information that is used, disclosed or requested to the "minimum necessary" to accomplish the intended purpose of the use, disclosure or request (</w:t>
      </w:r>
      <w:hyperlink r:id="rId124" w:history="1">
        <w:r>
          <w:rPr>
            <w:rFonts w:ascii="arial" w:eastAsia="arial" w:hAnsi="arial" w:cs="arial"/>
            <w:b w:val="0"/>
            <w:i/>
            <w:strike w:val="0"/>
            <w:noProof w:val="0"/>
            <w:color w:val="0077CC"/>
            <w:position w:val="0"/>
            <w:sz w:val="20"/>
            <w:u w:val="single"/>
            <w:vertAlign w:val="baseline"/>
          </w:rPr>
          <w:t>45 CFR 164.502(b)</w:t>
        </w:r>
      </w:hyperlink>
      <w:r>
        <w:rPr>
          <w:rFonts w:ascii="arial" w:eastAsia="arial" w:hAnsi="arial" w:cs="arial"/>
          <w:b w:val="0"/>
          <w:i w:val="0"/>
          <w:strike w:val="0"/>
          <w:noProof w:val="0"/>
          <w:color w:val="000000"/>
          <w:position w:val="0"/>
          <w:sz w:val="20"/>
          <w:u w:val="none"/>
          <w:vertAlign w:val="baseline"/>
        </w:rPr>
        <w:t>). We believe that the provision of the proposed data elements listed previously would constitute the minimum data necessary to accomplish the EPM's goals of the participant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Privacy Act of 1974 also places limits on agency data disclosures. The Privacy Act applies when the federal government maintains a system of records by which information about individuals is retrieved by use of the individual's personal identifiers (names, Social Security numbers, or any other codes or identifiers that are assigned to the individual). The Privacy Act prohibits disclosure of information from a system of records to any third party without the prior written consent of the individual to whom the records apply (</w:t>
      </w:r>
      <w:r>
        <w:rPr>
          <w:rFonts w:ascii="arial" w:eastAsia="arial" w:hAnsi="arial" w:cs="arial"/>
          <w:b w:val="0"/>
          <w:i/>
          <w:strike w:val="0"/>
          <w:noProof w:val="0"/>
          <w:color w:val="000000"/>
          <w:position w:val="0"/>
          <w:sz w:val="20"/>
          <w:u w:val="none"/>
          <w:vertAlign w:val="baseline"/>
        </w:rPr>
        <w:t>5 U.S.C. 552a(b)</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"Routine uses" are an exception to this general principle. A routine use is a disclosure outside of the agency that is compatible with the purpose for which the data was collected. Routine uses are established by means of a publication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about the applicable system of records describing to whom the disclosure will be made and the purpose for the disclosure. We believe that the proposed data disclosures are consistent with the purpose for which the data discussed in the final rule was collected and may be disclosed in accordance with the routine uses applicable to those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as is the case with CJR, in the proposed rule, we proposed to disclose beneficiary-identifiable data to only the hospitals that are bearing risk for an AMI, CABG, or SHFFT episode and not with their collaborators </w:t>
      </w:r>
      <w:hyperlink r:id="rId9" w:history="1">
        <w:r>
          <w:rPr>
            <w:rFonts w:ascii="arial" w:eastAsia="arial" w:hAnsi="arial" w:cs="arial"/>
            <w:b w:val="0"/>
            <w:i/>
            <w:strike w:val="0"/>
            <w:noProof w:val="0"/>
            <w:color w:val="0077CC"/>
            <w:position w:val="0"/>
            <w:sz w:val="20"/>
            <w:u w:val="single"/>
            <w:vertAlign w:val="baseline"/>
          </w:rPr>
          <w:t>(81 FR 50947).</w:t>
        </w:r>
      </w:hyperlink>
      <w:r>
        <w:rPr>
          <w:rFonts w:ascii="arial" w:eastAsia="arial" w:hAnsi="arial" w:cs="arial"/>
          <w:b w:val="0"/>
          <w:i w:val="0"/>
          <w:strike w:val="0"/>
          <w:noProof w:val="0"/>
          <w:color w:val="000000"/>
          <w:position w:val="0"/>
          <w:sz w:val="20"/>
          <w:u w:val="none"/>
          <w:vertAlign w:val="baseline"/>
        </w:rPr>
        <w:t xml:space="preserve"> As stated in the final CJR rule </w:t>
      </w:r>
      <w:hyperlink r:id="rId21" w:history="1">
        <w:r>
          <w:rPr>
            <w:rFonts w:ascii="arial" w:eastAsia="arial" w:hAnsi="arial" w:cs="arial"/>
            <w:b w:val="0"/>
            <w:i/>
            <w:strike w:val="0"/>
            <w:noProof w:val="0"/>
            <w:color w:val="0077CC"/>
            <w:position w:val="0"/>
            <w:sz w:val="20"/>
            <w:u w:val="single"/>
            <w:vertAlign w:val="baseline"/>
          </w:rPr>
          <w:t>(80 FR 73515),</w:t>
        </w:r>
      </w:hyperlink>
      <w:r>
        <w:rPr>
          <w:rFonts w:ascii="arial" w:eastAsia="arial" w:hAnsi="arial" w:cs="arial"/>
          <w:b w:val="0"/>
          <w:i w:val="0"/>
          <w:strike w:val="0"/>
          <w:noProof w:val="0"/>
          <w:color w:val="000000"/>
          <w:position w:val="0"/>
          <w:sz w:val="20"/>
          <w:u w:val="none"/>
          <w:vertAlign w:val="baseline"/>
        </w:rPr>
        <w:t xml:space="preserve"> we believe that the hospitals that are specifically held financially responsible for an episode should make the determination as to which data are needed to manage care and care processes with their collaborators as well as which data they might want to re-disclose, if any, to their collaborators provided they are in compliance with the HIPAA Privacy Rule. We note that beneficiaries have the right to request restrictions on the use of their data in accordance with the HIPAA Privacy Rule, but covered entities are not required to agree to such requests. We believe our data sharing proposals are permitted by and are consistent with the authorities and protections available under the aforementioned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sought comments on our proposals regarding the authority to share beneficiary-identifiable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Multiple commenters agreed with our proposals to provide EPM participants with the opportunity to request 3 years of historical or baseline data prior to the start of the first EPM performance year. However, some commenters requested that CMS make this data available to all hospitals regardless of whether they located in a randomly selected MSA or not. A commenter pointed out that because there is not a voluntary avenue for participation in these proposed models by hospitals that are not included in the selected MSAs, such hospitals could face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by not being provided the same kinds of financial and performance data as hospitals that are included in these EPMs. Other commenters requested that CMS begin providing data to all hospitals so that they may begin to understand their patients clinical care paths, episode spending, and compare themselves to their peers.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supporting our proposal to make 3 years of historical or baseline data available to EPM participants. For hospitals that are not in selected MSAs, we understand that this data would assist in identifying opportunities for improving efficiency and care coordination, but we do not have the authority to expand the availability of these data beyond what we proposed. We proposed to make EPM data available under the HIPAA Privacy Rule provision that permits the disclosure of this information for "health care operations" purposes and in accordance with the "minimum necessary"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thank commenters for their input on our proposals to provide beneficiary-level data to EPM participants, upon request, under the HIPAA Privacy Rule provisions that permit disclosures of PHI for "health care operations" purposes. We are not modifying our proposals to provide hospitals that are not located in the randomly selected EPM MSAs with the opportunity to request EPM data. </w:t>
      </w:r>
      <w:r>
        <w:rPr>
          <w:rFonts w:ascii="arial" w:eastAsia="arial" w:hAnsi="arial" w:cs="arial"/>
          <w:b/>
          <w:i w:val="0"/>
          <w:strike w:val="0"/>
          <w:noProof w:val="0"/>
          <w:color w:val="000000"/>
          <w:position w:val="0"/>
          <w:sz w:val="20"/>
          <w:u w:val="none"/>
          <w:vertAlign w:val="baseline"/>
        </w:rPr>
        <w:t> [*516]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Data Considerations With Respect to EPM and CJR Collaborators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earlier in this section and as is the case with CJR </w:t>
      </w:r>
      <w:hyperlink r:id="rId21" w:history="1">
        <w:r>
          <w:rPr>
            <w:rFonts w:ascii="arial" w:eastAsia="arial" w:hAnsi="arial" w:cs="arial"/>
            <w:b w:val="0"/>
            <w:i/>
            <w:strike w:val="0"/>
            <w:noProof w:val="0"/>
            <w:color w:val="0077CC"/>
            <w:position w:val="0"/>
            <w:sz w:val="20"/>
            <w:u w:val="single"/>
            <w:vertAlign w:val="baseline"/>
          </w:rPr>
          <w:t>(80 FR 73515),</w:t>
        </w:r>
      </w:hyperlink>
      <w:r>
        <w:rPr>
          <w:rFonts w:ascii="arial" w:eastAsia="arial" w:hAnsi="arial" w:cs="arial"/>
          <w:b w:val="0"/>
          <w:i w:val="0"/>
          <w:strike w:val="0"/>
          <w:noProof w:val="0"/>
          <w:color w:val="000000"/>
          <w:position w:val="0"/>
          <w:sz w:val="20"/>
          <w:u w:val="none"/>
          <w:vertAlign w:val="baseline"/>
        </w:rPr>
        <w:t xml:space="preserve"> we proposed to disclose beneficiary-identifiable data to only the EPM participants that are bearing risk for an AMI, CABG, or SHFFT episode and not with their collaborators because we believed that the EPM participants that are specifically held financially responsible for an episode should make the determination as to which data are needed to manage care and care processes with their collaborators as well as which data they might re-disclose in accordance with applicable privacy and security laws. Based on our experience in implementing CJR, however, we understood that some CJR collaborators under that model believed that not having comparable data poses challenges to their ability to assess their own performance in the context of the model and the region in which they operate. As such, these collaborators believed that it would be helpful to have additional data with which they could better assess their own performance, including information about care patterns within their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considering ways in which to address the concerns raised by these CJR collaborators and potentially similar future concerns that could arise among EPM collaborators as well as what additional data might be helpful for these purposes and which could be disclosed in accordance with existing statutory and regulatory requirements. As previously discussed, EPM participants, like CJR participants, may share data with their EPM (or CJR) collaborators provided they are "business associates" in compliance with the HIPAA Privacy Rule, and we encourage them to make data available to their EPM collaborators to the extent they deem it appropriate and in compliance with these strictures.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given our view that the HIPAA Privacy Rule limits our ability to share beneficiary-identifiable data with non-EPM (or non-CJR) participants, we are considering whether it would be feasible and appropriate to make additional non-beneficiary-identifiable aggregate data publicly available through some means. For example, we are exploring whether it would be helpful to make available aggregate summary data organized by anchor MS-DRG, provider type, and region for care that would be included in episodes that would meet the criteria for inclusion in the regional component of EPM (or CJR) episode benchmark prices as described in section III.D.4.b. of this final rule (or </w:t>
      </w:r>
      <w:hyperlink r:id="rId21" w:history="1">
        <w:r>
          <w:rPr>
            <w:rFonts w:ascii="arial" w:eastAsia="arial" w:hAnsi="arial" w:cs="arial"/>
            <w:b w:val="0"/>
            <w:i/>
            <w:strike w:val="0"/>
            <w:noProof w:val="0"/>
            <w:color w:val="0077CC"/>
            <w:position w:val="0"/>
            <w:sz w:val="20"/>
            <w:u w:val="single"/>
            <w:vertAlign w:val="baseline"/>
          </w:rPr>
          <w:t>80 FR 73337</w:t>
        </w:r>
      </w:hyperlink>
      <w:r>
        <w:rPr>
          <w:rFonts w:ascii="arial" w:eastAsia="arial" w:hAnsi="arial" w:cs="arial"/>
          <w:b w:val="0"/>
          <w:i w:val="0"/>
          <w:strike w:val="0"/>
          <w:noProof w:val="0"/>
          <w:color w:val="000000"/>
          <w:position w:val="0"/>
          <w:sz w:val="20"/>
          <w:u w:val="none"/>
          <w:vertAlign w:val="baseline"/>
        </w:rPr>
        <w:t xml:space="preserve"> with respect to CJR), assuming all IPPS hospitals nationally were EPM (or CJR) participants. We will refer to these episodes as simulated episodes later in this section. We were interested in whether information such as the following would be helpful to EPM (or CJR) collaborators:</w:t>
      </w:r>
    </w:p>
    <w:p>
      <w:pPr>
        <w:keepNext w:val="0"/>
        <w:numPr>
          <w:numId w:val="6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simulated episodes and number of hospitals with each anchor MS-DRG at discharge in the simulated episodes.</w:t>
      </w:r>
    </w:p>
    <w:p>
      <w:pPr>
        <w:keepNext w:val="0"/>
        <w:numPr>
          <w:numId w:val="6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AMI model anchor MS-DRGs, the number of simulated episodes with chained anchor admissions by the price MS-DRG that would have been assigned to the simulated episode.</w:t>
      </w: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AMI model anchor MS-DRGs, the number of simulated episodes with readmissions resulting in discharge under a CABG MS-DRG by the CABG MS-DRG.</w:t>
      </w:r>
    </w:p>
    <w:p>
      <w:pPr>
        <w:keepNext w:val="0"/>
        <w:numPr>
          <w:numId w:val="6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Average (mean and median) and standard deviation of total spending on those simulated episodes.</w:t>
      </w:r>
    </w:p>
    <w:p>
      <w:pPr>
        <w:keepNext w:val="0"/>
        <w:numPr>
          <w:numId w:val="6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simulated episodes with and mean acute care payments for the anchor hospitalization and readmission.</w:t>
      </w:r>
    </w:p>
    <w:p>
      <w:pPr>
        <w:keepNext w:val="0"/>
        <w:numPr>
          <w:numId w:val="6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simulated episodes with and mean Part B payments.</w:t>
      </w:r>
    </w:p>
    <w:p>
      <w:pPr>
        <w:keepNext w:val="0"/>
        <w:numPr>
          <w:numId w:val="6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simulated episodes with and mean inpatient rehabilitation facility payments.</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simulated episodes with and mean skilled nursing facility payments.</w:t>
      </w:r>
    </w:p>
    <w:p>
      <w:pPr>
        <w:keepNext w:val="0"/>
        <w:numPr>
          <w:numId w:val="6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simulated episodes with and mean home health payments.</w:t>
      </w:r>
    </w:p>
    <w:p>
      <w:pPr>
        <w:keepNext w:val="0"/>
        <w:numPr>
          <w:numId w:val="6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Proportion of total simulated episode spending attributable to acute care payments for the anchor hospitalization and readmissions.</w:t>
      </w:r>
    </w:p>
    <w:p>
      <w:pPr>
        <w:keepNext w:val="0"/>
        <w:numPr>
          <w:numId w:val="6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Proportion of total simulated episode spending attributable to Part B payments.</w:t>
      </w:r>
    </w:p>
    <w:p>
      <w:pPr>
        <w:keepNext w:val="0"/>
        <w:numPr>
          <w:numId w:val="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Proportion of total simulated episode spending attributable to inpatient rehabilitation facility payments.</w:t>
      </w:r>
    </w:p>
    <w:p>
      <w:pPr>
        <w:keepNext w:val="0"/>
        <w:numPr>
          <w:numId w:val="6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Proportion of total simulated episode spending attributable to skilled nursing facility payments.</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Proportion of total simulated episode spending attributable to home health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assist us as we consider future options for potentially increasing the availability of data to collaborators under the EPMs or similar models such as CJR, we sought comments on what kinds of actions and data would be most helpful to EPM, or similar model (such as CJR) collaborators, and which could be disclosed in accordance with the existing statutory and regulatory requirements for sharing data. We note that the number of simulated episodes with chained anchor admissions by the price MS-DRG on which we solicited comments for AMI model anchor MS-DRGs is no longer relevant due to the fact that we are not finalizing the AMI transfer policy we proposed, as discussed in detail in section III.C.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supported our consideration of options to potentially provide some publicly available data to assist EPM and CJR collaborators. However, commenters specified that claims data should be made available for all EPM collaborators and providers affected by the implementation of EPMs. In particular, they stated that post-acute care providers find it difficult to access the data needed (for example, claims data on readmissions) to support care coordination capabilities. Another commenter requested that any provider who treats an EPM beneficiary during the episode should also have access to the claims data so that providers would be able to analyze the data and develop approaches to care redesign, especially when the hospital has not expended the resources to do such analytics. They also commented that this analysis would allow post-acute care providers to demonstrate their value to a hospital and would also allow post-acute care providers to better position themselves when entering into gainsharing arrangements with a participating hospital. Other comments suggested that CMS should require that EPM data be shared equitably among the participating entities, regardless of which entity is charged with coordinating the fiscal arrangement according to CMS.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suggestions commenters offered. While we understand the commenters' desire for us to provide beneficiary-identifiable claims data to collaborating post-acute care providers, we note that we are unable to do this as we do not have the authority to expand the availability of these data beyond what we proposed. As with CJR, and as indicated earlier, there are significant sensitivities and constraints on our ability to make beneficiary-identifiable data available. We proposed to make these data available to hospitals participating in the model in recognition of and in compliance with the HIPAA Privacy Rule provision that permits the disclosure of this information for "health care operations" purposes and in accordance with the minimum necessary standard. Requests for EPM data from entities that are not officially participating in the model would not meet the required standards to receive </w:t>
      </w:r>
      <w:r>
        <w:rPr>
          <w:rFonts w:ascii="arial" w:eastAsia="arial" w:hAnsi="arial" w:cs="arial"/>
          <w:b/>
          <w:i w:val="0"/>
          <w:strike w:val="0"/>
          <w:noProof w:val="0"/>
          <w:color w:val="000000"/>
          <w:position w:val="0"/>
          <w:sz w:val="20"/>
          <w:u w:val="none"/>
          <w:vertAlign w:val="baseline"/>
        </w:rPr>
        <w:t> [*517] </w:t>
      </w:r>
      <w:r>
        <w:rPr>
          <w:rFonts w:ascii="arial" w:eastAsia="arial" w:hAnsi="arial" w:cs="arial"/>
          <w:b w:val="0"/>
          <w:i w:val="0"/>
          <w:strike w:val="0"/>
          <w:noProof w:val="0"/>
          <w:color w:val="000000"/>
          <w:position w:val="0"/>
          <w:sz w:val="20"/>
          <w:u w:val="none"/>
          <w:vertAlign w:val="baseline"/>
        </w:rPr>
        <w:t xml:space="preserve"> these data. Although providers and suppliers (physicians, post-acute care providers, etc.) that are collaborators with hospitals participating in the EPMs might be eligible to receive data under HIPAA, provided that they had a "business associate" relationship with the beneficiary, we do not believe it is appropriate for CMS to provide collaborators these data directly because hospitals are the entities designated under the model to assume risk and responsibility for a beneficiary's episode of care under the model. Accordingly, as the responsible entity (and as a covered entity under HIPAA), we believe that hospitals should decide what data they need to manage care and care processes with their collaborators and, in consultation with their own legal counsel, what data they may or may not wish to make available to those collaborators provided they are in compliance with the HIPAA Privacy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Other commenters made suggestions regarding the types of data we considered to provide publicly to EPM collaborators. They stated that the data should include information included in the Quality and Resource Use Reports (QRUR) so that collaborators will be able to understand their own costs as well as those for downstream providers in order to effectively enter into these financial and clinical arrangements.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suggestions, but do not plan to provide QRUR data in our publicly available files. We note that information and instructions on obtaining QRURs can be found at: </w:t>
      </w:r>
      <w:hyperlink r:id="rId125" w:history="1">
        <w:r>
          <w:rPr>
            <w:rFonts w:ascii="arial" w:eastAsia="arial" w:hAnsi="arial" w:cs="arial"/>
            <w:b w:val="0"/>
            <w:i/>
            <w:strike w:val="0"/>
            <w:noProof w:val="0"/>
            <w:color w:val="0077CC"/>
            <w:position w:val="0"/>
            <w:sz w:val="20"/>
            <w:u w:val="single"/>
            <w:vertAlign w:val="baseline"/>
          </w:rPr>
          <w:t>https://www.cms.gov/Medicare/Medicare-Fee-for-Service-Payment/PhysicianFeedbackProgram/Obtain-2013-QRUR.html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several comments supporting the sharing of beneficiary identifiable data by EPM participants with entities with which the hospital has a business associate agreement (BAA). Commenters noted that data sharing is an excellent strategy for engaging providers and that data can be a catalyst for change. Based on experience in BPCI, commenters pointed out that data sharing also inspires collaboration as hospitals and post-acute care providers are more likely to come together to conduct root cause analyses of adverse patient care events so that both entities learn from the bundled payment program data. A commenter added that the BPCI model recognized the need for a facilitator convener--an entity that serves an administrative and technical assistance function for one or more designated awardees/awardee conveners, and who would not have an agreement with CMS, bear financial risk, or receive any payment from CMS. Another commenter requested that CMS consider distributing the data to EPMs or their designees under a data use agreement (DUA) process similar to how beneficiary-identifiable claims data are currently distributed under the BPCI program. They stated that this would allow third-party entities to provide data analysis services to EPM participants who lack the capabilities and infrastructure to do so.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offered by these commenters. In addition, we will require a data request and attestation form and will have a mechanism in place for business associates, as defined under HIPAA, to receive data directly from CMS on an EPM participant's behalf (if approved by that EPM participant). This form would also allow business associates of selected hospitals to provide administrative or technical assistance to multiple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 Coordination With Other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Impacts created by payment changes under this model are entirely internal to HHS operations; coordination with other agencies is not required outside of the usual coordination involved in the publication of all HHS regulatory changes.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Evaluation Approach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the proposed rule, the EPMs are intended to enable CMS to better understand the effects of episode payment approaches on a broader range of Medicare providers and suppliers than would choose to participate in a model such as is currently being tested under BPCI. Obtaining information that is representative of a wide and diverse group of episode initiators will best inform us on how such a payment model might function were it to be more fully integrated within the Medicare program. The CR incentive model is intended to enable CMS to assess whether the incentive improves patient quality and access to this covered benefit without increasing overall payments. All CMS models, which would include the EPMs and CR incentive model, are rigorously evaluated on their ability to improve quality and reduce costs. In addition, we routinely monitor CMS models for potential unintended consequences of the model that run counter to the stated objective of lowering costs without adversely affecting quality of care. Outlined in the following section are the proposed design and evaluation methods, the data collection methods, key evaluation research questions, and the evaluation period and anticipated reports for the EPMs as well as our response to comments received and our final decisions.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Design and Evaluation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stated in the proposed rule, our evaluation methodology for the EPMs and CR incentive model is consistent with the standard Innovation Center evaluation approaches we have taken in other projects such as the BPCI initiative, the CJR model, the Acute Care Episode (ACE) Demonstration, the Pioneer ACO model, and other Innovation Center models. Specifically, the evaluation design and methodology we proposed is designed to allow for a comparison of historic patterns of care among the participants to any changes made in these patterns in response to the models. In addition, the overall design would include a comparison of participants in EPM or CR areas with a matched comparison group in areas not participating in a specific episode to help us discern simultaneous and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provider and market level forces that could influence our findings. Comparison group members for the EPMs would be selected based on how well they match the EPM participants along a variety of measurable dimensions, such as size, expenditures, and other provider characteristics and market characteristics. The random method of selection for participating MSAs will allow the evaluation to observe the operation of the model in a variety of circumstances and among providers and suppliers who may not otherwise choose to participate in an alternative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the proposed rule, we plan to use a range of analytic methods, including regression and other multivariate methods, and difference-in-differences methods to examine each of our measures of interest. Measures of interest could include, for example, quality of and access to care, utilization patterns, expenditures, and beneficiary experience. With these methodologies, we would be able to examine the experience over time relative to those in the comparison groups controlling for as many of the relevant confounding factors as is possible. The evaluation would also include rigorous qualitative analyses in order to capture the evolving nature of the care model interventions.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our design, as we stated in the proposed rule, we plan to take into account the impact of the models at the geographic unit level, the hospital level, and at the patient level. We will also </w:t>
      </w:r>
      <w:r>
        <w:rPr>
          <w:rFonts w:ascii="arial" w:eastAsia="arial" w:hAnsi="arial" w:cs="arial"/>
          <w:b/>
          <w:i w:val="0"/>
          <w:strike w:val="0"/>
          <w:noProof w:val="0"/>
          <w:color w:val="000000"/>
          <w:position w:val="0"/>
          <w:sz w:val="20"/>
          <w:u w:val="none"/>
          <w:vertAlign w:val="baseline"/>
        </w:rPr>
        <w:t> [*518] </w:t>
      </w:r>
      <w:r>
        <w:rPr>
          <w:rFonts w:ascii="arial" w:eastAsia="arial" w:hAnsi="arial" w:cs="arial"/>
          <w:b w:val="0"/>
          <w:i w:val="0"/>
          <w:strike w:val="0"/>
          <w:noProof w:val="0"/>
          <w:color w:val="000000"/>
          <w:position w:val="0"/>
          <w:sz w:val="20"/>
          <w:u w:val="none"/>
          <w:vertAlign w:val="baseline"/>
        </w:rPr>
        <w:t xml:space="preserve"> consider various statistical methods to address factors that could confound or bias our results. For example, we would use statistical techniques to account for clustering of patients within hospitals and markets. Clustering allows our evaluation to compensate for commonalities in beneficiary outcomes by hospitals and by markets. Thus, in our analysis, if a large hospital consistently has poor performance, clustering would allow us to still be able to detect improved performance in the other, smaller hospitals in a market rather than place too much weight on the results of one hospital and potentially lead to biased estimates and mistaken inferences. Finally, we plan to use various statistical techniques to examine the effects of the models while also taking into account the effects of other ongoing interventions such as BPCI and the Shared Savings Program. For example, we will consider additional regression techniques to help identify and evaluate the incremental effects of adding the EPMs in areas where patients and market areas are already subject to these other interventions as well as potential interactions among these efforts.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Data Collection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consider multiple sources of data to evaluate the effects of the EPMs and CR Incentive models. We expect to base much of our analysis on secondary data sources such as Medicare FFS claims. The beneficiary claims data will provide information such as use of CR, expenditures in total and by type of provider and service as well as whether or not there was an inpatient hospital readmission or a subsequent AMI. In conjunction with the secondary data sources mentioned previously, we will consider a CMS-administered survey of beneficiaries who received a qualifying procedure during the performance period in the EPMs' evaluation. This survey would be administered to beneficiaries who were in the EPMs qualifying episode or similar patients selected as part of a control group. The primary focus of this survey would be to obtain information on the beneficiary's experience in EPMs' episodes relative to usual care. The administration of this beneficiary survey would be coordinated with administration of the HCAHPS survey so as to not conflict with or compromise HCAHPS efforts. For the evaluation of both the EPMs and the CR incentive model, we will consider a survey administered by CMS and guided interviews conducted by CMS with providers and suppliers including, but not limited to, initiating and transfer hospitals, physicians, and post-acute care providers participating in the models. These surveys would provide insight on providers' experience under the model and further information on the care redesign strategies undertaken.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will consider CMS evaluation contractor administered site visits and focus groups with selected hospitals, physicians, and post-acute care providers in EPMs and CR evaluation efforts. We believe that these qualitative methods will provide contextual information that would help us better understand the dynamics and interactions occurring among participants. For example, these data could help us better understand hospitals' intervention plans as well as how they were implemented and what they achieved. Moreover, in contrast to relying on quantitative methods alone, qualitative approaches would enable us to view program nuances as well as identify factors that are associated with successful interventions and distinguish the effects of multiple interventions that may be occurring, such as simultaneous ACO and bundled payment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anticipated that secondary data sources will be the source of most if not all data collection for the FFS-non CR control group; however, we may initiate some data collection from primary data sources for this group if warranted.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Key Evaluation Research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evaluation would assess the impact of the models on the aims of improved care quality and efficiency as well as reduced health care costs. This would include assessments of patient experience of care, utilization, outcomes, Medicare expenditures, quality, and access. Our key evaluation questions would include, but would not be limited to, the following:</w:t>
      </w:r>
    </w:p>
    <w:p>
      <w:pPr>
        <w:keepNext w:val="0"/>
        <w:numPr>
          <w:numId w:val="6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PAYMENT. Is there a reduction in Medicare expenditures in absolute terms? By subcategories? Do the participants reduce or eliminate variations in utilization and/or expenditures that are not attributable to differences in health status? If so, how have they accomplished these changes?</w:t>
      </w:r>
    </w:p>
    <w:p>
      <w:pPr>
        <w:keepNext w:val="0"/>
        <w:numPr>
          <w:numId w:val="6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UTILIZATION. Are there changes in Medicare utilization patterns overall and for specific types of services? How do these patterns compare to matched comparators, historic patterns, regional variations, and national patterns of care? How are these patterns of changing utilization associated with Medicare payments, patient outcomes, and general clinical judgment of appropriate care? For example, in the AMI and CABG episodes, what changes to hospital transfer patterns, if any, could be seen under the models? Has there been any changes to utilization of cardiac rehabilitation services and does this appear to be associated with access to the cardiac rehabilitation incentive payment, participation in the cardiac EPMs or a combination of the two?</w:t>
      </w:r>
    </w:p>
    <w:p>
      <w:pPr>
        <w:keepNext w:val="0"/>
        <w:numPr>
          <w:numId w:val="6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REFERRAL PATTERNS AND MARKET IMPACT. How has the behavior in the selected MSAs changed under the models? Have the referral patterns of type and specific providers changed?</w:t>
      </w:r>
    </w:p>
    <w:p>
      <w:pPr>
        <w:keepNext w:val="0"/>
        <w:numPr>
          <w:numId w:val="6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OUTCOMES/QUALITY. Is there either a negative or positive impact on quality of care and/or better patient experiences of care? Did the incidence of relevant clinical outcomes including but not limited to complications, mortality, readmissions and other subsequent clinically relevant events, and beneficiary pain, functioning, and independence experiences remain constant or decrease? Were there changes in beneficiary outcomes under the models compared to appropriate comparison groups? Was there an impact on quality during the episode/CR care period or in the period immediately preceding or following the episode/CR care period? Was there an impact on measures of relevant long term quality such as mortality at one year after the initiating event?</w:t>
      </w:r>
    </w:p>
    <w:p>
      <w:pPr>
        <w:keepNext w:val="0"/>
        <w:numPr>
          <w:numId w:val="6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UNINTENDED CONSEQUENCES. Did the models result in any unintended consequences, including adverse selection of patients, access problems, cost shifting beyond the episode/CR care period, evidence of delay or stinting of appropriate care, anti-</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effects on local health care markets, or evidence of inappropriate referrals practices? Is so, how, to what extent, and for which beneficiaries or providers?</w:t>
      </w:r>
    </w:p>
    <w:p>
      <w:pPr>
        <w:keepNext w:val="0"/>
        <w:numPr>
          <w:numId w:val="6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POTENTIAL FOR EXTRAPOLATION OF RESULTS. What was the typical patient case mix and how did this compare to regional and national patient populations? What were the characteristics of impacted markets, providers, and patients and to what extent were they reflective of the national sample? Were EPMs and/or the CR incentive model more successful in reducing payments and improving quality in certain types of markets, providers, or patients? To what extent would the results be able to be extrapolated to similar markets and/or nationally?</w:t>
      </w:r>
    </w:p>
    <w:p>
      <w:pPr>
        <w:keepNext w:val="0"/>
        <w:numPr>
          <w:numId w:val="6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EXPLANATIONS FOR VARIATIONS IN IMPACT. What factors are associated with the pattern of results stated previously? Specifically, are they related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Characteristics of the administrative features of the models </w:t>
      </w:r>
      <w:r>
        <w:rPr>
          <w:rFonts w:ascii="arial" w:eastAsia="arial" w:hAnsi="arial" w:cs="arial"/>
          <w:b/>
          <w:i w:val="0"/>
          <w:strike w:val="0"/>
          <w:noProof w:val="0"/>
          <w:color w:val="000000"/>
          <w:position w:val="0"/>
          <w:sz w:val="20"/>
          <w:u w:val="none"/>
          <w:vertAlign w:val="baseline"/>
        </w:rPr>
        <w:t> [*519] </w:t>
      </w:r>
      <w:r>
        <w:rPr>
          <w:rFonts w:ascii="arial" w:eastAsia="arial" w:hAnsi="arial" w:cs="arial"/>
          <w:b w:val="0"/>
          <w:i w:val="0"/>
          <w:strike w:val="0"/>
          <w:noProof w:val="0"/>
          <w:color w:val="000000"/>
          <w:position w:val="0"/>
          <w:sz w:val="20"/>
          <w:u w:val="none"/>
          <w:vertAlign w:val="baseline"/>
        </w:rPr>
        <w:t xml:space="preserve"> including variations by year and factors such as presence of downside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EPM or CR participant's specific features and structure, including such factors as the number of relevant cases, whether they have ability to handle complex cases, profit status, proportion of dually eligibility patients served, and other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EPM or CR participant's care redesign or other interventions and their ability to carry out their planned interventions;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characteristics of the providers and suppliers serving patients during the entirety of the episode or CR care period and the nature of the interaction of these providers and suppliers with the EPM or 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characteristics of the markets and MSAs,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clinical and socio-demographic characteristics associated with the patient populations served.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Evaluation Period and Anticipated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models have a 5-year performance period and the evaluation periods would encompass the entire 5-year period and up to 2 years after. We plan to evaluate the EPMs on an annual basis. However, we recognize, that interim results are subject to issues such as sample size and random fluctuations in practice patterns. Hence, while CMS intends to have internal periodic summaries to offer useful insight during the course of the effort, a final analysis after the end of the 5-year performance period will be important for ultimately synthesizing and validating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comments on our design, evaluation, data collection methods, and research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concerns with the manner in which quality is examined under the EPMs. Specifically, there was concern that the understanding of the impact on quality for these models should include a more comprehensive approach beyond just those quality measures used in the reconciliation methodology. Commenters expressed the belief that the quality measures used in reconciliation were not adequate for the purpose of determining if access and clinical quality were adversely affected. A commenter suggested that CMS examine quality related to the performance of providers aside from the model participant hospitals and that CMS should incorporate measures that reflect the totality of care received in the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commenters for their thoughts and acknowledge the importance of examining the impact of the EPMs on measures of quality of care beyond what is used in the reconciliation methodology. Our intention in the evaluation is to conduct a multifaceted and multi-pronged examination of issues of quality, access, and unintended consequences. The final evaluation design plan for the evaluation of the EPMs will be developed at a future date and will include quality as a key area of research focus. CMS intends to examine issues of quality of care using a variety of metrics and for a variety of patient and provider subgroups.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expressed concern with the possible impact of the EPMs on reducing access to new or to more expensive but higher quality technology and devices. A commenter requested that CMS conduct a formal evaluation of the impact of the EPMs on patient access to newer technology and that CMS make adjustments to care if patient access is compromised. Similarly, another commenter expressed concern that the focus of the model on short-term costs might cause a shift away from new technologies such as angiography with use of Fractional Flow Reserve (FFR). The commenter encouraged CMS to use incentives for newer technologies shown to improve patient outcomes. In addition, a commenter expressed concern that the EPMs would induce undue pressure to use device choices based on considerations other than quality in the treatment of SHFFT.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concerns and will be evaluating treatment patterns and shifts in the evaluation of this mode. We address the issue of new technology and payment in section III.C.3.(b). of this final rule. We note that we do not anticipate data collection related to device use or new technology beyond what is currently available in claims data. The issue of physician or other providers' perception of stinting of care or unintended consequences is an issue that may arise in qualitative data collection efforts such as interviews and focus groups. As with all evaluation topics, CMS will strive to balance the amount of burden placed on the sites with regards to primary data collection in choosing its areas of focus.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Two commenters recommended that CMS increase the frequency with which monitoring and evaluation reports are made public. Quarterly reporting was suggested as commenters believed quarterly public reports would be useful to both the public and the provider community and would help to provide feedback to providers as to what is occurring under the model with respect to unintended consequences so as to allow for adjustments as needed.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need for frequent data updates for these models and strive to provide at least quarterly data feeds to model participants. We refer readers to section III.K. of this final rule for a detailed discussion on the provision of data and claims to participants under the EPMs. One of the purposes for the distribution of this quarterly claims information is to allow for participants to conduct self-assessments of their performance under the model. CMS will be conducting regular interim assessments of the results between the annual reports which will be made publically available. These interim reports examine key metrics which are subject to issues such as sample size and random fluctuations in practice patterns that may be more confusing than illuminative to distribute. Their primary purpose is to highlight possible trends to examine and explore in the annual reports. CMS will consider public release of interim data points on a case by case basis depending on the nature of the findings and the degree of certainty in the results but cannot commit to providing publically available reports on a quarterly basis.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variety of commenters expressed interest in the evaluation of the impact of the EPMs on quality and outcomes. Commenters suggested that the CMS evaluation should incorporate an assessment of whether EPMs had an impact on issues such as:</w:t>
      </w:r>
    </w:p>
    <w:p>
      <w:pPr>
        <w:keepNext w:val="0"/>
        <w:numPr>
          <w:numId w:val="6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Overall procedure volume,</w:t>
      </w:r>
    </w:p>
    <w:p>
      <w:pPr>
        <w:keepNext w:val="0"/>
        <w:numPr>
          <w:numId w:val="6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Shifting of care beyond the 90-day episode,</w:t>
      </w:r>
    </w:p>
    <w:p>
      <w:pPr>
        <w:keepNext w:val="0"/>
        <w:numPr>
          <w:numId w:val="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Stinting of care and reduction in the quality of devices used in SHFFT procedures,</w:t>
      </w:r>
    </w:p>
    <w:p>
      <w:pPr>
        <w:keepNext w:val="0"/>
        <w:numPr>
          <w:numId w:val="6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 shared-decision making related to device selection,</w:t>
      </w:r>
    </w:p>
    <w:p>
      <w:pPr>
        <w:keepNext w:val="0"/>
        <w:numPr>
          <w:numId w:val="6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to hospital transfers in the Cardiac EPMs. The commenter was particularly interested in the extent to which transfers patterns between participating and non-participating hospitals were altered under the model,</w:t>
      </w:r>
    </w:p>
    <w:p>
      <w:pPr>
        <w:keepNext w:val="0"/>
        <w:numPr>
          <w:numId w:val="6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Process measures of quality such as statin use or cardiac rehab referrals, and</w:t>
      </w:r>
    </w:p>
    <w:p>
      <w:pPr>
        <w:keepNext w:val="0"/>
        <w:numPr>
          <w:numId w:val="6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 or inappropriate use of home health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topic areas mentioned by commenters are in alignment with CMS' intended research questions in the evaluation. We appreciate the contribution and insight behind these comments and the focus they offer towards refining the evaluation's areas </w:t>
      </w:r>
      <w:r>
        <w:rPr>
          <w:rFonts w:ascii="arial" w:eastAsia="arial" w:hAnsi="arial" w:cs="arial"/>
          <w:b/>
          <w:i w:val="0"/>
          <w:strike w:val="0"/>
          <w:noProof w:val="0"/>
          <w:color w:val="000000"/>
          <w:position w:val="0"/>
          <w:sz w:val="20"/>
          <w:u w:val="none"/>
          <w:vertAlign w:val="baseline"/>
        </w:rPr>
        <w:t> [*520] </w:t>
      </w:r>
      <w:r>
        <w:rPr>
          <w:rFonts w:ascii="arial" w:eastAsia="arial" w:hAnsi="arial" w:cs="arial"/>
          <w:b w:val="0"/>
          <w:i w:val="0"/>
          <w:strike w:val="0"/>
          <w:noProof w:val="0"/>
          <w:color w:val="000000"/>
          <w:position w:val="0"/>
          <w:sz w:val="20"/>
          <w:u w:val="none"/>
          <w:vertAlign w:val="baseline"/>
        </w:rPr>
        <w:t xml:space="preserve"> of emphasis in understanding the impact of the EPM on the delivery of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Comprehensive Care for Joint Replacement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Participant Hospitals in the CJR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CJR proposed rule </w:t>
      </w:r>
      <w:hyperlink r:id="rId126" w:history="1">
        <w:r>
          <w:rPr>
            <w:rFonts w:ascii="arial" w:eastAsia="arial" w:hAnsi="arial" w:cs="arial"/>
            <w:b w:val="0"/>
            <w:i/>
            <w:strike w:val="0"/>
            <w:noProof w:val="0"/>
            <w:color w:val="0077CC"/>
            <w:position w:val="0"/>
            <w:sz w:val="20"/>
            <w:u w:val="single"/>
            <w:vertAlign w:val="baseline"/>
          </w:rPr>
          <w:t>(80 FR 41207),</w:t>
        </w:r>
      </w:hyperlink>
      <w:r>
        <w:rPr>
          <w:rFonts w:ascii="arial" w:eastAsia="arial" w:hAnsi="arial" w:cs="arial"/>
          <w:b w:val="0"/>
          <w:i w:val="0"/>
          <w:strike w:val="0"/>
          <w:noProof w:val="0"/>
          <w:color w:val="000000"/>
          <w:position w:val="0"/>
          <w:sz w:val="20"/>
          <w:u w:val="none"/>
          <w:vertAlign w:val="baseline"/>
        </w:rPr>
        <w:t xml:space="preserve"> we proposed to require that almost all hospitals paid under the IPPS that are physically located in a county in an MSA selected for participation in the CJR model would be required to participate. In the final rule </w:t>
      </w:r>
      <w:hyperlink r:id="rId21" w:history="1">
        <w:r>
          <w:rPr>
            <w:rFonts w:ascii="arial" w:eastAsia="arial" w:hAnsi="arial" w:cs="arial"/>
            <w:b w:val="0"/>
            <w:i/>
            <w:strike w:val="0"/>
            <w:noProof w:val="0"/>
            <w:color w:val="0077CC"/>
            <w:position w:val="0"/>
            <w:sz w:val="20"/>
            <w:u w:val="single"/>
            <w:vertAlign w:val="baseline"/>
          </w:rPr>
          <w:t>(80 FR 73288),</w:t>
        </w:r>
      </w:hyperlink>
      <w:r>
        <w:rPr>
          <w:rFonts w:ascii="arial" w:eastAsia="arial" w:hAnsi="arial" w:cs="arial"/>
          <w:b w:val="0"/>
          <w:i w:val="0"/>
          <w:strike w:val="0"/>
          <w:noProof w:val="0"/>
          <w:color w:val="000000"/>
          <w:position w:val="0"/>
          <w:sz w:val="20"/>
          <w:u w:val="none"/>
          <w:vertAlign w:val="baseline"/>
        </w:rPr>
        <w:t xml:space="preserve"> we finalized this proposal, noting that we would use the primary physical address associated with a hospital's CCN to identify whether or not a given hospital was physically located in an MSA selected for participation. In response to a commenter's inquiry as to whether all hospitals under a CCN would be required to participate in CJR if a CCN included multiple hospital campuses and some of these campuses were physically located in the MSA while others were not, we stated that since CMS tracks and identifies hospitals using the CCN, all hospital locations associated with that CCN would be required to participate in the model. In order to identify hospitals located in the MSAs selected to participate in the CJR model, we will utilize the primary physical address associated with the CCN. In cases where a CCN is associated with multiple hospital campuses, if the primary CCN address is located in a selected MSAs, all hospital campuses associated with that CCN would be required to participate in CJR unless otherwise excluded. We also noted that our initial analysis of the acute care hospitals in the MSAs selected to participate in CJR indicated that none of the CCNs in the MSAs selected for CJR included multiple campuses crossing MSA boundaries. That is, none of the CCNs with a primary physical address in one of the selected MSAs had multiple campuses physically located in different MSAs that would result in inclusion of a hospital campus not physically located in a selected MSA.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not aware of any participant hospitals currently in the CJR model that are not physically located in one of the 67 MSAs chosen to participate in CJR. However, given the comments we received from the public on the CJR proposed rule </w:t>
      </w:r>
      <w:hyperlink r:id="rId126" w:history="1">
        <w:r>
          <w:rPr>
            <w:rFonts w:ascii="arial" w:eastAsia="arial" w:hAnsi="arial" w:cs="arial"/>
            <w:b w:val="0"/>
            <w:i/>
            <w:strike w:val="0"/>
            <w:noProof w:val="0"/>
            <w:color w:val="0077CC"/>
            <w:position w:val="0"/>
            <w:sz w:val="20"/>
            <w:u w:val="single"/>
            <w:vertAlign w:val="baseline"/>
          </w:rPr>
          <w:t>(80 FR 41207)</w:t>
        </w:r>
      </w:hyperlink>
      <w:r>
        <w:rPr>
          <w:rFonts w:ascii="arial" w:eastAsia="arial" w:hAnsi="arial" w:cs="arial"/>
          <w:b w:val="0"/>
          <w:i w:val="0"/>
          <w:strike w:val="0"/>
          <w:noProof w:val="0"/>
          <w:color w:val="000000"/>
          <w:position w:val="0"/>
          <w:sz w:val="20"/>
          <w:u w:val="none"/>
          <w:vertAlign w:val="baseline"/>
        </w:rPr>
        <w:t xml:space="preserve"> and questions from stakeholders during our implementation of the CJR model, we noted that if a hospital that is not physically located in one of the 67 MSAs participating in CJR bills under a CCN with a primary address in one of the 67 CJR MSAs, whether through a merger or other organizational change, that hospital will be considered a CJR participant as of the date in which the hospital began to bill under the CCN address located within the 67 MSAs. This policy has been in effect since the start of the CJR model on April 1, 2016 and is laid out at § 510.2 (definition of participant hospital).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Inclusion of Reconciliation and Repayment Amounts When Updating Data for Quality-Adjusted Target Prices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CJR proposed rule, commenters encouraged us to include reconciliation payments in updated historical episode spending totals when calculating quality-adjusted target prices for performance years 3 and 4 (based on spending for episodes beginning in years 2014 through 2016) and performance year 5 (based on spending for episodes beginning in 2016 through 2018). (Note that we proposed to replace the term "target price" with the term "quality-adjusted target price," as described further in section V.C. of this final rule.) Commenters were concerned that if we excluded those payments, we would not account for care coordination services that are not paid for under Medicare FFS, but that participant hospitals paid for using reconciliation payments. As a result, we would underestimate hospital costs and prices by not accounting for care coordination services paid for with reconciliation payments. We finalized our proposal to exclude reconciliation payments from expenditure data, noting our view that including reconciliation payments would result in Medicare paying participant hospitals their quality-adjusted target price, regardless of whether the participant hospital's expenditures were above or below that price. We also noted that we had not proposed an alternative in our proposed rule, and that we might consider including reconciliation payments in updating the set of historical years used to calculate quality-adjusted target prices through future rulemaking </w:t>
      </w:r>
      <w:hyperlink r:id="rId21" w:history="1">
        <w:r>
          <w:rPr>
            <w:rFonts w:ascii="arial" w:eastAsia="arial" w:hAnsi="arial" w:cs="arial"/>
            <w:b w:val="0"/>
            <w:i/>
            <w:strike w:val="0"/>
            <w:noProof w:val="0"/>
            <w:color w:val="0077CC"/>
            <w:position w:val="0"/>
            <w:sz w:val="20"/>
            <w:u w:val="single"/>
            <w:vertAlign w:val="baseline"/>
          </w:rPr>
          <w:t>(80 FR 73332).</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upon our further consideration, we proposed to include both reconciliation payments and repayments in our calculations when updating quality-adjusted target prices for performance years 3 and 4 and performance year 5. We want to encourage hospitals to invest in novel ways of coordinating care and improving quality, and we recognize that such activities are not directly reimbursed by Medicare. We agree that including reconciliation payments would more fully recognize the total costs of care under an episode payment model than would excluding those payments. The number of comments we previously received on this topic indicates that excluding reconciliation payments could discourage such investment, due to concerns that quality-adjusted target prices would underestimate the true cost of care. Although including the entire reconciliation payment in our updated quality-adjusted target price calculations could result in overpaying for care coordination services, the impact of including these payments on quality-adjusted target prices will decrease as we move to regional pricing. In addition, we stated our belief that our proposal to also include repayment amounts when updating historical data used to calculate quality-adjusted target prices would mitigate any potential overpayment for care coordination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proposed to include in regional historical episode payments any reconciliation payments and repayment amounts from historical BPCI LEJR episodes initiated at regional hospitals in order to most fully capture the total costs of care under episode payment models. We stated that, if we included reconciliation payments and repayment amounts for CJR episodes but not BPCI LEJR episodes, we would likely underestimate the regional total costs of care to hospitals, which would result in artificially lowered quality-adjusted target prices for participant hospitals, in effect penalizing participant hospitals. By including these amounts from both initiatives we will avoid distorting the regional component of historical LEJR episode spending, which will be especially important once we move to setting prices based on 100 percent regional episode data in performance year 4 of the model. This policy mirrors our proposal to include these reconciliation payments and repayment amounts when updating the historical periods used for EPM quality-adjusted target prices; we refer readers to section III.D.3.e. of this final rule for further discussion of our rationale for this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amend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add a new subsection § 510.300(b)(8) to reflect this proposal. We sought comment on our proposal. 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expressed support for our proposal to </w:t>
      </w:r>
      <w:r>
        <w:rPr>
          <w:rFonts w:ascii="arial" w:eastAsia="arial" w:hAnsi="arial" w:cs="arial"/>
          <w:b/>
          <w:i w:val="0"/>
          <w:strike w:val="0"/>
          <w:noProof w:val="0"/>
          <w:color w:val="000000"/>
          <w:position w:val="0"/>
          <w:sz w:val="20"/>
          <w:u w:val="none"/>
          <w:vertAlign w:val="baseline"/>
        </w:rPr>
        <w:t> [*521] </w:t>
      </w:r>
      <w:r>
        <w:rPr>
          <w:rFonts w:ascii="arial" w:eastAsia="arial" w:hAnsi="arial" w:cs="arial"/>
          <w:b w:val="0"/>
          <w:i w:val="0"/>
          <w:strike w:val="0"/>
          <w:noProof w:val="0"/>
          <w:color w:val="000000"/>
          <w:position w:val="0"/>
          <w:sz w:val="20"/>
          <w:u w:val="none"/>
          <w:vertAlign w:val="baseline"/>
        </w:rPr>
        <w:t xml:space="preserve"> include reconciliation payment and repayment amounts in our calculations for updating quality adjusted target prices. One commenter stated that we should apply this policy for calculating quality adjusted target prices earlier than performance year 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support for our proposal. We disagree with the comment suggesting that we implement this change prior to performance year 3. We note that, because reconciliation takes place 2 months after the completion of a performance year, we will not have calculated reconciliation and repayment amount totals from performance year 1 in adequate time to incorporate them into baseline spending totals used to construct quality-adjusted target prices for performance year 2, even if we were to shift the historical baseline period forward. Since we will not be re-calculating historical baseline episode spending until we set quality-adjusted target prices for performance year 3 based on data from 2014 through 2016, we will not implement this change prior to performance year 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include CJR reconciliation payment and repayment amounts, as well as BPCI LEJR reconciliation payment and repayment amounts from regional hospitals, in the historical episode spending amounts used to calculate quality adjusted target prices for Performance Years 3, 4, and 5 for CJR model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Quality-Adjusted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change the term we use to refer to a CJR participant hospital's episode benchmark price incorporating the effective discount factor based on the participant hospital's quality category to "quality-adjusted target price." This term will replace our prior term, "episode target price," which referred to the episode benchmark price with a 3 percent discount applied. The term quality-adjusted target price would represent the price used at reconciliation to determine whether a CJR participant hospital is eligible for a reconciliation payment or repayment, and the amount of the reconciliation payment or repayment. To clarify, this change would be a change of terminology to more accurately reflect the impact of quality scores on the reconciliation process, and would not change the actual data that hospitals receive. In addition, our proposal to replace the term "episode target price" with "quality-adjusted target price" mirrors the terminology for the proposed EPMs and will reduce confusion for hospitals participating in more than one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w:t>
      </w:r>
      <w:hyperlink r:id="rId127" w:history="1">
        <w:r>
          <w:rPr>
            <w:rFonts w:ascii="arial" w:eastAsia="arial" w:hAnsi="arial" w:cs="arial"/>
            <w:b w:val="0"/>
            <w:i/>
            <w:strike w:val="0"/>
            <w:noProof w:val="0"/>
            <w:color w:val="0077CC"/>
            <w:position w:val="0"/>
            <w:sz w:val="20"/>
            <w:u w:val="single"/>
            <w:vertAlign w:val="baseline"/>
          </w:rPr>
          <w:t>42 CFR 510.300(b)(7)</w:t>
        </w:r>
      </w:hyperlink>
      <w:r>
        <w:rPr>
          <w:rFonts w:ascii="arial" w:eastAsia="arial" w:hAnsi="arial" w:cs="arial"/>
          <w:b w:val="0"/>
          <w:i w:val="0"/>
          <w:strike w:val="0"/>
          <w:noProof w:val="0"/>
          <w:color w:val="000000"/>
          <w:position w:val="0"/>
          <w:sz w:val="20"/>
          <w:u w:val="none"/>
          <w:vertAlign w:val="baseline"/>
        </w:rPr>
        <w:t xml:space="preserve">, CMS provides prospective prices to CJR participant hospitals prior to the performance period in which they apply, incorporating the 3 percent discount that would apply if the hospital is eligible for a reconciliation payment and achieves an "Acceptable" composite quality score category. As discussed in the CJR final rule, a hospital's effective discount percentage may be reduced at reconciliation to account for quality performance </w:t>
      </w:r>
      <w:hyperlink r:id="rId21" w:history="1">
        <w:r>
          <w:rPr>
            <w:rFonts w:ascii="arial" w:eastAsia="arial" w:hAnsi="arial" w:cs="arial"/>
            <w:b w:val="0"/>
            <w:i/>
            <w:strike w:val="0"/>
            <w:noProof w:val="0"/>
            <w:color w:val="0077CC"/>
            <w:position w:val="0"/>
            <w:sz w:val="20"/>
            <w:u w:val="single"/>
            <w:vertAlign w:val="baseline"/>
          </w:rPr>
          <w:t>(80 FR 73378).</w:t>
        </w:r>
      </w:hyperlink>
      <w:r>
        <w:rPr>
          <w:rFonts w:ascii="arial" w:eastAsia="arial" w:hAnsi="arial" w:cs="arial"/>
          <w:b w:val="0"/>
          <w:i w:val="0"/>
          <w:strike w:val="0"/>
          <w:noProof w:val="0"/>
          <w:color w:val="000000"/>
          <w:position w:val="0"/>
          <w:sz w:val="20"/>
          <w:u w:val="none"/>
          <w:vertAlign w:val="baseline"/>
        </w:rPr>
        <w:t xml:space="preserve"> At the conclusion of a performance year, CMS will calculate a composite quality score for each hospital, which determines the effective discount percentage at reconciliation. The CJR final rule outlines the relationship between the composite quality score and the effective discount percentage </w:t>
      </w:r>
      <w:hyperlink r:id="rId21" w:history="1">
        <w:r>
          <w:rPr>
            <w:rFonts w:ascii="arial" w:eastAsia="arial" w:hAnsi="arial" w:cs="arial"/>
            <w:b w:val="0"/>
            <w:i/>
            <w:strike w:val="0"/>
            <w:noProof w:val="0"/>
            <w:color w:val="0077CC"/>
            <w:position w:val="0"/>
            <w:sz w:val="20"/>
            <w:u w:val="single"/>
            <w:vertAlign w:val="baseline"/>
          </w:rPr>
          <w:t>(80 FR 73365).</w:t>
        </w:r>
      </w:hyperlink>
      <w:r>
        <w:rPr>
          <w:rFonts w:ascii="arial" w:eastAsia="arial" w:hAnsi="arial" w:cs="arial"/>
          <w:b w:val="0"/>
          <w:i w:val="0"/>
          <w:strike w:val="0"/>
          <w:noProof w:val="0"/>
          <w:color w:val="000000"/>
          <w:position w:val="0"/>
          <w:sz w:val="20"/>
          <w:u w:val="none"/>
          <w:vertAlign w:val="baseline"/>
        </w:rPr>
        <w:t xml:space="preserve"> That is, a participant hospital may be eligible to earn a greater reconciliation payment or have a lower repayment amount as a result of its quality performance under the model </w:t>
      </w:r>
      <w:hyperlink r:id="rId21" w:history="1">
        <w:r>
          <w:rPr>
            <w:rFonts w:ascii="arial" w:eastAsia="arial" w:hAnsi="arial" w:cs="arial"/>
            <w:b w:val="0"/>
            <w:i/>
            <w:strike w:val="0"/>
            <w:noProof w:val="0"/>
            <w:color w:val="0077CC"/>
            <w:position w:val="0"/>
            <w:sz w:val="20"/>
            <w:u w:val="single"/>
            <w:vertAlign w:val="baseline"/>
          </w:rPr>
          <w:t>(80 FR 73378).</w:t>
        </w:r>
      </w:hyperlink>
      <w:r>
        <w:rPr>
          <w:rFonts w:ascii="arial" w:eastAsia="arial" w:hAnsi="arial" w:cs="arial"/>
          <w:b w:val="0"/>
          <w:i w:val="0"/>
          <w:strike w:val="0"/>
          <w:noProof w:val="0"/>
          <w:color w:val="000000"/>
          <w:position w:val="0"/>
          <w:sz w:val="20"/>
          <w:u w:val="none"/>
          <w:vertAlign w:val="baseline"/>
        </w:rPr>
        <w:t xml:space="preserve"> Hospitals are therefore aware that a different effective discount factor, and thus different quality-adjusted target price, may be utilized at reconciliation to reflect their quality performance under the model, and they could easily estimate the range of potential quality-adjusted target prices that could apply at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clarified the terminology we use to describe the discount factor included in the quality-adjusted target price. The discount factor included in the quality-adjusted target price based on the quality score is referred to as the "effective discount factor." In contrast, the discount factor used to determine repayment amounts in performance years 2 and 3, during which repayment responsibility is being phased in and a lower discount factor applies for purposes of calculating repayment amounts will be referred to as the "applicable discount factor." In performance years 2 and 3, the effective discount factor would continue to apply for hospitals that qualify for and earn a reconciliation payment; the applicable discount factor would only be applied in those cases where a hospital exceeded expected episode spending and would be responsible for repayment.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implement these terminology changes in all communications with participant hospitals 60 days after the change is finalized. We proposed to establish these definitions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510.2 and update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510.300 and § 510.315 to reflect our use of the term "quality-adjusted target price" in lieu of "episode target price" and our use of the term "applicable discount factor." We received no comments regarding our proposed payment terminology changes.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the proposal, without modification, to use the term "quality-adjusted target price" in lieu of "episode target price," and to use the term "applicable discount factor" to refer to the discount used to determine repayment amounts in performance years 2 and 3. We are making one technical change to our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text to avoid inadvertently deleting existing § 510.300(a)(5), by renumbering it to (a)(6).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Reconciliation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final rule, in addition to the changes we proposed, detailed later in this section, we also want to correct an example of a reconciliation calculation that we included in the preamble to the CJR final rule </w:t>
      </w:r>
      <w:hyperlink r:id="rId21" w:history="1">
        <w:r>
          <w:rPr>
            <w:rFonts w:ascii="arial" w:eastAsia="arial" w:hAnsi="arial" w:cs="arial"/>
            <w:b w:val="0"/>
            <w:i/>
            <w:strike w:val="0"/>
            <w:noProof w:val="0"/>
            <w:color w:val="0077CC"/>
            <w:position w:val="0"/>
            <w:sz w:val="20"/>
            <w:u w:val="single"/>
            <w:vertAlign w:val="baseline"/>
          </w:rPr>
          <w:t>(80 FR 73399).</w:t>
        </w:r>
      </w:hyperlink>
      <w:r>
        <w:rPr>
          <w:rFonts w:ascii="arial" w:eastAsia="arial" w:hAnsi="arial" w:cs="arial"/>
          <w:b w:val="0"/>
          <w:i w:val="0"/>
          <w:strike w:val="0"/>
          <w:noProof w:val="0"/>
          <w:color w:val="000000"/>
          <w:position w:val="0"/>
          <w:sz w:val="20"/>
          <w:u w:val="none"/>
          <w:vertAlign w:val="baseline"/>
        </w:rPr>
        <w:t xml:space="preserve"> This example incorrectly suggested that stop-loss and stop-gain limits would be applied separately for each MS-DRG/fracture level. In actuality, we will apply stop-loss and stop-gain limits after aggregating quality-adjusted target prices at reconciliation and episode spending across all MS-DRG/fracture levels for a given hospital participant. This methodology is correctly described in the regulatory text of the CJR final rule </w:t>
      </w:r>
      <w:hyperlink r:id="rId128" w:history="1">
        <w:r>
          <w:rPr>
            <w:rFonts w:ascii="arial" w:eastAsia="arial" w:hAnsi="arial" w:cs="arial"/>
            <w:b w:val="0"/>
            <w:i/>
            <w:strike w:val="0"/>
            <w:noProof w:val="0"/>
            <w:color w:val="0077CC"/>
            <w:position w:val="0"/>
            <w:sz w:val="20"/>
            <w:u w:val="single"/>
            <w:vertAlign w:val="baseline"/>
          </w:rPr>
          <w:t>42 CFR 510.305(e)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are correcting the definition of HCPCS in § 510.2 to read Healthcare Common Procedure Coding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Hospital Responsibility for Increased Post-Episode Payments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CJR final rule, participant hospitals will be responsible for repaying Medicare for post-episode spending that exceeds 3 standard deviations from the regional mean </w:t>
      </w:r>
      <w:hyperlink r:id="rId21" w:history="1">
        <w:r>
          <w:rPr>
            <w:rFonts w:ascii="arial" w:eastAsia="arial" w:hAnsi="arial" w:cs="arial"/>
            <w:b w:val="0"/>
            <w:i/>
            <w:strike w:val="0"/>
            <w:noProof w:val="0"/>
            <w:color w:val="0077CC"/>
            <w:position w:val="0"/>
            <w:sz w:val="20"/>
            <w:u w:val="single"/>
            <w:vertAlign w:val="baseline"/>
          </w:rPr>
          <w:t>(80 FR 73408).</w:t>
        </w:r>
      </w:hyperlink>
      <w:r>
        <w:rPr>
          <w:rFonts w:ascii="arial" w:eastAsia="arial" w:hAnsi="arial" w:cs="arial"/>
          <w:b w:val="0"/>
          <w:i w:val="0"/>
          <w:strike w:val="0"/>
          <w:noProof w:val="0"/>
          <w:color w:val="000000"/>
          <w:position w:val="0"/>
          <w:sz w:val="20"/>
          <w:u w:val="none"/>
          <w:vertAlign w:val="baseline"/>
        </w:rPr>
        <w:t xml:space="preserve"> We refer readers to the CJR final rule </w:t>
      </w:r>
      <w:hyperlink r:id="rId21" w:history="1">
        <w:r>
          <w:rPr>
            <w:rFonts w:ascii="arial" w:eastAsia="arial" w:hAnsi="arial" w:cs="arial"/>
            <w:b w:val="0"/>
            <w:i/>
            <w:strike w:val="0"/>
            <w:noProof w:val="0"/>
            <w:color w:val="0077CC"/>
            <w:position w:val="0"/>
            <w:sz w:val="20"/>
            <w:u w:val="single"/>
            <w:vertAlign w:val="baseline"/>
          </w:rPr>
          <w:t>(80 FR 73407)</w:t>
        </w:r>
      </w:hyperlink>
      <w:r>
        <w:rPr>
          <w:rFonts w:ascii="arial" w:eastAsia="arial" w:hAnsi="arial" w:cs="arial"/>
          <w:b w:val="0"/>
          <w:i w:val="0"/>
          <w:strike w:val="0"/>
          <w:noProof w:val="0"/>
          <w:color w:val="000000"/>
          <w:position w:val="0"/>
          <w:sz w:val="20"/>
          <w:u w:val="none"/>
          <w:vertAlign w:val="baseline"/>
        </w:rPr>
        <w:t xml:space="preserve"> for further discussion of our rationale for holding participant hospitals financially accountable for significant increases in Medicare Parts A and B spending during the 30 days after a CJR episode ends. We also finalized a policy to include the result of our post-episode spending calculation (the amount exceeding 3 standard deviations above the regional mean) in a participant hospital's NPRA for a given performance year; as a result, a hospital's financial responsibility for post-episode spending would be subject to the stop-loss and stop-gain limits we </w:t>
      </w:r>
      <w:r>
        <w:rPr>
          <w:rFonts w:ascii="arial" w:eastAsia="arial" w:hAnsi="arial" w:cs="arial"/>
          <w:b/>
          <w:i w:val="0"/>
          <w:strike w:val="0"/>
          <w:noProof w:val="0"/>
          <w:color w:val="000000"/>
          <w:position w:val="0"/>
          <w:sz w:val="20"/>
          <w:u w:val="none"/>
          <w:vertAlign w:val="baseline"/>
        </w:rPr>
        <w:t> [*522] </w:t>
      </w:r>
      <w:r>
        <w:rPr>
          <w:rFonts w:ascii="arial" w:eastAsia="arial" w:hAnsi="arial" w:cs="arial"/>
          <w:b w:val="0"/>
          <w:i w:val="0"/>
          <w:strike w:val="0"/>
          <w:noProof w:val="0"/>
          <w:color w:val="000000"/>
          <w:position w:val="0"/>
          <w:sz w:val="20"/>
          <w:u w:val="none"/>
          <w:vertAlign w:val="baseline"/>
        </w:rPr>
        <w:t xml:space="preserve"> finalized for the CJR model </w:t>
      </w:r>
      <w:hyperlink r:id="rId21" w:history="1">
        <w:r>
          <w:rPr>
            <w:rFonts w:ascii="arial" w:eastAsia="arial" w:hAnsi="arial" w:cs="arial"/>
            <w:b w:val="0"/>
            <w:i/>
            <w:strike w:val="0"/>
            <w:noProof w:val="0"/>
            <w:color w:val="0077CC"/>
            <w:position w:val="0"/>
            <w:sz w:val="20"/>
            <w:u w:val="single"/>
            <w:vertAlign w:val="baseline"/>
          </w:rPr>
          <w:t>(80 FR 73398).</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modify our policy to hold hospitals responsible for post-episode payments that exceed 3 standard deviations from the regional mean. First, we proposed to calculate post-episode payments using the same timeframes we use for the subsequent reconciliation calculation, not when we conduct the initial reconciliation for a performance year </w:t>
      </w:r>
      <w:hyperlink r:id="rId21" w:history="1">
        <w:r>
          <w:rPr>
            <w:rFonts w:ascii="arial" w:eastAsia="arial" w:hAnsi="arial" w:cs="arial"/>
            <w:b w:val="0"/>
            <w:i/>
            <w:strike w:val="0"/>
            <w:noProof w:val="0"/>
            <w:color w:val="0077CC"/>
            <w:position w:val="0"/>
            <w:sz w:val="20"/>
            <w:u w:val="single"/>
            <w:vertAlign w:val="baseline"/>
          </w:rPr>
          <w:t>(80 FR 73383).</w:t>
        </w:r>
      </w:hyperlink>
      <w:r>
        <w:rPr>
          <w:rFonts w:ascii="arial" w:eastAsia="arial" w:hAnsi="arial" w:cs="arial"/>
          <w:b w:val="0"/>
          <w:i w:val="0"/>
          <w:strike w:val="0"/>
          <w:noProof w:val="0"/>
          <w:color w:val="000000"/>
          <w:position w:val="0"/>
          <w:sz w:val="20"/>
          <w:u w:val="none"/>
          <w:vertAlign w:val="baseline"/>
        </w:rPr>
        <w:t xml:space="preserve"> Given that we will begin reconciliation calculations 2 months after the conclusion of a performance year, we do not believe there would be sufficient time for claims run-out in order to set a reliable regional threshold for determining post-episode spending. Since in all cases any responsibility for post-episode payments would decrease a participant hospital's reconciliation payment or increase its repayment amount, our proposed change would more accurately and fairly hold hospitals accountable for increased post-episode spending. We believe instances in which a CJR participant hospital is responsible for post-episode spending repayment will be rare, given our belief that hospitals in the CJR model will focus on care redesign during the LEJR episode and our other monitoring efforts under the CJR model. Our intent is to prevent hospitals from delaying services or care until the conclusion of a CJR episode by monitoring for cases in which hospitals have significantly increased spending in the 30 days following the episode. Assessing post-episode spending when we have more complete claims information would allow a more accurate assessment of hospitals' behavior under the model and prevent potentially high fluctuations in results that may occur if we calculate regional thresholds and hold hospitals responsible for post-episode spending beginning 2 months after the conclusion of a performance year. We proposed that this modified timeline would be applied to our reconciliation of the first CJR performance year and all performance years thereafter. We stated that we would assess post-episode spending for the first performance year (episodes beginning and ending between April 1, 2016 and December 31, 2016) when we conduct the reconciliation for the second CJR performance year (2017) in early 2018.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proposed that hospital responsibility for post-episode spending will not be subject to the stop-loss and stop-gain limits. Although we believe, as noted previously, that hospital responsibility for post-episode spending will be rare, we also believe that in those cases where a hospital has financial responsibility for post-episode spending, such hospitals should be responsible in full for these amounts. The CJR model includes stop-loss limits, including more generous limits for certain types of hospitals </w:t>
      </w:r>
      <w:hyperlink r:id="rId21" w:history="1">
        <w:r>
          <w:rPr>
            <w:rFonts w:ascii="arial" w:eastAsia="arial" w:hAnsi="arial" w:cs="arial"/>
            <w:b w:val="0"/>
            <w:i/>
            <w:strike w:val="0"/>
            <w:noProof w:val="0"/>
            <w:color w:val="0077CC"/>
            <w:position w:val="0"/>
            <w:sz w:val="20"/>
            <w:u w:val="single"/>
            <w:vertAlign w:val="baseline"/>
          </w:rPr>
          <w:t>(80 FR 73403),</w:t>
        </w:r>
      </w:hyperlink>
      <w:r>
        <w:rPr>
          <w:rFonts w:ascii="arial" w:eastAsia="arial" w:hAnsi="arial" w:cs="arial"/>
          <w:b w:val="0"/>
          <w:i w:val="0"/>
          <w:strike w:val="0"/>
          <w:noProof w:val="0"/>
          <w:color w:val="000000"/>
          <w:position w:val="0"/>
          <w:sz w:val="20"/>
          <w:u w:val="none"/>
          <w:vertAlign w:val="baseline"/>
        </w:rPr>
        <w:t xml:space="preserve"> which are designed to limit a participant hospital's responsibility for episode spending above the quality-adjusted target price during the anchor hospitalization and 90-day post-discharge period. The stop-loss limits are not intended to protect hospitals that engage in inappropriate behavior or shifting of care beyond the episode from financial responsibility for such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implement this policy change when we conduct the subsequent reconciliation calculation for performance year 1 of the model in the first 2 quarters of 2018 and for all performance years thereafter. That is, when we conduct the reconciliation for performance year 1 in early 2017, we would not assess post-episode spending for performance year 1 at that time. Although hospitals would not have been aware of these proposed changes to our reconciliation process during performance year 1 of the model, the proposed changes will not impact the performance year 1 NPRA.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amend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510.305(e), § 510.305(h)(6), and add a new paragraph § 510.305(j)(2) to reflect these proposals. We sought comment on our proposals. We received no comments on our proposal to calculate post-episode spending at the time of the subsequent reconciliation and to exempt post-episode spending from stop-loss limits.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the proposal, without modification, to calculate post-episode spending for each performance year at the time of the subsequent reconciliation for that performance year, and to exempt post-episode spending from stop-loss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ACO Overlap and Subsequent Reconciliation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CJR final rule, we finalized a policy to account for overlap in situations where a portion of the CJR discount percentage is paid out as savings to an ACO participating in the Shared Savings Program or specified ACO models. We refer readers to the CJR final rule for further discussion of this policy and our rationale for this approach </w:t>
      </w:r>
      <w:hyperlink r:id="rId21" w:history="1">
        <w:r>
          <w:rPr>
            <w:rFonts w:ascii="arial" w:eastAsia="arial" w:hAnsi="arial" w:cs="arial"/>
            <w:b w:val="0"/>
            <w:i/>
            <w:strike w:val="0"/>
            <w:noProof w:val="0"/>
            <w:color w:val="0077CC"/>
            <w:position w:val="0"/>
            <w:sz w:val="20"/>
            <w:u w:val="single"/>
            <w:vertAlign w:val="baseline"/>
          </w:rPr>
          <w:t>(80 FR 73395-73398).</w:t>
        </w:r>
      </w:hyperlink>
      <w:r>
        <w:rPr>
          <w:rFonts w:ascii="arial" w:eastAsia="arial" w:hAnsi="arial" w:cs="arial"/>
          <w:b w:val="0"/>
          <w:i w:val="0"/>
          <w:strike w:val="0"/>
          <w:noProof w:val="0"/>
          <w:color w:val="000000"/>
          <w:position w:val="0"/>
          <w:sz w:val="20"/>
          <w:u w:val="none"/>
          <w:vertAlign w:val="baseline"/>
        </w:rPr>
        <w:t xml:space="preserve"> We proposed a modification to how we will account for such cases of overlap in the CJR model at reconciliation. In the final CJR rule, we specified that the results of this overlap calculation would be included in the subsequent reconciliation calculation that occurs 14 months after the conclusion of a performance year </w:t>
      </w:r>
      <w:hyperlink r:id="rId21" w:history="1">
        <w:r>
          <w:rPr>
            <w:rFonts w:ascii="arial" w:eastAsia="arial" w:hAnsi="arial" w:cs="arial"/>
            <w:b w:val="0"/>
            <w:i/>
            <w:strike w:val="0"/>
            <w:noProof w:val="0"/>
            <w:color w:val="0077CC"/>
            <w:position w:val="0"/>
            <w:sz w:val="20"/>
            <w:u w:val="single"/>
            <w:vertAlign w:val="baseline"/>
          </w:rPr>
          <w:t>(80 FR 73383).</w:t>
        </w:r>
      </w:hyperlink>
      <w:r>
        <w:rPr>
          <w:rFonts w:ascii="arial" w:eastAsia="arial" w:hAnsi="arial" w:cs="arial"/>
          <w:b w:val="0"/>
          <w:i w:val="0"/>
          <w:strike w:val="0"/>
          <w:noProof w:val="0"/>
          <w:color w:val="000000"/>
          <w:position w:val="0"/>
          <w:sz w:val="20"/>
          <w:u w:val="none"/>
          <w:vertAlign w:val="baseline"/>
        </w:rPr>
        <w:t xml:space="preserve"> We proposed that the subsequent reconciliation calculation not include the results of this ACO overlap calculation; that is, the subsequent reconciliation calculation will only include calculating the prior performance year's episode spending a second time with more complete claims data and comparing it to the quality-adjusted target price. The ACO overlap calculation will be a separate calculation from the subsequent reconciliation (although both calculations will occur concurrently) and added with the NPRA, subsequent reconciliation calculation, and post-episode spending calculation to determine the reconciliation payment or repayment amount at reconciliation. The effect of this proposal will be that these overlap amounts will not be subject to the stop-loss or stop-gain limits that apply to the calculation of the NPRA and subsequent reconciliation calculation. We believed this change was appropriate because the subsequent reconciliation calculation is intended to account for claims run-out and canceled episodes, and to reassess CJR episode spending during the model performance years. The stop-loss limit, therefore, is intended to ensure that participant hospitals that do not reduce actual episode payments below the quality-adjusted target price have a limit on the amount they must repay Medicare due to spending during CJR episodes. The stop-gain limit, conversely, is intended to place judicious limits on the degree to which hospitals can be rewarded based on responsible stewardship of CMS resources. In contrast, the ACO overlap calculation is intended to account for cases in which a portion of the CJR discount percentage is paid out to an ACO as shared savings, and does not hinge upon a participant hospital's performance in the CJR model. If ACO overlap amounts are included in calculations of the stop-loss limit, CMS could in some cases pay twice for the same cost-reducing activities, thereby skewing the model results. We believe the stop-loss and stop-gains should provide limits on the amount a hospital could earn or lose due to episode spending, not limit CMS's ability to adjust for overlap between models. For these reasons, we do not believe our policy to avoid paying out savings twice for the same beneficiary during the same period should be subject to the stop-loss or stop-gain limits. More details on how the proposed modification will impact the steps involved in the reconciliation </w:t>
      </w:r>
      <w:r>
        <w:rPr>
          <w:rFonts w:ascii="arial" w:eastAsia="arial" w:hAnsi="arial" w:cs="arial"/>
          <w:b/>
          <w:i w:val="0"/>
          <w:strike w:val="0"/>
          <w:noProof w:val="0"/>
          <w:color w:val="000000"/>
          <w:position w:val="0"/>
          <w:sz w:val="20"/>
          <w:u w:val="none"/>
          <w:vertAlign w:val="baseline"/>
        </w:rPr>
        <w:t> [*523] </w:t>
      </w:r>
      <w:r>
        <w:rPr>
          <w:rFonts w:ascii="arial" w:eastAsia="arial" w:hAnsi="arial" w:cs="arial"/>
          <w:b w:val="0"/>
          <w:i w:val="0"/>
          <w:strike w:val="0"/>
          <w:noProof w:val="0"/>
          <w:color w:val="000000"/>
          <w:position w:val="0"/>
          <w:sz w:val="20"/>
          <w:u w:val="none"/>
          <w:vertAlign w:val="baseline"/>
        </w:rPr>
        <w:t xml:space="preserve"> process are provided further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implement the policy change when we conduct the subsequent reconciliation calculation for performance year 1 of the model in the first 2 quarters of 2018 and for all performance years thereafter. Although hospitals would not have been aware of these proposed changes to our reconciliation process during performance year 1 of the model, we believed this timeframe was reasonable for the following reasons. First, if CMS must recoup a portion of the CJR discount percentage paid out as shared savings, this calculation must occur during the same timeframe as the subsequent reconciliation calculation for a given performance year to ensure that the ACO models and program have already completed their financial reconciliation for a given performance year. Second, this policy change (that is, not including the ACO overlap calculation in assessing whether a hospital has met the stop-loss or stop-gain limit for a given year) will not impact the performance year 1 NPRA.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add a new paragraph to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510.305(i). We sought comment on our proposal. We received no comments on our proposal to calculate ACO overlap amounts separately from the subsequent reconciliation, so that ACO overlap amounts will not be subject to stop-loss limits.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the proposal, without modification, to perform ACO overlap calculations separately from the subsequent reconciliation, so that ACO overlap amounts will not be subject to stop-loss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Stop-Loss and Stop-Gain Limits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CJR final rule, we finalized our proposal to limit the amount a CJR participant hospital will be required to repay Medicare or could earn as a reconciliation payment under the CJR model. Specifically, we stated that CJR participant hospitals would be subject to the following stop-loss limits: 5 percent in performance year 2, 10 percent in performance year 3, and 20 percent in performance years 4 and 5. Similarly, we finalized symmetrical stop-gain limits: 5 percent in performance years 1 and 2, 10 percent in performance year 3, and 20 percent in performance years 4 and 5 </w:t>
      </w:r>
      <w:hyperlink r:id="rId21" w:history="1">
        <w:r>
          <w:rPr>
            <w:rFonts w:ascii="arial" w:eastAsia="arial" w:hAnsi="arial" w:cs="arial"/>
            <w:b w:val="0"/>
            <w:i/>
            <w:strike w:val="0"/>
            <w:noProof w:val="0"/>
            <w:color w:val="0077CC"/>
            <w:position w:val="0"/>
            <w:sz w:val="20"/>
            <w:u w:val="single"/>
            <w:vertAlign w:val="baseline"/>
          </w:rPr>
          <w:t>(80 FR 73401</w:t>
        </w:r>
      </w:hyperlink>
      <w:r>
        <w:rPr>
          <w:rFonts w:ascii="arial" w:eastAsia="arial" w:hAnsi="arial" w:cs="arial"/>
          <w:b w:val="0"/>
          <w:i w:val="0"/>
          <w:strike w:val="0"/>
          <w:noProof w:val="0"/>
          <w:color w:val="000000"/>
          <w:position w:val="0"/>
          <w:sz w:val="20"/>
          <w:u w:val="none"/>
          <w:vertAlign w:val="baseline"/>
        </w:rPr>
        <w:t xml:space="preserve"> through 73402). We finalized separate limits to provide additional financial protections for rural hospitals, Medicare-dependent hospitals, rural referral centers, and sole community hospitals </w:t>
      </w:r>
      <w:hyperlink r:id="rId21" w:history="1">
        <w:r>
          <w:rPr>
            <w:rFonts w:ascii="arial" w:eastAsia="arial" w:hAnsi="arial" w:cs="arial"/>
            <w:b w:val="0"/>
            <w:i/>
            <w:strike w:val="0"/>
            <w:noProof w:val="0"/>
            <w:color w:val="0077CC"/>
            <w:position w:val="0"/>
            <w:sz w:val="20"/>
            <w:u w:val="single"/>
            <w:vertAlign w:val="baseline"/>
          </w:rPr>
          <w:t>(80 FR 73406).</w:t>
        </w:r>
      </w:hyperlink>
      <w:r>
        <w:rPr>
          <w:rFonts w:ascii="arial" w:eastAsia="arial" w:hAnsi="arial" w:cs="arial"/>
          <w:b w:val="0"/>
          <w:i w:val="0"/>
          <w:strike w:val="0"/>
          <w:noProof w:val="0"/>
          <w:color w:val="000000"/>
          <w:position w:val="0"/>
          <w:sz w:val="20"/>
          <w:u w:val="none"/>
          <w:vertAlign w:val="baseline"/>
        </w:rPr>
        <w:t xml:space="preserve"> These limits are intended to provide financial protections for CJR participant hospitals, who may have varying levels of experience with episode payment models. We finalized symmetrical stop-gain limits to ensure hospitals do not have an incentive to excessively reduce services provided during episodes or shift services outside the CJR episode </w:t>
      </w:r>
      <w:hyperlink r:id="rId21" w:history="1">
        <w:r>
          <w:rPr>
            <w:rFonts w:ascii="arial" w:eastAsia="arial" w:hAnsi="arial" w:cs="arial"/>
            <w:b w:val="0"/>
            <w:i/>
            <w:strike w:val="0"/>
            <w:noProof w:val="0"/>
            <w:color w:val="0077CC"/>
            <w:position w:val="0"/>
            <w:sz w:val="20"/>
            <w:u w:val="single"/>
            <w:vertAlign w:val="baseline"/>
          </w:rPr>
          <w:t>(80 FR 73398).</w:t>
        </w:r>
      </w:hyperlink>
      <w:r>
        <w:rPr>
          <w:rFonts w:ascii="arial" w:eastAsia="arial" w:hAnsi="arial" w:cs="arial"/>
          <w:b w:val="0"/>
          <w:i w:val="0"/>
          <w:strike w:val="0"/>
          <w:noProof w:val="0"/>
          <w:color w:val="000000"/>
          <w:position w:val="0"/>
          <w:sz w:val="20"/>
          <w:u w:val="none"/>
          <w:vertAlign w:val="baseline"/>
        </w:rPr>
        <w:t xml:space="preserve"> As noted previously in this section, we proposed a modification to our application of the stop-loss and stop-gain limits for the CJR model by excluding the post-episode spending amount and situations in which the CJR discount percentage is paid out to an ACO as shared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light of our proposal to exclude the ACO overlap and post-episode spending adjustments from the stop-loss and stop-gain limits, to calculate the stop-loss and stop-gain limits, we would use a hospital's quality-adjusted target price at reconciliation. For example, a hospital with benchmark episode spending of $ 30,000 and a composite quality score of "excellent," would have an effective discount percentage of 1.5 percent and a quality-adjusted target price of $ 29,550 at reconciliation. The hospital's stop-loss and stop-gain limits for year 2 (assuming for simplicity that the hospital has only 1 episode) would be 5 percent of the quality-adjusted target price, or $ 1,477.50. This is consistent with our proposed calculation of stop-loss and stop-gain limits for the proposed EPMs described in section III.C. of this final rule. This approach is also consistent with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510.305(e)(1)(v)(A) and § 510.305(e)(1)(v)(B) to calculate stop-loss and stop-gain based on the effective discount factor at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determine whether a participant hospital has reached the stop-loss or stop-gain limits, we would compare actual episode payments during the performance year to the quality-adjusted target price to calculate the NPRA. In the example previously noted, if the participant hospital had actual episode spending of $ 35,000 during performance year 2, this would be compared against its quality-adjusted target price of $ 29,550. The difference between the quality-adjusted target price and actual episode spending is $ 5,450, but since the applicable stop-loss limit is $ 1,477.50, the hospital would need to repay Medicare $ 1,477.50. In this example, any post-episode spending amount or adjustment for ACO overlap from the prior performance year (performance year 1 in this example) would not be included in determining whether a hospital has met the stop-loss or stop-gain limit for a performance year, but rather would be added, unadjusted, to the performance year 2 NPRA in order to calculate the reconciliation payment or repayment amount. Therefore, if the hospital in this example owed $ 1,000 due to post-episode spending in performance year 1, and we determined that $ 2000 represented the CJR discount percentage that was paid out as shared savings for performance year 1, the full $ 3000 would be added to the hospital's performance year 2 NPRA regardless of stop-loss, resulting in a repayment of $ 4,477.50. In addition, when performing the subsequent reconciliation calculation for performance year 2, which would be done simultaneously with the calculation of NPRA for performance year 3, we would apply the results of the performance year 2 subsequent reconciliation calculation to the year 2 stop-loss limit of $ 1,477.50 to ensure that, aggregated across all episodes in the performance year, the participant hospital is not responsible for repaying Medicare more for episode spending above the quality-adjusted target price than the stop-loss limit for that performance year. Thus, if the subsequent reconciliation calculation determined that the hospital in our example had actually spent $ 36,000 during performance year 2, resulting in a larger difference between actual spending and the quality-adjusted target price, the higher amount of $ 6,450 would still be subject to the stop-loss limit of $ 1,477.50, so the hospital would not be responsible for the additional $ 1,000 of episode spending beyond the quality-adjusted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previously in this section, we proposed to implement these changes to our reconciliation process beginning with the reconciliation for performance year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amend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510.305(e), § 510.305(f), and add a new paragraph (j) to reflect these proposals. We also proposed to streamline § 510.305(i)(2)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proposal. 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that stop-loss be capped at 10 percent for all years of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appreciate the commenter's thoughts on capping stop loss, we note that we did not propose to change the stop-loss and stop-gain limits. As we noted in the CJR final rule </w:t>
      </w:r>
      <w:hyperlink r:id="rId21" w:history="1">
        <w:r>
          <w:rPr>
            <w:rFonts w:ascii="arial" w:eastAsia="arial" w:hAnsi="arial" w:cs="arial"/>
            <w:b w:val="0"/>
            <w:i/>
            <w:strike w:val="0"/>
            <w:noProof w:val="0"/>
            <w:color w:val="0077CC"/>
            <w:position w:val="0"/>
            <w:sz w:val="20"/>
            <w:u w:val="single"/>
            <w:vertAlign w:val="baseline"/>
          </w:rPr>
          <w:t>(80 FR 73401),</w:t>
        </w:r>
      </w:hyperlink>
      <w:r>
        <w:rPr>
          <w:rFonts w:ascii="arial" w:eastAsia="arial" w:hAnsi="arial" w:cs="arial"/>
          <w:b w:val="0"/>
          <w:i w:val="0"/>
          <w:strike w:val="0"/>
          <w:noProof w:val="0"/>
          <w:color w:val="000000"/>
          <w:position w:val="0"/>
          <w:sz w:val="20"/>
          <w:u w:val="none"/>
          <w:vertAlign w:val="baseline"/>
        </w:rPr>
        <w:t xml:space="preserve"> we believe that we have taken sufficient steps to limit downside risk by capping high cost episodes and phasing in downside risk more gradually than originally proposed over performance years 2 and 3. Our proposal here was limited to the manner </w:t>
      </w:r>
      <w:r>
        <w:rPr>
          <w:rFonts w:ascii="arial" w:eastAsia="arial" w:hAnsi="arial" w:cs="arial"/>
          <w:b/>
          <w:i w:val="0"/>
          <w:strike w:val="0"/>
          <w:noProof w:val="0"/>
          <w:color w:val="000000"/>
          <w:position w:val="0"/>
          <w:sz w:val="20"/>
          <w:u w:val="none"/>
          <w:vertAlign w:val="baseline"/>
        </w:rPr>
        <w:t> [*524] </w:t>
      </w:r>
      <w:r>
        <w:rPr>
          <w:rFonts w:ascii="arial" w:eastAsia="arial" w:hAnsi="arial" w:cs="arial"/>
          <w:b w:val="0"/>
          <w:i w:val="0"/>
          <w:strike w:val="0"/>
          <w:noProof w:val="0"/>
          <w:color w:val="000000"/>
          <w:position w:val="0"/>
          <w:sz w:val="20"/>
          <w:u w:val="none"/>
          <w:vertAlign w:val="baseline"/>
        </w:rPr>
        <w:t xml:space="preserve"> in which the stop-loss and stop-gain limits are applied and therefore we decline to adopt the commenter's suggested approach.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apply the stop-loss or stop-gain amount calculated in the first reconciliation to the NPRA of both the first reconciliation and the subsequent reconciliation NPRA, but not to post-episode spending or ACO overlap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Modifications to Reconciliation Process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discussed in this section, we proposed several modifications to how we conduct the reconciliation process for participant hospitals in the CJR model for all performance years. We proposed how these steps would modify the CJR reconciliation process we finalized in the CJR final rule </w:t>
      </w:r>
      <w:hyperlink r:id="rId21" w:history="1">
        <w:r>
          <w:rPr>
            <w:rFonts w:ascii="arial" w:eastAsia="arial" w:hAnsi="arial" w:cs="arial"/>
            <w:b w:val="0"/>
            <w:i/>
            <w:strike w:val="0"/>
            <w:noProof w:val="0"/>
            <w:color w:val="0077CC"/>
            <w:position w:val="0"/>
            <w:sz w:val="20"/>
            <w:u w:val="single"/>
            <w:vertAlign w:val="baseline"/>
          </w:rPr>
          <w:t>(80 FR 73383).</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example illustrates our proposed modifications to the reconciliation process, reflecting our proposals to compare actual episode payments to the quality-adjusted target price; calculate post-episode spending beginning 14 months after the conclusion of a performance year; calculate post-episode spending amounts and the ACO overlap calculation separately from the NPRA and subsequent reconciliation calculation; and apply the stop-loss and stop-gain limits only to calculations of NPRA and the subsequent reconciliation calculation (that is, exclude post-episode spending amounts and the ACO overlap calculation) for a given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Beginning 2 months after the conclusion of performance year 2, CMS would compare actual episode payments to the quality-adjusted target prices for the episodes at a CJR participant hospital. The quality-adjusted target price that applies at reconciliation would be based on a participant hospital's composite quality score for performance year 2. We would aggregate episodes at each CJR participant hospital and calculate the hospital's NPRA. The NPRA would be the difference between the quality-adjusted target price times the number of episodes and actual episode payments times the number of episodes during the performance year. We would apply the stop-gain and stop-loss limits of 5 percent of the quality-adjusted target price to determine if a hospital reached the limit.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simultaneously perform the subsequent reconciliation calculation for performance year 1, to account for claims run-out and canceled episodes from performance year 1. We would reapply the stop-gain limit for performance year 1, by summing the result of the subsequent reconciliation calculation for performance year 1 and the performance year 1 NPRA (which was calculated during the prior reconciliation). For example, if the participant hospital's NPRA for performance year 1 was greater than the stop-gain limit and the result of the subsequent reconciliation calculation for performance year 1 was positive, the subsequent reconciliation calculation would not be added to the reconciliation payment made to the participant hospital in the second quarter of 2018, because the stop-gain limit had already been reached for performance year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Concurrently with our subsequent reconciliation calculation, we would also determine if a participant hospital is responsible for post-episode spending from performance year 1, as well as determine any potential amount of the CJR discount percentage that was paid out as savings to an ACO entity as previously described in this section during performance year 1. In this example, the results of all three calculations (the subsequent reconciliation calculation for performance year 1--subject to the stop-loss and stop-gain limits--and the post-episode spending calculation and ACO overlap calculation) would be added to the NPRA calculated for performance year 2 in order to create the reconciliation payment or repayment amount. (The exception to this pattern will be performance year 5, as the subsequent reconciliation, post-episode spending, and ACO overlap calculations will occur in 2022 without a concurrent NPRA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this approach mirrors the reconciliation process we proposed for the AMI, CABG, and SHFFT models at III.D.5. of this final rule. We refer readers to that section for additional discussion of our approach. 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that reconciliation be performed on a quarterly basis, in order to provide faster feedback to help hospitals improve their overall quality and cost performance.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we did not propose to change the frequency of reconciliation, we decline to adopt this change. As we noted in the CJR final rule </w:t>
      </w:r>
      <w:hyperlink r:id="rId21" w:history="1">
        <w:r>
          <w:rPr>
            <w:rFonts w:ascii="arial" w:eastAsia="arial" w:hAnsi="arial" w:cs="arial"/>
            <w:b w:val="0"/>
            <w:i/>
            <w:strike w:val="0"/>
            <w:noProof w:val="0"/>
            <w:color w:val="0077CC"/>
            <w:position w:val="0"/>
            <w:sz w:val="20"/>
            <w:u w:val="single"/>
            <w:vertAlign w:val="baseline"/>
          </w:rPr>
          <w:t>(80 FR 73385),</w:t>
        </w:r>
      </w:hyperlink>
      <w:r>
        <w:rPr>
          <w:rFonts w:ascii="arial" w:eastAsia="arial" w:hAnsi="arial" w:cs="arial"/>
          <w:b w:val="0"/>
          <w:i w:val="0"/>
          <w:strike w:val="0"/>
          <w:noProof w:val="0"/>
          <w:color w:val="000000"/>
          <w:position w:val="0"/>
          <w:sz w:val="20"/>
          <w:u w:val="none"/>
          <w:vertAlign w:val="baseline"/>
        </w:rPr>
        <w:t xml:space="preserve"> our experience with the BPCI quarterly reconciliation process has shown that, because providers and suppliers have a calendar year to submit FFS claims for payment, many claims are incomplete at the time of an initial quarterly reconciliation, leading to significant fluctuation between initial and subsequent reconciliation calculations. Time spent in such frequent reconciliation and appeals processes can detract from participants' efforts focusing on care redesign and coordination with providers and suppliers engaged in furnishing care for beneficiaries under the model. While quarterly data feeds are subject to similar limitations with respect to the completeness of claims, we believe the quarterly data feeds that hospitals receive, which include both line-level and summary claims data, provide sufficiently detailed and timely feedback to guide quality improvement efforts.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to the CJR pricing and reconciliation process without modification.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Use of Quality Measures and the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Hospitals Included in Quality Performance Distribution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finalized in the CJR final rule, CMS computes quality performance points for each quality measure based on the participant hospital's performance percentile relative to the national distribution of all hospitals' performance on that measure. We proposed to compute quality performance points for each quality measure based on the participant hospital's performance relative to the distribution of performance of all "subsection (d)" hospitals reporting the measure that are eligible for payment under IPPS and meet the minimum patient case or survey count for that measure. This approach is similar to the methodologies of other CMS programs, such as the HVBP Program. In addition, comparing CJR participant hospitals' quality performance to IPPS-eligible subsection (d) hospitals' quality performance on the same measures is a fairer comparison of quality performance, as CJR participant hospitals are all IPPS-eligible subsection (d) hospitals. Defining and limiting the relative distribution in this way will minimize variability due to factors that are unrelated to quality, thereby increasing the validity of the quality performance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amend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510.315(c) to reflect this change. We also proposed a technical change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renumber </w:t>
      </w:r>
      <w:r>
        <w:rPr>
          <w:rFonts w:ascii="arial" w:eastAsia="arial" w:hAnsi="arial" w:cs="arial"/>
          <w:b/>
          <w:i w:val="0"/>
          <w:strike w:val="0"/>
          <w:noProof w:val="0"/>
          <w:color w:val="000000"/>
          <w:position w:val="0"/>
          <w:sz w:val="20"/>
          <w:u w:val="none"/>
          <w:vertAlign w:val="baseline"/>
        </w:rPr>
        <w:t> [*525] </w:t>
      </w:r>
      <w:r>
        <w:rPr>
          <w:rFonts w:ascii="arial" w:eastAsia="arial" w:hAnsi="arial" w:cs="arial"/>
          <w:b w:val="0"/>
          <w:i w:val="0"/>
          <w:strike w:val="0"/>
          <w:noProof w:val="0"/>
          <w:color w:val="000000"/>
          <w:position w:val="0"/>
          <w:sz w:val="20"/>
          <w:u w:val="none"/>
          <w:vertAlign w:val="baseline"/>
        </w:rPr>
        <w:t xml:space="preserve"> certain subparagraphs. We sought comment on our proposals.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did not receive any comments on this section. Therefore, we are finalizing the proposal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Quality Improvement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finalized in the CJR final rule, quality improvement points for each measure are added to the composite quality score if the hospital's score on that quality measure increases by at least 3 deciles on the performance percentile scale compared to the previous performance year. We proposed to clarify that, for performance year 1, we will compare the hospital's performance percentile with the corresponding time period in the previous year, not the previous performance year. We proposed this clarification because there is no performance year preceding performance year 1. For performance years 2 through 5, we will still compare the hospital's performance percentile with the previous performance year. We also proposed to modify this policy to define quality measure improvement as an increase of at least 2 deciles on the performance percentile scale compared to the previous performance year. Reducing the threshold for improvement from 3 deciles to 2 deciles will increase the number of CJR participant hospitals eligible for quality improvement points and provide CJR participant hospitals at all current levels of quality performance, including those historically lagging, with significant incentives to achieve improvement in the quality of care. Quality improvement points can contribute up to 1.8 points toward a CJR participant hospital's composite quality score, so increasing the number of CJR participant hospitals that are eligible for these points may also increase the number of CJR participant hospitals that are eligible for a reduced quality-adjusted target price. As defined in section V.C. of this final rule, the quality-adjusted target price is the price used at reconciliation to determine whether a CJR participant hospital is eligible for a reconciliation payment or repayment and the amount of the reconciliation payment or repayment. This mirrors the approach we proposed for the proposed EPMs as discussed in section III.E.3.c.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amend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510.315(d) to reflect these changes. We sought comment on our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did not receive any comments on this section. Therefore, we are finalizing the proposal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Relationship of Composite Quality Score to Quality Categories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finalized in the CJR final rule, CMS will place participant hospitals into one of four quality categories to determine reconciliation payment eligibility and, if applicable, the value of the effective discount percentage at reconciliation. We refer readers to the CJR final rule for a full discussion of our approach </w:t>
      </w:r>
      <w:hyperlink r:id="rId21" w:history="1">
        <w:r>
          <w:rPr>
            <w:rFonts w:ascii="arial" w:eastAsia="arial" w:hAnsi="arial" w:cs="arial"/>
            <w:b w:val="0"/>
            <w:i/>
            <w:strike w:val="0"/>
            <w:noProof w:val="0"/>
            <w:color w:val="0077CC"/>
            <w:position w:val="0"/>
            <w:sz w:val="20"/>
            <w:u w:val="single"/>
            <w:vertAlign w:val="baseline"/>
          </w:rPr>
          <w:t>(80 FR 73363-73381).</w:t>
        </w:r>
      </w:hyperlink>
      <w:r>
        <w:rPr>
          <w:rFonts w:ascii="arial" w:eastAsia="arial" w:hAnsi="arial" w:cs="arial"/>
          <w:b w:val="0"/>
          <w:i w:val="0"/>
          <w:strike w:val="0"/>
          <w:noProof w:val="0"/>
          <w:color w:val="000000"/>
          <w:position w:val="0"/>
          <w:sz w:val="20"/>
          <w:u w:val="none"/>
          <w:vertAlign w:val="baseline"/>
        </w:rPr>
        <w:t xml:space="preserve"> We described a technical correction to our composite quality scores that will determine reconciliation payment eligibility and the effective discount percentage at reconciliation. We noted that this technical correction does not affect our estimation of savings due to the CJR model, because the measure distribution used for such calculations in the CJR final rule was the correct one we describe in this section.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stated in the proposed rule, participant hospitals will be required to achieve a minimum composite quality score of greater than or equal to 5.0 to be eligible for a reconciliation payment if actual episode spending is less than the target price. Participant hospitals with a composite quality score less than 5.0 will be assigned to the "Below Acceptable" quality category and will not be eligible for a reconciliation payment if actual episode spending is less than the target price. Participant hospitals with a composite quality score greater than or equal to 5.0 and less than 6.9 will be assigned to the "Acceptable" quality category and will be eligible for a reconciliation payment if actual episode spending is less than the target price. Participant hospitals in the "Acceptable" quality category will not be eligible to receive a reduced effective discount percentage at reconciliation. Participant hospitals with a composite quality score greater than or equal to 6.9 and less or equal to 15.0 will be assigned to the "Good" quality category and will be eligible for a reconciliation payment if actual episode spending is less than the target price. Participant hospitals in the "Good" quality category will be eligible to receive a reduced effective discount percentage </w:t>
      </w:r>
      <w:hyperlink r:id="rId21" w:history="1">
        <w:r>
          <w:rPr>
            <w:rFonts w:ascii="arial" w:eastAsia="arial" w:hAnsi="arial" w:cs="arial"/>
            <w:b w:val="0"/>
            <w:i/>
            <w:strike w:val="0"/>
            <w:noProof w:val="0"/>
            <w:color w:val="0077CC"/>
            <w:position w:val="0"/>
            <w:sz w:val="20"/>
            <w:u w:val="single"/>
            <w:vertAlign w:val="baseline"/>
          </w:rPr>
          <w:t>(80 FR 73378).</w:t>
        </w:r>
      </w:hyperlink>
      <w:r>
        <w:rPr>
          <w:rFonts w:ascii="arial" w:eastAsia="arial" w:hAnsi="arial" w:cs="arial"/>
          <w:b w:val="0"/>
          <w:i w:val="0"/>
          <w:strike w:val="0"/>
          <w:noProof w:val="0"/>
          <w:color w:val="000000"/>
          <w:position w:val="0"/>
          <w:sz w:val="20"/>
          <w:u w:val="none"/>
          <w:vertAlign w:val="baseline"/>
        </w:rPr>
        <w:t xml:space="preserve"> Participant hospitals with a composite quality score greater than 15.0 will be assigned to the "Excellent" quality category and will be eligible for a reconciliation payment if actual episode spending is less than the target price. Participant hospitals in the "Excellent" quality category will be eligible to receive a reduced effective discount percentage </w:t>
      </w:r>
      <w:hyperlink r:id="rId21" w:history="1">
        <w:r>
          <w:rPr>
            <w:rFonts w:ascii="arial" w:eastAsia="arial" w:hAnsi="arial" w:cs="arial"/>
            <w:b w:val="0"/>
            <w:i/>
            <w:strike w:val="0"/>
            <w:noProof w:val="0"/>
            <w:color w:val="0077CC"/>
            <w:position w:val="0"/>
            <w:sz w:val="20"/>
            <w:u w:val="single"/>
            <w:vertAlign w:val="baseline"/>
          </w:rPr>
          <w:t>(80 FR 73378).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 that this technical correction would penalize hospitals because fewer hospitals would fall into the "Acceptable" category and, as a result, fewer hospitals would be eligible for a reconciliation payment. Commenters stated that CJR participant hospitals have been modeling savings based on the composite quality scores and corresponding quality categories published in the CJR final rule, and, thus, changing these values would result in a funding shortfall for hospitals that have budgeted for savings based on the original values. Some of these commenters suggested that CMS ensure that all the hospitals that fell into the "Acceptable" category based on composite quality scores and corresponding quality categories in the final rule would also fall in the "Acceptable" category using the proposed corrected values.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concern that the proposed technical correction to the composite quality scores and corresponding quality categories would penalize CJR participant hospitals. In the CJR final rule, we described calculating the quality improvement points separately from the quality performance points for each measure. For example, as finalized in the CJR final rule, hospitals could earn a maximum of 8.0 quality performance points </w:t>
      </w:r>
      <w:hyperlink r:id="rId21" w:history="1">
        <w:r>
          <w:rPr>
            <w:rFonts w:ascii="arial" w:eastAsia="arial" w:hAnsi="arial" w:cs="arial"/>
            <w:b w:val="0"/>
            <w:i/>
            <w:strike w:val="0"/>
            <w:noProof w:val="0"/>
            <w:color w:val="0077CC"/>
            <w:position w:val="0"/>
            <w:sz w:val="20"/>
            <w:u w:val="single"/>
            <w:vertAlign w:val="baseline"/>
          </w:rPr>
          <w:t>(80 FR 73376)</w:t>
        </w:r>
      </w:hyperlink>
      <w:r>
        <w:rPr>
          <w:rFonts w:ascii="arial" w:eastAsia="arial" w:hAnsi="arial" w:cs="arial"/>
          <w:b w:val="0"/>
          <w:i w:val="0"/>
          <w:strike w:val="0"/>
          <w:noProof w:val="0"/>
          <w:color w:val="000000"/>
          <w:position w:val="0"/>
          <w:sz w:val="20"/>
          <w:u w:val="none"/>
          <w:vertAlign w:val="baseline"/>
        </w:rPr>
        <w:t xml:space="preserve"> and a maximum of 0.8 quality improvement points </w:t>
      </w:r>
      <w:hyperlink r:id="rId21" w:history="1">
        <w:r>
          <w:rPr>
            <w:rFonts w:ascii="arial" w:eastAsia="arial" w:hAnsi="arial" w:cs="arial"/>
            <w:b w:val="0"/>
            <w:i/>
            <w:strike w:val="0"/>
            <w:noProof w:val="0"/>
            <w:color w:val="0077CC"/>
            <w:position w:val="0"/>
            <w:sz w:val="20"/>
            <w:u w:val="single"/>
            <w:vertAlign w:val="baseline"/>
          </w:rPr>
          <w:t>(80 FR 73380)</w:t>
        </w:r>
      </w:hyperlink>
      <w:r>
        <w:rPr>
          <w:rFonts w:ascii="arial" w:eastAsia="arial" w:hAnsi="arial" w:cs="arial"/>
          <w:b w:val="0"/>
          <w:i w:val="0"/>
          <w:strike w:val="0"/>
          <w:noProof w:val="0"/>
          <w:color w:val="000000"/>
          <w:position w:val="0"/>
          <w:sz w:val="20"/>
          <w:u w:val="none"/>
          <w:vertAlign w:val="baseline"/>
        </w:rPr>
        <w:t xml:space="preserve"> for the HCAHPS Survey measure. Instead, we should have calculated improvement points as part of the total composite quality score points for a measure. For example, assigning a maximum of 7.2 quality performance points for the HCAHPS Survey measure would have allowed for the addition of a maximum of 0.8 quality improvement points, for a total of 8.0 maximum composite quality score points for the HCAHPS Survey measure. This correct method--calculating improvement points as part of the total composite quality score points for a measure--was the method used to estimate savings for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correct this error, we are finalizing our proposal to change the composite quality scores and corresponding quality categories. We appreciate that this could present a challenge for some hospitals that were expecting to fall into a certain category based on modeling their own composite quality score values. Similar to the method used to estimate savings for the CJR model, the composite quality scores and corresponding quality categories we are </w:t>
      </w:r>
      <w:r>
        <w:rPr>
          <w:rFonts w:ascii="arial" w:eastAsia="arial" w:hAnsi="arial" w:cs="arial"/>
          <w:b/>
          <w:i w:val="0"/>
          <w:strike w:val="0"/>
          <w:noProof w:val="0"/>
          <w:color w:val="000000"/>
          <w:position w:val="0"/>
          <w:sz w:val="20"/>
          <w:u w:val="none"/>
          <w:vertAlign w:val="baseline"/>
        </w:rPr>
        <w:t> [*526] </w:t>
      </w:r>
      <w:r>
        <w:rPr>
          <w:rFonts w:ascii="arial" w:eastAsia="arial" w:hAnsi="arial" w:cs="arial"/>
          <w:b w:val="0"/>
          <w:i w:val="0"/>
          <w:strike w:val="0"/>
          <w:noProof w:val="0"/>
          <w:color w:val="000000"/>
          <w:position w:val="0"/>
          <w:sz w:val="20"/>
          <w:u w:val="none"/>
          <w:vertAlign w:val="baseline"/>
        </w:rPr>
        <w:t xml:space="preserve"> finalizing in this rule will place over 90 percent of participant hospitals in the "Acceptable" category or better. In addition, the changes made to the quality performance distribution and quality improvement points in sections V.E.1. and V.E.2. of this final rule, respectively, will also affect estimations of a hospital's composite quality score. As stated in section V.E.2. of this final rule, reducing the threshold for improvement from 3 deciles to 2 deciles will increase the number of CJR participant hospitals eligible for quality improvement points and, thus, provide more opportunities for hospitals to earn a higher composite quality score.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correct the composite quality scores that will determine reconciliation payment eligibility and the effective discount percentage at reconciliation. We also are making conforming changes to the other provisions in § 510.305 to reflect the new composite quality score ranges for the quality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Maximum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finalized in the CJR final rule, a participant hospital could be awarded a maximum composite quality score of 21.8 if the hospital received maximum quality performance points for each quality measure, maximum quality improvement points for each quality measure, and successfully submitted voluntary patient-reported outcomes and limited risk variable data. We proposed to award up to 10 percent of the maximum measure performance score on the THA/TKA Complications and HCAHPS Survey measures, and to impose a cap on the CJR model composite quality score at 20 points. This change would bring the calculation of the CJR composite quality score into greater alignment with existing CMS programs, such as the HVBP Program, by reducing the number of participants who receive both the highest quality performance score on a measure and the maximum points for measure improvement.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amend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510.315(d) to reflect this change. We sought comment on our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CMS did not receive any comments on this section. Therefore, we are finalizing the proposal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Acknowledgement of Voluntary Data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510.400(c)(3) state that although we do not publicly report the voluntary patient-reported outcomes and limited risk variable data during the CJR model, we do indicate whether a hospital has voluntarily submitted such data. We proposed to amend § 510.400(c)(3) to clarify that we would acknowledge only CJR participant hospitals that successfully submit voluntary patient-reported outcomes and limited risk variable data, in accordance with § 510.400(b). We sought comment on our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CMS did not receive any comments on this section. Therefore, we are finalizing the proposal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Calculation of the HCAHPS Linear Mean Roll-Up (HLMR)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calculate the HCAHPS Linear Mean Roll-up (HLMR) score by taking the average of the linear mean scores (LMS) for 10 of the 11 publicly reported HCAHPS measures for IPPS hospitals with 100 or more completed HCAHPS surveys in a 4-quarter period. The HLMR will summarize HCAHPS performance on all of the publicly reported measures, except for Pain Management. We proposed this change because removal of Pain Management from the HVBP Program was proposed in the Hospital Outpatient Prospective Payment System and Ambulatory Surgical Center Payment System Proposed Rule </w:t>
      </w:r>
      <w:r>
        <w:rPr>
          <w:rFonts w:ascii="arial" w:eastAsia="arial" w:hAnsi="arial" w:cs="arial"/>
          <w:b w:val="0"/>
          <w:i/>
          <w:strike w:val="0"/>
          <w:noProof w:val="0"/>
          <w:color w:val="000000"/>
          <w:position w:val="0"/>
          <w:sz w:val="20"/>
          <w:u w:val="none"/>
          <w:vertAlign w:val="baseline"/>
        </w:rPr>
        <w:t>(81 FR 45603).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mirrors the approach we proposed for the proposed EPMs as discussed in section III.E.4.d.(1)(f) of this final rule.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include the methods to calculate the HLMR, so we refer readers to section III.E.4.d.(1)(f) of this final rule for additional discussion of our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implement the proposed changes to hospitals included in the quality performance distribution, the maximum number of points in the composite quality score, the change from 3 to 2 deciles for assessing quality improvement, and the calculation of the HLMR score starting with the reconciliation for performance year 1 of the CJR model, when we calculate each participant hospital's composite quality score for year 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CMS did not receive any comments on this section. Therefore, we are finalizing the proposal without modification.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Accounting for Overlap With CMS ACO Models and the Shared Savings Program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CJR final rule details our policies to address cases of overlap in which beneficiaries that are aligned or attributed to an ACO model or Shared Savings Program participant are also included in a CJR episode. We recognize that there will be circumstances in which a Medicare beneficiary in a CJR episode is also aligned or attributed to an ACO participating in the Shared Savings Program or a CMS ACO model. In the CJR final rule, we finalized an approach to allow for such cases of overlap and minimize any double counting of savings through the following policies. We will conduct our annual reconciliation prior to the ACO reconciliation process, and make our reconciliation payments and repayment amounts available for the ACO models and program to take into account when performing their reconciliation, as their financial methodologies permit. In addition, in cases where a portion of the CJR discount percentage is paid out as shared savings to a participant hospital that participates in an ACO as a participant or provider/supplier, we would make an adjustment to the participant hospital's reconciliation results. We refer readers to the CJR final rule for a full discussion of our approach and the options we considered </w:t>
      </w:r>
      <w:hyperlink r:id="rId21" w:history="1">
        <w:r>
          <w:rPr>
            <w:rFonts w:ascii="arial" w:eastAsia="arial" w:hAnsi="arial" w:cs="arial"/>
            <w:b w:val="0"/>
            <w:i/>
            <w:strike w:val="0"/>
            <w:noProof w:val="0"/>
            <w:color w:val="0077CC"/>
            <w:position w:val="0"/>
            <w:sz w:val="20"/>
            <w:u w:val="single"/>
            <w:vertAlign w:val="baseline"/>
          </w:rPr>
          <w:t>(80 FR 73387).</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commenters' concerns about our approach, which are summarized in the final rule </w:t>
      </w:r>
      <w:hyperlink r:id="rId21" w:history="1">
        <w:r>
          <w:rPr>
            <w:rFonts w:ascii="arial" w:eastAsia="arial" w:hAnsi="arial" w:cs="arial"/>
            <w:b w:val="0"/>
            <w:i/>
            <w:strike w:val="0"/>
            <w:noProof w:val="0"/>
            <w:color w:val="0077CC"/>
            <w:position w:val="0"/>
            <w:sz w:val="20"/>
            <w:u w:val="single"/>
            <w:vertAlign w:val="baseline"/>
          </w:rPr>
          <w:t>(80 FR 73387)</w:t>
        </w:r>
      </w:hyperlink>
      <w:r>
        <w:rPr>
          <w:rFonts w:ascii="arial" w:eastAsia="arial" w:hAnsi="arial" w:cs="arial"/>
          <w:b w:val="0"/>
          <w:i w:val="0"/>
          <w:strike w:val="0"/>
          <w:noProof w:val="0"/>
          <w:color w:val="000000"/>
          <w:position w:val="0"/>
          <w:sz w:val="20"/>
          <w:u w:val="none"/>
          <w:vertAlign w:val="baseline"/>
        </w:rPr>
        <w:t xml:space="preserve"> we have continued to consider alternative options for accounting for overlap between the ACO models and program and the CJR model. Specifically, we considered, as some commenters suggested, attributing savings achieved during CJR episodes in which beneficiaries are also aligned or attributed to an ACO accepting downside risk to the ACO entity, not the participant hospital. We recognize that ACOs are engaged in care management activities for beneficiaries across the spectrum of care, which may also include care redesign during acute episodes. As a result, we proposed to cancel (or never initiate) a CJR episode for beneficiaries that are prospectively aligned to a Next Generation ACO or ESRD Seamless Care Organization (ESCO) in the Comprehensive ESRD Care initiative in tracks with downside risk for financial losses. While the CJR model excludes beneficiaries whose eligibility for Medicare is on the basis of end stage renal disease, not all beneficiaries aligned to ESCOs meet this criterion. Thus, some beneficiaries aligned to ESCOs could be included in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implement this policy for episodes beginning on or after July 1, 2017, to align with the timeframe for implementation of the proposed AMI, CABG, and SHFFT models which proposed the same exclusion of </w:t>
      </w:r>
      <w:r>
        <w:rPr>
          <w:rFonts w:ascii="arial" w:eastAsia="arial" w:hAnsi="arial" w:cs="arial"/>
          <w:b/>
          <w:i w:val="0"/>
          <w:strike w:val="0"/>
          <w:noProof w:val="0"/>
          <w:color w:val="000000"/>
          <w:position w:val="0"/>
          <w:sz w:val="20"/>
          <w:u w:val="none"/>
          <w:vertAlign w:val="baseline"/>
        </w:rPr>
        <w:t> [*527] </w:t>
      </w:r>
      <w:r>
        <w:rPr>
          <w:rFonts w:ascii="arial" w:eastAsia="arial" w:hAnsi="arial" w:cs="arial"/>
          <w:b w:val="0"/>
          <w:i w:val="0"/>
          <w:strike w:val="0"/>
          <w:noProof w:val="0"/>
          <w:color w:val="000000"/>
          <w:position w:val="0"/>
          <w:sz w:val="20"/>
          <w:u w:val="none"/>
          <w:vertAlign w:val="baseline"/>
        </w:rPr>
        <w:t xml:space="preserve"> beneficiaries aligned to Next Generation ACOs and ESCOs in downside risk tracks. We proposed this change to how we determine episodes included in CJR because these ACOs and ESCOs are accepting a high level of financial risk for the total cost of care for their aligned beneficiaries; for example, Next Generation ACOs are held to as much as 80 percent to 100 percent of first dollar losses. In addition, beneficiaries are prospectively aligned to ACOs in both initiatives. We believe that if we were to implement a policy where we would cancel CJR episodes based on a given beneficiary's ACO alignment status, we would do so only in those cases where the ACO alignment is prospective and does not change during a performance year. In such cases, CJR model participant hospitals could be aware of a beneficiary's ACO alignment status, reducing uncertainty as to whether a given beneficiary is included in the CJR model. We note that we proposed elsewhere in this final rule to exclude beneficiaries prospectively aligned to a Next Generation ACO model participant or an ESCO in the Comprehensive ESRD Care Initiative in a downside risk track from the proposed AMI, CABG, and SHFFT model episodes because we wish to test this alternative approach to ACO overlap. We did not propose to exclude beneficiaries assigned to Shared Savings Program Track 3 ACOs, however, because we intended to test the approach of excluding prospectively-aligned ACO beneficiaries from the CJR model with the limited number of beneficiaries assigned to Next Generation ACOs and ESCOs in a downside risk track. We did not seek to disrupt the operations of our large, permanent ACO program to test this novel approach for accounting for overlap. The Shared Savings Program is a national program; we did not believe that testing a new approach to addressing overlap in a national program would be appropriate prior to testing such an approach with a smaller population. However, we sought comment on whether we should extend this proposed policy--that is, excluding from the CJR model beneficiaries who are prospectively assigned to an ACO--to beneficiaries who are assigned to a Track 3 Shared Savings Program ACO. We refer readers to section III.D.6.c. of this final rule for further discussion of our proposed approach and rationale, including details on how we would operationalize the approach if finalized for CJR or the proposed EPMs.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cases where a beneficiary is in a CJR episode and also aligned to a Pioneer ACO, Medicare Shared Savings Program ACO, or ESCO not participating in a downside risk track, we would not cancel the CJR episode. The policies we previously finalized for accounting for such overlap would continue to apply. We refer readers to the CJR final rule </w:t>
      </w:r>
      <w:hyperlink r:id="rId21" w:history="1">
        <w:r>
          <w:rPr>
            <w:rFonts w:ascii="arial" w:eastAsia="arial" w:hAnsi="arial" w:cs="arial"/>
            <w:b w:val="0"/>
            <w:i/>
            <w:strike w:val="0"/>
            <w:noProof w:val="0"/>
            <w:color w:val="0077CC"/>
            <w:position w:val="0"/>
            <w:sz w:val="20"/>
            <w:u w:val="single"/>
            <w:vertAlign w:val="baseline"/>
          </w:rPr>
          <w:t>(80 FR 73391</w:t>
        </w:r>
      </w:hyperlink>
      <w:r>
        <w:rPr>
          <w:rFonts w:ascii="arial" w:eastAsia="arial" w:hAnsi="arial" w:cs="arial"/>
          <w:b w:val="0"/>
          <w:i w:val="0"/>
          <w:strike w:val="0"/>
          <w:noProof w:val="0"/>
          <w:color w:val="000000"/>
          <w:position w:val="0"/>
          <w:sz w:val="20"/>
          <w:u w:val="none"/>
          <w:vertAlign w:val="baseline"/>
        </w:rPr>
        <w:t xml:space="preserve"> through 73398) for additional discussion of our policies. Because the Pioneer ACO model ends on December 31, 2016, no adjustments are necessary to account for overlap between beneficiaries in the proposed AMI, CABG, and SHFFT models and the Pioneer ACO model. However, since the first CJR performance year began in April 2016, we will make an adjustment for overlap between the two models during the first performance year of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note that we proposed elsewhere in this final rule to allow certain ACOs to be CJR collaborators. Our proposal, which is discussed in detail in section V.J.1.a. of this final rule, would allow for gainsharing arrangements between ACOs (as defined in the CJR rule) and CJR participant hospitals. The proposal would allow such partnerships in regions where such relationships could be mutually beneficial for ACOs and CJR participant hospitals. We believe these proposals will mitigate concerns about the limited opportunities for collaboration between ACOs and CJR participant hospitals that are often caring for the same beneficiaries. We refer readers to section V.J.1.a. of this final rule for additional detail on the proposed and final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addressing overlap between the CJR model and CMS's ACO models and program is included in § 510.305(j)(1). We sought comment on our proposal to exclude beneficiaries aligned to a Next Generation ACO or ESCO downside risk track from the CJR model beginning with episodes that are initiated on or after July 1, 2017. 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support for the proposed exclusion of beneficiaries attributed to ACOs in either the Next Generation ACO or Comprehensive ESRD Care models. A substantial number of these commenters also supported extending the exclusion to beneficiaries attributed to Medicare Shared Savings Program Track 3 ACOs, as Medicare Shared Savings Program Track 3 ACOs include downside risk as well. A number of these commenters recommended extending the exclusion even further to include more ACO related exclusions from the CJR model and expressed concern that the current approach to model overlaps undermines ACOs. One commenter noted that ACOs have invested significant resources in managing acute and post-acute care already and overlap with the CJR model deprives them of a key source of savings and of a return on their investment. In support of this perspective, several commenters recommended the ACO exclusions from CJR should be extended to include beneficiaries attributed to any ACO unless a collaborative agreement is in place. If there is no collaborative agreement in place between a CJR model participant and an ACO that it is not part of, then beneficiaries attributed to that ACO should be excluded from the CJR model episodes.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the range of perspectives expressed by commenters and appreciate the many specific suggestions for handling these overlaps. We also acknowledge the operational challenge both ACOs and CJR hospital participants face and the financial implications for both when there are overlaps. We believe the level and range of comments reflect the challenge in balancing multiple perspectives that we discussed in the proposed rule. The predominance of commenters supported our proposal to exclude from the CJR model those beneficiaries attributed to Next Generation ACOs and the downside risk track of Comprehensive ESRD Care models, and a significant number of commenters made compelling arguments for extending it to Shared Savings Program Track 3 ACOs. These comments have convinced us that the best way to balance the interests of both ACOs and CJR participant hospitals, as well as CMS's interest in maximizing population health and lowering total costs of care, is to finalize our original proposal with the addition of Shared Savings Program Track 3 ACO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describe more fully in section III.D.6.c of this final rule, we believe that existing ACO models that assume downside risk and prospectively commit to coordinating a beneficiary's overall care for the entire year should not be deprived of the opportunity to benefit from cost savings achieved during an LEJR episode of care. Post-acute care, in particular, is an area in which ACOs have made significant investments, and existing ACOs that assume both downside risk and prospective responsibility for a beneficiary's care should have the opportunity to share in the cost savings achieved in the post-acute phase of an LEJR episode. However, we continue to be concerned about depleting the eligible population of CJR participants, which would not only diminish the power of the model test and potentially </w:t>
      </w:r>
      <w:r>
        <w:rPr>
          <w:rFonts w:ascii="arial" w:eastAsia="arial" w:hAnsi="arial" w:cs="arial"/>
          <w:b/>
          <w:i w:val="0"/>
          <w:strike w:val="0"/>
          <w:noProof w:val="0"/>
          <w:color w:val="000000"/>
          <w:position w:val="0"/>
          <w:sz w:val="20"/>
          <w:u w:val="none"/>
          <w:vertAlign w:val="baseline"/>
        </w:rPr>
        <w:t> [*528] </w:t>
      </w:r>
      <w:r>
        <w:rPr>
          <w:rFonts w:ascii="arial" w:eastAsia="arial" w:hAnsi="arial" w:cs="arial"/>
          <w:b w:val="0"/>
          <w:i w:val="0"/>
          <w:strike w:val="0"/>
          <w:noProof w:val="0"/>
          <w:color w:val="000000"/>
          <w:position w:val="0"/>
          <w:sz w:val="20"/>
          <w:u w:val="none"/>
          <w:vertAlign w:val="baseline"/>
        </w:rPr>
        <w:t xml:space="preserve"> exclude patients who would not ultimately be assigned to an ACO, but would also deprive CJR participant hospitals of opportunities to save under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reasons, we are finalizing our proposal with the one modification; that is, we are excluding from the CJR model those beneficiaries that are assigned to a Shared Savings Program ACO participating in Track 3. In order to accurately reflect these changes and align beneficiary inclusion criteria with EPMs, we are also incorporating these changes into the CJR model beneficiary inclusion criteria, which will apply to CJR episodes that begin on or after July 1, 2017.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concern about the challenge of having accurate and timely information on patient attribution with multiple models. They believed it was unrealistic to expect hospital staff and others to be able to accurately identify patients in excluded ACO models and questioned how CJR participants and their partners would be able verify a patient's status.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operational challenges that CJR participants and their collaborating partners face in an environment where there are many, potentially overlapping models in place. We are actively looking for opportunities to reduce operational barriers where we can practically and effectively do so. To this end, we are in the process of developing a web portal where CJR participant hospitals can, at the point of care, look up and identify beneficiaries prospectively assigned to ACOs who will be excluded from the CJR model. This system, which is being developed consistent with the requirements of the Privacy Act and is currently in testing, is expected to be operational when EPMs are implemented in July of 2017. Model participants will be provided with more specific information on this portal project as it is rolled out.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our proposal with the one modification; that is, we are excluding from the CJR model those beneficiaries that are assigned to a Medicare Shared Savings Program ACO participating in Track 3. As discussed in the proposed rule </w:t>
      </w:r>
      <w:hyperlink r:id="rId9" w:history="1">
        <w:r>
          <w:rPr>
            <w:rFonts w:ascii="arial" w:eastAsia="arial" w:hAnsi="arial" w:cs="arial"/>
            <w:b w:val="0"/>
            <w:i/>
            <w:strike w:val="0"/>
            <w:noProof w:val="0"/>
            <w:color w:val="0077CC"/>
            <w:position w:val="0"/>
            <w:sz w:val="20"/>
            <w:u w:val="single"/>
            <w:vertAlign w:val="baseline"/>
          </w:rPr>
          <w:t>(81 FR 50955),</w:t>
        </w:r>
      </w:hyperlink>
      <w:r>
        <w:rPr>
          <w:rFonts w:ascii="arial" w:eastAsia="arial" w:hAnsi="arial" w:cs="arial"/>
          <w:b w:val="0"/>
          <w:i w:val="0"/>
          <w:strike w:val="0"/>
          <w:noProof w:val="0"/>
          <w:color w:val="000000"/>
          <w:position w:val="0"/>
          <w:sz w:val="20"/>
          <w:u w:val="none"/>
          <w:vertAlign w:val="baseline"/>
        </w:rPr>
        <w:t xml:space="preserve"> these exclusions would apply for episodes that begin on or after July 1, 2017. We also note that CMS will implement an on-line system for verification of attribution to support CJR participant hospitals in their ability to identify such excluded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finalizing modifications to the beneficiary inclusion criteria at § 510.205 to indicate that, for episodes beginning on or after July 1, 2017, the CJR model will include Medicare beneficiaries not prospectively assigned to--</w:t>
      </w:r>
    </w:p>
    <w:p>
      <w:pPr>
        <w:keepNext w:val="0"/>
        <w:numPr>
          <w:numId w:val="6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ACO in the Next Generation ACO model;</w:t>
      </w:r>
    </w:p>
    <w:p>
      <w:pPr>
        <w:keepNext w:val="0"/>
        <w:numPr>
          <w:numId w:val="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ACO in a track of the Comprehensive ESRD Care Model incorporating downside risk for financial losses; or</w:t>
      </w:r>
    </w:p>
    <w:p>
      <w:pPr>
        <w:keepNext w:val="0"/>
        <w:numPr>
          <w:numId w:val="6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Shared Savings Program ACO in Track 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Appeals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 CJR model provides that participant hospitals may dispute a calculation that involves a matter related to payment, reconciliation amounts, repayment amounts, or determinations associated with quality measures affecting payment. The hospital is required to provide written notice of the error, in a form and manner specified by CMS, if the hospital wishes to dispute such calculation. Unless the participant hospital provides a written notice of the error, the CJR reconciliation report is deemed final 45 calendar days after it is issued, and CMS will then proceed with the payment or repayment process as applicable. In order to further specify our timeline for this process, we proposed that a timely notice of a calculation error means a notice received by CMS within 45 calendar days of CMS issuing a participant hospital's reconciliation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continuing our efforts to be clear and concise, we proposed to add language to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highlighting the available appeals process for a participant hospital that receives a notice of termination from the CJR model. We previously described the appeals process for notice of termination in the CJR final rule at § 510.310(c), by using the notice of termination as an example of an exception to a participant hospital having to provide CMS with notice of calculation error. A notice of calculation error continues not to be required by participant hospitals that receive a notice of termination, as this matter does not involve an issue contained in, or a calculation that contributes to, a CJR reconciliation report. We proposed that if a participant hospital receives notification that it has been terminated from the CJR model and wishes to appeal such termination, it must provide a written request for reconsideration to CMS requesting review of the termination within 10 calendar days of the notice. Following receipt of the participant hospital's timely written request, CMS would have 30 days to respond to the participant hospital's request for review. If the participant hospital fails to notify CMS, the termination would be deemed final.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amend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510.310 to reflect the proposals, and to correct a technical error in paragraph (d)(6) (which would be renumbered (e)(6)). We also proposed to delete § 510.310(a)(3) in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it is duplicative with § 510.310(a)(1). We sought comment on our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No comments unique to the CJR model were submitted in response to our proposed amendments to the appeals process in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surrounding the appeals processes for the CJR model and EPMs. We refer to section III.C.8 of this final rule for a detailed discussion of comments and responses in regards to the appeal processes for these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In current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510.310(a), a participant hospital may dispute a calculation that involves a matter related to 'determinations associated with quality measures affecting payment.' We explain in the preamble of the CJR final rule that determinations associated with quality measures affecting payment may include the calculation of the percentiles of quality measure performance to determine eligibility to receive a reconciliation payment </w:t>
      </w:r>
      <w:hyperlink r:id="rId21" w:history="1">
        <w:r>
          <w:rPr>
            <w:rFonts w:ascii="arial" w:eastAsia="arial" w:hAnsi="arial" w:cs="arial"/>
            <w:b w:val="0"/>
            <w:i/>
            <w:strike w:val="0"/>
            <w:noProof w:val="0"/>
            <w:color w:val="0077CC"/>
            <w:position w:val="0"/>
            <w:sz w:val="20"/>
            <w:u w:val="single"/>
            <w:vertAlign w:val="baseline"/>
          </w:rPr>
          <w:t>(80 FR. 73411).</w:t>
        </w:r>
      </w:hyperlink>
      <w:r>
        <w:rPr>
          <w:rFonts w:ascii="arial" w:eastAsia="arial" w:hAnsi="arial" w:cs="arial"/>
          <w:b w:val="0"/>
          <w:i w:val="0"/>
          <w:strike w:val="0"/>
          <w:noProof w:val="0"/>
          <w:color w:val="000000"/>
          <w:position w:val="0"/>
          <w:sz w:val="20"/>
          <w:u w:val="none"/>
          <w:vertAlign w:val="baseline"/>
        </w:rPr>
        <w:t xml:space="preserve"> For consistency with the final EPM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in § 512.310(a) that was modified in response to comments in order to more fully identify those determinations associated with quality measures affecting payment that may be disputed under this provision, we are making a technical change in this final rule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at § 510.310(a), that a participant hospital may dispute a calculation that involves a matter related to the use of quality measure results in determining the composite quality score, or the application of the composite quality score during reconciliation. This does not change the substantive standard that we proposed and finalized in the CJR final rule, but rather refines the regulatory text to better reflect our final policy. Therefore, § 510.310(a) is finalized as follows:</w:t>
      </w:r>
    </w:p>
    <w:p>
      <w:pPr>
        <w:keepNext w:val="0"/>
        <w:numPr>
          <w:numId w:val="6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Notice of calculation error (first level of appeal). Subject to the limitations on review in subpart D of Part 510, if a participant hospital wishes to dispute calculations involving a matter related to payment, reconciliation amounts, repayment amounts, the use of quality measure results in determining the composite quality score, or the application of the </w:t>
      </w:r>
      <w:r>
        <w:rPr>
          <w:rFonts w:ascii="arial" w:eastAsia="arial" w:hAnsi="arial" w:cs="arial"/>
          <w:b/>
          <w:i w:val="0"/>
          <w:strike w:val="0"/>
          <w:noProof w:val="0"/>
          <w:color w:val="000000"/>
          <w:position w:val="0"/>
          <w:sz w:val="20"/>
          <w:u w:val="none"/>
          <w:vertAlign w:val="baseline"/>
        </w:rPr>
        <w:t> [*529] </w:t>
      </w:r>
      <w:r>
        <w:rPr>
          <w:rFonts w:ascii="arial" w:eastAsia="arial" w:hAnsi="arial" w:cs="arial"/>
          <w:b w:val="0"/>
          <w:i w:val="0"/>
          <w:strike w:val="0"/>
          <w:noProof w:val="0"/>
          <w:color w:val="000000"/>
          <w:position w:val="0"/>
          <w:sz w:val="20"/>
          <w:u w:val="none"/>
          <w:vertAlign w:val="baseline"/>
        </w:rPr>
        <w:t xml:space="preserve"> composite quality score during reconciliation, the participant hospital is required to provide written notice of the calculation error, in a form and manner specified by CMS.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Beneficiary Notification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stated in the proposed rule, CMS currently requires participant hospitals and CJR collaborators to provide written notice to any Medicare beneficiary that meets certain criteria in § 510.205 of his or her inclusion in the CJR model. The notification must detail the structure of the model, the existence of providers and suppliers with whom the participant hospital has a sharing arrangement, and the fact that the beneficiary retains the freedom of choice. We refer readers to the CJR final rule </w:t>
      </w:r>
      <w:hyperlink r:id="rId21" w:history="1">
        <w:r>
          <w:rPr>
            <w:rFonts w:ascii="arial" w:eastAsia="arial" w:hAnsi="arial" w:cs="arial"/>
            <w:b w:val="0"/>
            <w:i/>
            <w:strike w:val="0"/>
            <w:noProof w:val="0"/>
            <w:color w:val="0077CC"/>
            <w:position w:val="0"/>
            <w:sz w:val="20"/>
            <w:u w:val="single"/>
            <w:vertAlign w:val="baseline"/>
          </w:rPr>
          <w:t>(80 FR 73516-73521)</w:t>
        </w:r>
      </w:hyperlink>
      <w:r>
        <w:rPr>
          <w:rFonts w:ascii="arial" w:eastAsia="arial" w:hAnsi="arial" w:cs="arial"/>
          <w:b w:val="0"/>
          <w:i w:val="0"/>
          <w:strike w:val="0"/>
          <w:noProof w:val="0"/>
          <w:color w:val="000000"/>
          <w:position w:val="0"/>
          <w:sz w:val="20"/>
          <w:u w:val="none"/>
          <w:vertAlign w:val="baseline"/>
        </w:rPr>
        <w:t xml:space="preserve"> for further discussion of these requirements, which are codified under § 510.405. Although we did not propose specific changes to § 510.405(a)(1), which requires that participant hospitals provide CJR beneficiaries with lists of all post-acute care providers in an area, we did proposed a parallel beneficiary notification provision for the EPMs. As discussed in detail in section III.G.2 of this final rule, we received comments on both the EPM beneficiary notification proposals and the existing CJR provision and we are making changes to the EPM beneficiary notification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response to these comments. Since we proposed to maintain alignment between the CJR model and the EPMs to the extent possible as referenced in sections V.C; V.I.1; V.J.1 through V.J.4; and V.K. of the proposed rule, we are also making conforming changes to § 510.405(a)(1) for the CJR model to match the modifications we are finalizing for the EPMs in § 512.450(a)(1). Specifically, we are revising § 510.405(a)(1) to state that as part of discharge planning and referral, participant hospitals must provide a complete list of HHAs, SNFs, IRFs, or LTCHs that are participating in the Medicare program, and that serve the geographic area (as defined by the HHA) in which the patient resides, or in the case of the SNF, IRF, or LTCH, the geographic area requested by the patient. This list must be presented to CJR beneficiaries for whom home health care, SNF, IRF, or LTCH services are medically necessary. In addition, we are adding the definition of area to the CJR model definitions under § 510.2. The definition we are adding is the same definition that is used in the Conditions of Participation (CoP) for discharge planning. Area means "as defined in § 400.200 of this chapter, the geographical area within the boundaries of a State, or a State or other jurisdiction, designated as constituting an area with respect to which a Professional Standards Review Organization or a Utilization and Quality Control Peer Review Organization has been or may be designated." We note that we expect the SNF list provided to a CJR beneficiary would also include all rural hospital providers of SNF-level care in swing beds in the geographic area requested by the patient. We believe that these changes will clarify and streamline the requirements for the provision of the list of post-acute care providers, as well as reduce the burden on participant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we proposed to amend § 510.405 to include all CJR collaborators in the requirements for delivery of beneficiary notices and to streamline our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also proposed to require participant hospitals and CJR collaborators to be able to generate and provide to CMS upon request a list of all beneficiaries who received a notice, including the type of notice and the date it was delivered. We sought comments on all aspects of this proposal. We also note that we proposed, but did not summarize in the preamble, new language for § 510.405(b) that would permit delivery of the hospital detailed beneficiary notice as soon as reasonably practicable after admission, but during the stay and prior to discharge, when a beneficiary's medical condition makes notice on admission infeasible.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expressed concern that the multiple beneficiary notifications required under CMS' proposal would create an overload for CJR beneficiaries, would result in administrative burden on providers, and would be infeasible in some cases. Several commenters also expressed concern about the times at which beneficiaries must receive beneficiary notifications from participant hospitals or CJR collaborators, the requirement that beneficiary notifications must be in writing, and a participant hospital's ability to generate lists of all beneficiaries that received beneficiary notifications.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feedback on our proposals. We received similar comments for the proposed EPM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beneficiary notification and refer readers to III.G.3. for a detailed summary of comments we received and our responses on beneficiary notification as applicable to the CJR model. In response to these comments, we are modifying the notice provisions to, among other things, permit flexibility in the timing of notice delivery as a result of a beneficiary's condition and delay until July 1, 2017 implementation of the requirement that participant hospitals and CJR collaborators be able to generate a list of beneficiaries to whom the notices have been delivered.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 with the current beneficiary notification form provided by CMS on the CJR model's Web site. Commenters requested that we simplify the wording of our current forms as they believe the notifications as written are more sophisticated than a sixth grade reading level, and that beneficiaries find the policy terms discussed throughout the beneficiary notifications confusing.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feedback on the beneficiary notification forms we have made available for use by participant hospitals to assist in compliance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 510.405. We will work to find ways to revise and simplify the language in the beneficiary notification template so that beneficiaries can more easily understand the model. Revised versions of the template will be made available on the CMS Web site soon after the publication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recommended the hospital beneficiary notification clarify for beneficiaries that all hospitals within the metropolitan area are required to participate in the CJR model, as they believe the current beneficiary notification template implies that CJR beneficiaries who do not want to participate in the CJR model are able to seek care at another provider not participating in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feedback. We disagree with the commenter's suggestion to require that the notification state that all hospitals within the applicable metropolitan area are required to participate in the CJR model, because some hospitals in the MSA are not required to participate in light of the exception in § 510.100(b). Moreover, other than participant hospitals, no providers or suppliers are required to participate in the CJR model or enter into a sharing arrangement; therefore, the CJR model does not restrict Medicare beneficiaries' ability to choose any other Medicare enrolled provider or supplier. However, to address the commenter's concern about what the notice template implies, as part of our update to the templates we will explore making changes to provide further information about the scope of the </w:t>
      </w:r>
      <w:r>
        <w:rPr>
          <w:rFonts w:ascii="arial" w:eastAsia="arial" w:hAnsi="arial" w:cs="arial"/>
          <w:b/>
          <w:i w:val="0"/>
          <w:strike w:val="0"/>
          <w:noProof w:val="0"/>
          <w:color w:val="000000"/>
          <w:position w:val="0"/>
          <w:sz w:val="20"/>
          <w:u w:val="none"/>
          <w:vertAlign w:val="baseline"/>
        </w:rPr>
        <w:t> [*530] </w:t>
      </w:r>
      <w:r>
        <w:rPr>
          <w:rFonts w:ascii="arial" w:eastAsia="arial" w:hAnsi="arial" w:cs="arial"/>
          <w:b w:val="0"/>
          <w:i w:val="0"/>
          <w:strike w:val="0"/>
          <w:noProof w:val="0"/>
          <w:color w:val="000000"/>
          <w:position w:val="0"/>
          <w:sz w:val="20"/>
          <w:u w:val="none"/>
          <w:vertAlign w:val="baseline"/>
        </w:rPr>
        <w:t xml:space="preserve"> model and the hospitals that are required to participate.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voiced concern that the current beneficiary notification omits outpatient therapy providers in the list of post-acute care options, noting that this omission could influence a Medicare beneficiary to believe certain treatments or services, such as outpatient physical therapy, are not an option for them in this model. The commenter recommended that at a minimum, beneficiaries should be provided a written list of all of the local providers from whom they can choose to receive their rehabilitation therapy.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Under current CJR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 510.405(a)(1) which complement the discharge planning CoP, participant hospitals must inform beneficiaries of all Medicare participating post-acute care providers in an area and must identify those post-acute care providers with whom they have sharing arrangements. By post-acute care providers we do not mean providers of outpatient therapy services, which are unlikely to be the initial provider/supplier that furnishes rehabilitation services to a CJR beneficiary immediately following discharge from the anchor hospitalization. We mean HHAs, SNFs, IRFs, and LTCHs where post-acute care services may be covered under Part A following hospital discharge. Similar to the discharge planning CoP, we believe the lists provided to CJR beneficiaries at discharge should be of those institutional post-acute providers that provide Part A-covered services if institutional post-acute care is medically necessary for the beneficiary immediately following hospital discharge in order to specifically safeguard beneficiary freedom of choice of post-acute care providers under the CJR model and establish transparency about financial relationships between post-acute care providers and CJR hospital participants. Under the CJR model, we do not require complete lists of other providers or suppliers of outpatient therapy or any other Part B services that a beneficiary might need during the 90-day post-discharge episode duration to be provided by the CJR participant hospital to the beneficiary, just as the discharge planning CoP does not require lists of other providers or suppliers for follow up Part B-covered services to be provided to a patient.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as discussed in this section, in response to comments, we are modifying the requirements of § 510.405(a)(1) to provide greater clarity about the complete list of post-acute care providers to be provided to a CJR beneficiary. Under revised § 510.405(a)(1), participant hospitals will be required to provide, to beneficiaries for whom home health care, SNF, IRF, or LTCH services are medically necessary, a complete list of participating HHAs, SNFs, IRFs, or LTCHs that serve the geographic area in which the patient resides (as defined by the HHA) or in the case of SNFs, IRFs, or LTCS, the area requested by the patient. This revised provision makes clear that CJR participant hospitals need only provide a complete list of HHAs, SNFs, IRFs, or LTCHs to a CJR beneficiary if one of these types of post-acute care services is medically necessary and, in that case, only a list of those post-acute care providers that furnish the medically necessary level of services. In situations where home health care, SNF, IRF, or LTCH services are not medically necessary immediately following discharge, CJR participant hospitals may provide recommendations to CJR beneficiaries about follow up services immediately following discharge and thereafter during the CJR episode, including outpatient therapy services, consistent with all existing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However, we believe it is unlikely that outpatient therapy services immediately following hospital discharge would be a medically appropriate option for most CJR beneficiaries, who would likely be homebound for a period of time and require more comprehensive post-acute care services rather than outpatient therapy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currently participating in the CJR model stated that in cases of emergent fracture, the requirement to provide the beneficiary notification at the time of admission has presented significant operational hurdles, in that these patients upon admission are unable to comprehend the notification and that providing the notification to accompanying family members has resulted in confusion. This commenter recommended that in cases of emergent fracture, the notification should be provided to patients after the surgery, to avoid causing additional confusion and distress for patients experiencing a traumatic event.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feedback. We note that in the case of an emergent patient immediate notification of model participation is not always appropriate, and we note that the first priority of the participant hospital should be providing medical care to the beneficiary. For this reason, we proposed to modify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510.405(b) to permit the notification to be provided to the beneficiary or his or her representative as soon as is reasonably practicable but no later than discharge from the participant hospital accountable for the CJR episode, in cases where the patient's condition makes it infeasible to deliver the notice at admission. We believe that providing the participant hospital this flexibility will avoid causing additional confusion for the beneficiaries and his or her family members. For the same reasons, we are modifying the proposed requirements for CJR collaborator delivery of notices to permit similar flexibility in consideration of a patient's condition.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on EPM and CJR beneficiary notification policies, we are finalizing our proposal to modify § 510.405, with additional modifications. Specifically, we are finalizing changes to § 510.405(a)(1) to specify when a complete list of certain post-acute care providers must be provided to the CJR beneficiary as part of discharge planning and referral. We are also finalizing changes to § 510.405(b) to streamline the requirements for required beneficiary notification and to reduce provider burden and provide additional flexibilities. These changes are effective as of the effective date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we are adding to the list of CJR collaborators, as discussed in section V.J.1.a. of the proposed rule and in this final rule, we proposed to amend the beneficiary notifications requirements at § 510.405(b) to account for these additional types of CJR collaborators. We are finalizing these proposals with modifications to clarify when beneficiary notifications must be provided to beneficiaries, and to address specific requirements for PGPs, NPPGPs, TGPs, members of the PGP, members of the NPPGP, members of the TGP, ACOs, ACO participants, and ACO providers/suppliers. These modifications are made in response to comments on the proposed changes to § 510.405(b) and the corresponding proposals for the EPMs that are discussed in section III.G.3. However, because elsewhere in this final rule we are finalizing our proposals to permit these new types of CJR collaborators effective July 1, 2017, we are similarly delaying the effective date of the beneficiary notice requirements that would apply to these types of CJR collaborators. We believe this approach will reduce confusion that could result from imposing requirements with respect to entities that cannot be CJR collaborators until July 1,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amend § 510.405(b)(4) to reflect changes to the SNF waiver. We did not receive any comments on this </w:t>
      </w:r>
      <w:r>
        <w:rPr>
          <w:rFonts w:ascii="arial" w:eastAsia="arial" w:hAnsi="arial" w:cs="arial"/>
          <w:b/>
          <w:i w:val="0"/>
          <w:strike w:val="0"/>
          <w:noProof w:val="0"/>
          <w:color w:val="000000"/>
          <w:position w:val="0"/>
          <w:sz w:val="20"/>
          <w:u w:val="none"/>
          <w:vertAlign w:val="baseline"/>
        </w:rPr>
        <w:t> [*531] </w:t>
      </w:r>
      <w:r>
        <w:rPr>
          <w:rFonts w:ascii="arial" w:eastAsia="arial" w:hAnsi="arial" w:cs="arial"/>
          <w:b w:val="0"/>
          <w:i w:val="0"/>
          <w:strike w:val="0"/>
          <w:noProof w:val="0"/>
          <w:color w:val="000000"/>
          <w:position w:val="0"/>
          <w:sz w:val="20"/>
          <w:u w:val="none"/>
          <w:vertAlign w:val="baseline"/>
        </w:rPr>
        <w:t xml:space="preserve"> proposal, so we are finalizing the text as proposed, but renumbering to § 510.410(b)(3). We note that we are making conforming changes for related cross-references in § 510.610. These changes are effective as of the effective date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provide CJR hospitals and their collaborators with more time to come into compliance and to provide consistency with the EPMs, we are delaying until July 1, 2017 the effective date of the requirement proposed as § 510.405(b)(5) to generate a list of beneficiaries who have received notifications upon request until July 1, 2017 and are renumbering to § 510.410(b)(4). Effective July 1, 2017 we also will make certain conforming changes to other provisions of § 510.405(b) to reflect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refer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Text section at the end of this final rule for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language.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Compliance Enforcement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numerous amendments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510.410. The amendments are largely to address the revisions to the CJR model to allow for additional financial relationships and to align terminology so that the CJR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mirror the proposed EPM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512.460 in order to avoid confusion for hospitals that are participating in CJR and one or more of the proposed EPMs. Although our proposed changes reflect an intent that compliance enforcement under the CJR model would stay mostly the same, we proposed changes in § 510.410 to adapt it to our proposal to amend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510.500 and § 510.505, as well as to reflect the addition of § 510.506. For example, we proposed to remove the term 'collaborator agreement' from § 510.410 in keeping with the proposed deletion of this concept from § 510.500.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Failure To Comply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CMS may take remedial action against a participant hospital if a participant hospital or any of the hospital's CJR collaborators are noncompliant in any of the ways listed in § 510.410(b)(1). We proposed that CMS may also take remedial action against a participant hospital if any of hospital's related collaboration agents and downstream collaboration agents were noncompliant in order for CMS to have the ability to address any noncompliance of these collaboration agents or downstream collaboration agents. As discussed in section V.J.1.a. of this final rule, the proposed addition of ACOs as CJR collaborators, combined with the proposed modifications of the financial arrangements available under the CJR model, would allow for many additional entities and individuals to have financial arrangements under the CJR model as collaborators, collaboration agents, or downstream collaboration agent. We believe our compliance enforcement must give us the authority to ensure that all such entities and individuals are advancing the goals of the CJR model, such as maintaining access to care. We believe that CJR participant hospitals should ensure that their sharing arrangements, the distribution arrangements of their collaborators, and the downstream distribution arrangements of their collaboration agents comply with the model requirements and safeguard program integrity. Therefore, we proposed that CMS may take remedial actions against the participant hospital if any collaboration agent of such participant hospital's CJR collaborators, or any downstream collaboration agent of such CJR collaboration agent is not compliant with applicable requirements in any of the ways listed in § 510.410(b)(1). Further, we proposed that CMS may take remedial actions against a participant hospital if a participant hospital or any of the participant hospital's CJR collaborators, any collaboration agent of such CJR collaborators or any downstream collaboration agent has signed a sharing arrangement, distribution arrangement, or downstream distribution arrangement that is noncompliant with the requirements of part 510.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amend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510.410 to include these requirements. We sought comment on our proposal. The following is a summary of the comments received and our response.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generally supported the amendments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concerning compliance enforcement. However, some commenters expressed concerns regarding the proposal that participant hospitals are responsible for compliance of CJR collaborators' collaboration agents, and collaboration agents' downstream collaboration agents, and believe these requirements are burdensome for the participant hospital, in that participant hospitals do not have direct contractual relationships with collaboration agents or downstream collaboration agents. Additionally, one commenter expressed concern about the proposal in § 510.410(b)(1)(ix) that CMS may take remedial action when the participant hospital or its related CJR collaborator, collaboration agent, or downstream collaboration is subject to action involving violations of the physician self-referral law, civil monetary penalties law, Federal anti-kickback statute,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or any other applicable Medicare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relevant to the CJR model. The commenter stated that violations of any other applicable Medicare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relevant to CJR model is overly broad and instead, CMS should apply a reasonable knowledge standard to the participant hospital's awareness of a collaborator's involvement in such matters. Commenters also requested that CMS provide in the final rule examples of actions that are not clear violations of existing health care fraud and abuse statutes.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received similar comments and recommendations from commenters for the proposed EPMs compliance enforcement section. Given the proposed amendments to the CJR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compliance enforcement at § 510.410 mirror the proposed EPM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512.460, we refer readers to section III.F.2. for a detailed explanation of our responses as they relate to the CJR model as well as the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510.410 for compliance enforcement, with modifications to delete as redundant the proposal to amend § 510.410(b)(vi) to separately authorize CMS to take remedial action based on non-compliance with requirements specified in § 510.120(b). We are also clarifying that the 25 percent that CMS may add to the repayment amount under certain conditions as set forth in existing § 510.410(b)(3) is a penalty. Additionally, since changes to the financial arrangement provisions discussed in V.J. will not be effective until July 1, 2017, we are also making the amendments to related sections effective July 1, 2017 to avoid confusion and preserve the existing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until these changes take effect.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Financial Arrangements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participant hospitals may engage in financial arrangements under the CJR model. The arrangements published in the CJR final rule </w:t>
      </w:r>
      <w:hyperlink r:id="rId21" w:history="1">
        <w:r>
          <w:rPr>
            <w:rFonts w:ascii="arial" w:eastAsia="arial" w:hAnsi="arial" w:cs="arial"/>
            <w:b w:val="0"/>
            <w:i/>
            <w:strike w:val="0"/>
            <w:noProof w:val="0"/>
            <w:color w:val="0077CC"/>
            <w:position w:val="0"/>
            <w:sz w:val="20"/>
            <w:u w:val="single"/>
            <w:vertAlign w:val="baseline"/>
          </w:rPr>
          <w:t>(80 FR 73412</w:t>
        </w:r>
      </w:hyperlink>
      <w:r>
        <w:rPr>
          <w:rFonts w:ascii="arial" w:eastAsia="arial" w:hAnsi="arial" w:cs="arial"/>
          <w:b w:val="0"/>
          <w:i w:val="0"/>
          <w:strike w:val="0"/>
          <w:noProof w:val="0"/>
          <w:color w:val="000000"/>
          <w:position w:val="0"/>
          <w:sz w:val="20"/>
          <w:u w:val="none"/>
          <w:vertAlign w:val="baseline"/>
        </w:rPr>
        <w:t xml:space="preserve"> through 73437) allow participant hospitals and providers and suppliers caring for CJR beneficiaries to share in the financial risks and rewards under the CJR model, to engage in care redesign and CJR beneficiary care management, and to establish close partnerships with these individuals and entities to promote accountability for </w:t>
      </w:r>
      <w:r>
        <w:rPr>
          <w:rFonts w:ascii="arial" w:eastAsia="arial" w:hAnsi="arial" w:cs="arial"/>
          <w:b/>
          <w:i w:val="0"/>
          <w:strike w:val="0"/>
          <w:noProof w:val="0"/>
          <w:color w:val="000000"/>
          <w:position w:val="0"/>
          <w:sz w:val="20"/>
          <w:u w:val="none"/>
          <w:vertAlign w:val="baseline"/>
        </w:rPr>
        <w:t> [*532] </w:t>
      </w:r>
      <w:r>
        <w:rPr>
          <w:rFonts w:ascii="arial" w:eastAsia="arial" w:hAnsi="arial" w:cs="arial"/>
          <w:b w:val="0"/>
          <w:i w:val="0"/>
          <w:strike w:val="0"/>
          <w:noProof w:val="0"/>
          <w:color w:val="000000"/>
          <w:position w:val="0"/>
          <w:sz w:val="20"/>
          <w:u w:val="none"/>
          <w:vertAlign w:val="baseline"/>
        </w:rPr>
        <w:t xml:space="preserve"> the quality, cost, and overall care for CJR beneficiaries. In order to ensure that goals of the CJR model are met, and to ensure program integrity and protect from abuse, the CJR model has many requirements for financial arrangements. We proposed a full replacement for the prior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financial arrangements §§ 510.500 and § 510.505 in order to streamline and consolidate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line with the proposed financial arrangements for the EPMs at § 512.500 and § 512.505. Our proposals reflected changes from the current CJR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generally fell into the following four categories:</w:t>
      </w:r>
    </w:p>
    <w:p>
      <w:pPr>
        <w:keepNext w:val="0"/>
        <w:numPr>
          <w:numId w:val="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duplication of requirements in similar provisions.</w:t>
      </w:r>
    </w:p>
    <w:p>
      <w:pPr>
        <w:keepNext w:val="0"/>
        <w:numPr>
          <w:numId w:val="6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Streamlining and reorganizing the provisions for clarity and consistency.</w:t>
      </w:r>
    </w:p>
    <w:p>
      <w:pPr>
        <w:keepNext w:val="0"/>
        <w:numPr>
          <w:numId w:val="6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Providing additional flexibility in response to feedback from CJR participant hospitals and other stakeholders.</w:t>
      </w:r>
    </w:p>
    <w:p>
      <w:pPr>
        <w:keepNext w:val="0"/>
        <w:numPr>
          <w:numId w:val="6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Expanding the scope of financial arrangements available under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our proposed changes were largely organizational in nature, not changes to policy or requirements; however, in several cases we proposed new financial arrangements policies and/or requirements for the CJR model. We discuss these policies in detail later in this section and we also refer readers to section III.I. of this final rule for further discussion and rationale behind our proposed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all amendments to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discussed in this section V.J. would be effective beginning July 1, 2017, in order to align with the beginning of the first performance year of the proposed EPMs. We sought comment on all proposals discussed further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several comments for both the CJR model and EPM in regards to the immediate need for waivers of existing fraud and abuse laws as well as the need for revisions to fraud and abuse.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perspectives on fraud and abuse law reform and specific suggestions about fraud and abuse law waivers for CMS-led bundled payment models, including the CJR model and the EPM. As we explain in section III.I.2, these issues are beyond the scope of this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that CMS provide a mechanism for EPM participants and CJR participant hospitals to ask questions about fraud and abuse law waivers.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we noted, section III.I.2, waivers of fraud and abuse laws are outside the scope of this rulemaking. We note that the public may contact CMS with programmatic questions related to the EPM and CJR model by emailing </w:t>
      </w:r>
      <w:hyperlink r:id="rId28" w:history="1">
        <w:r>
          <w:rPr>
            <w:rFonts w:ascii="arial" w:eastAsia="arial" w:hAnsi="arial" w:cs="arial"/>
            <w:b w:val="0"/>
            <w:i/>
            <w:strike w:val="0"/>
            <w:noProof w:val="0"/>
            <w:color w:val="0077CC"/>
            <w:position w:val="0"/>
            <w:sz w:val="20"/>
            <w:u w:val="single"/>
            <w:vertAlign w:val="baseline"/>
          </w:rPr>
          <w:t>epm@cms.hhs.gov</w:t>
        </w:r>
      </w:hyperlink>
      <w:r>
        <w:rPr>
          <w:rFonts w:ascii="arial" w:eastAsia="arial" w:hAnsi="arial" w:cs="arial"/>
          <w:b w:val="0"/>
          <w:i w:val="0"/>
          <w:strike w:val="0"/>
          <w:noProof w:val="0"/>
          <w:color w:val="000000"/>
          <w:position w:val="0"/>
          <w:sz w:val="20"/>
          <w:u w:val="none"/>
          <w:vertAlign w:val="baseline"/>
        </w:rPr>
        <w:t xml:space="preserve"> and </w:t>
      </w:r>
      <w:hyperlink r:id="rId99" w:history="1">
        <w:r>
          <w:rPr>
            <w:rFonts w:ascii="arial" w:eastAsia="arial" w:hAnsi="arial" w:cs="arial"/>
            <w:b w:val="0"/>
            <w:i/>
            <w:strike w:val="0"/>
            <w:noProof w:val="0"/>
            <w:color w:val="0077CC"/>
            <w:position w:val="0"/>
            <w:sz w:val="20"/>
            <w:u w:val="single"/>
            <w:vertAlign w:val="baseline"/>
          </w:rPr>
          <w:t>cjr@cms.hhs.gov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receive any comments on our proposal that all amendments to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discussed in this section V.J. would be effective beginning July 1, 2017, in order to align with the beginning of the first performance year of the proposed EPMs. Therefore, we are finalizing this proposal without modification. In addition, we note that the July 1, 2017 effective date provides CJR participants with additional time to come into compliance with the revised requirements and preserves the existing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until these changes take effect. We refer readers to § 510.2 for effective dates of definitions discussed in section V.J.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Definitions Related to Financial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Addition to the Definition of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align with the proposed financial arrangements for the EPMs and to provide further opportunity for coordination between participant hospitals and their partners in care redesign, we proposed to allow the following entities to be CJR collaborators: ACOs (with the limitations discussed later in this section), hospitals, and CAHs. We believe the proposal would allow for increased care coordination opportunities across the spectrum of care for beneficiaries in CJR episodes. Given that the proposals in this section mirror those proposed for the EPMs in section III.I.3. of this final rule, we refer readers to that section for further discussion of our rationale for allowing ACOs, hospitals, and CAHs to be collaborators.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ACOs and other stakeholders have expressed strong interest in being collaborators in episode payment models such as CJR. In the CJR final rule, we did not include ACOs in the definition of CJR collaborators, responding that we decided to limit the testing of gainsharing relationships to solely those between hospitals and providers and suppliers enrolled in Medicare because we expected enrolled providers and suppliers to be most directly and specifically engaged with the CJR participant hospital in care redesign and episode care for beneficiaries who had surgery at the participant hospitals </w:t>
      </w:r>
      <w:hyperlink r:id="rId21" w:history="1">
        <w:r>
          <w:rPr>
            <w:rFonts w:ascii="arial" w:eastAsia="arial" w:hAnsi="arial" w:cs="arial"/>
            <w:b w:val="0"/>
            <w:i/>
            <w:strike w:val="0"/>
            <w:noProof w:val="0"/>
            <w:color w:val="0077CC"/>
            <w:position w:val="0"/>
            <w:sz w:val="20"/>
            <w:u w:val="single"/>
            <w:vertAlign w:val="baseline"/>
          </w:rPr>
          <w:t>(80 FR 73417).</w:t>
        </w:r>
      </w:hyperlink>
      <w:r>
        <w:rPr>
          <w:rFonts w:ascii="arial" w:eastAsia="arial" w:hAnsi="arial" w:cs="arial"/>
          <w:b w:val="0"/>
          <w:i w:val="0"/>
          <w:strike w:val="0"/>
          <w:noProof w:val="0"/>
          <w:color w:val="000000"/>
          <w:position w:val="0"/>
          <w:sz w:val="20"/>
          <w:u w:val="none"/>
          <w:vertAlign w:val="baseline"/>
        </w:rPr>
        <w:t xml:space="preserve"> We also noted that a number of scenarios discussed by commenters to support their request to allow ACOs to be CJR collaborators could be achieved outside of the context of gainsharing relationships between the participant hospital and ACOs. However, with the steady growth in the number of ACOs and ACO-attributed beneficiaries, we have further considered the potential for ACOs to be CJR collaborators, especially given ACO expertise in care coordination and accountability for the quality and expenditures for health care for ACO-attributed beneficiaries over an annual period. In addition, we note that the challenges of attributing savings and changes in the quality of care for beneficiaries simultaneously in CJR and total cost-of-care models or programs, such as ACOs, remain not fully resolved, as discussed in section III.D.6.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"ACOs," meaning accountable care organizations, as defined at § 425.20, that participate in the Medicare Shared Savings Program and is not in Track 3, be permitted to be CJR collaborators. The proposal would allow locally variable financial arrangements that could account for the way CJR episode care is coordinated and managed in communities, and ensure that entities with appropriate skills and experience are permitted to share in the risks and rewards with participant hospitals. Our proposal would not allow any entities that are not providers or suppliers to be CJR collaborators other than ACOs. Like providers and suppliers, ACOs are regulated by CMS. We can verify that these ACOs meet current Shared Savings Program requirements such that they are suitable for a role as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proposed to allow participant hospitals to enter into financial arrangements with other hospitals and CAHs that care for CJR beneficiaries. We believe it is important to allow participant hospitals to enter into financial arrangements with other hospitals and CAHs that care for CJR beneficiaries, in order to align the financial incentives of such other hospitals and CAHs with the CJR model's goals of improving the quality and efficiency of CJR episodes and to align with the proposed financial arrangements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proposed that the following providers, suppliers, and other entities be added to the list of permissible CJR collaborators: ACOs, hospitals, and CAHs.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sought comment on our proposal to include ACOs, hospitals, and CAHs in the definition of CJR collaborators. </w:t>
      </w:r>
      <w:r>
        <w:rPr>
          <w:rFonts w:ascii="arial" w:eastAsia="arial" w:hAnsi="arial" w:cs="arial"/>
          <w:b/>
          <w:i w:val="0"/>
          <w:strike w:val="0"/>
          <w:noProof w:val="0"/>
          <w:color w:val="000000"/>
          <w:position w:val="0"/>
          <w:sz w:val="20"/>
          <w:u w:val="none"/>
          <w:vertAlign w:val="baseline"/>
        </w:rPr>
        <w:t> [*533]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clarification about whether certain groups of health care professionals that do not include physicians could be CJR collaborators. The commenters requested that, in addition to PGPs, groups of certified registered nurse anesthetists (CRNAs), advanced practice registered nurses (APRNs), outpatient speech-language pathologists, physical therapists, and other qualified licensed healthcare professionals who are not physicians, be permitted to be CJR collaborators. One commenter explained that these groups are identified by a TIN.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pointed out that while the proposed rule specifically listed PGPs as eligible to be CJR collaborators, CMS' proposal did not separately list groups of physical therapists or other therapists as eligible to be CJR collaborators. One commenter asserted that allowing only individual therapists to be CJR collaborators and excluding therapy practice groups from entering into sharing arrangements with EPM participants is shortsighted because rehabilitation therapy practices and independent therapists are likely to be significant contributors to SHFFT episodes. The commenters requested that CMS clarify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explicitly permit groups of therapists to enter into sharing arrangements with participant hospitals. One commenter further proposed that once a therapy practice group contracts with a hospital as a collaborator, it should be up to the practice group to ensure that financial exchanges with the participant hospital were attributed to the physical therapists who directly furnished services to CJR beneficiaries.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of the commenters in ensuring groups of nonphysician practitioners and groups of therapists have the same opportunities to be CJR collaborators that we proposed for PGPs, as well as their interest in allowing financial exchanges with their members who furnished services to CJR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our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individual nonphysician practitioners are permitted to be CJR collaborators. Individual therapists are also permitted to be collaborators to the extent that they fall within the collaborator category in the current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provider or supplier of outpatient therapy services. As collaborators, these individuals would be eligible to receive gainsharing payments from participant hospitals. Moreover, our existing definition of proposal defined a PGP member includes a physician, nonphysician practitioner or therapist who is an owner or employee of a PGP who has reassigned to the PGP his or her right to receive Medicare payments. Accordingly, as PGP members, these nonphysician practitioners and therapists would be eligible for distribution payments and downstream distribution payments from a PGP. We agree with the commenters that because the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our proposed revisions to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addressed the role of PGPs without reference to other types of groups, we left some uncertainty about whether groups without a physician owner or employee are eligible to be CJR collaborators and whether under our proposals such groups would be permitted to enter into distribution arrangements or downstream distribution arrangements with their members. We also agree with the commenters that our provision allowing providers and suppliers of outpatient therapy services to be CJR collaborators is potentially unclear, because this term does separately identify therapists in private practice or groups of therapists in private practice on the list of CJR collaborators, as does our regulatory provision regarding physicians and PGPs. We also appreciate the commenters' uncertainty associated with the fact that we did not address whether a collaborator that was a therapy group practice would be permitted to enter into distribution arrangements or downstream distribution arrangements with their members, given that we did specify this in the language that we proposed for PGPs.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believe it would be appropriate to allow a group of licensed health care professionals to be CJR collaborators if that group consists solely of individuals who are not among the categories of individuals that may be CJR collaborators. However, we believe that if a category of individuals is eligible to be CJR collaborators, then Medicare-enrolled groups that include such individuals should also be permitted to be collaborators. Further, we believe that such groups should also be permitted to enter into distribution arrangements or downstream distribution arrangements with their members. We clarify these policies through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Groups of nonphysician practitioners that do not include a physician are not included in the category of PGPs that are on the current list of CJR collaborators. However, we believe these groups of nonphysician practitioners should be permitted to be CJR collaborators, just as we allow both individual physicians and nonphysician practitioners to be CJR collaborators. We also believe these groups of nonphysician practitioners should be treated similarly to PGPs with regard to their ability to engage in distribution arrangements and downstream distribution arrangements with their members, consistent with our treatment of nonphysician practitioners who are PGP members. Therefore, we are adding to the list of entities that are eligible to be CJR collaborators a nonphysician practitioner group practice (NPPGP), defined as "an entity that is enrolled in Medicare as a group practice, includes at least one owner or employee who is a nonphysician practitioner, does not include a physician owner or employee, and has a valid and active TIN." The requirements for sharing arrangements, distribution arrangements, and downstream distribution arrangements for NPPGPs and NPPGP members are discussed in the sections of this final rule that address our policies for these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further believe that our provisions allowing a provider or supplier of outpatient therapy services to be a CJR collaborator should be modified to provide greater clarity about the providers and suppliers of outpatient therapy services that can be CJR collaborators. The Medicare Claims Processing Manual, Chapter 5, Part B Outpatient Rehabilitation and CORF/OPT Services, Section 10 lists the following Medicare-enrolled providers and suppliers that can submit claims for outpatient therapy services: SNF; outpatient hospital; CAH; HHA; outpatient physical therapy provider (OPT), otherwise known as rehabilitation agency; comprehensive outpatient rehabilitation facility (CORF); physician; nonphysician practitioner; and physical or occupational therapist or speech-language pathologist in private practice. n136 We note that the list of CJR collaborators in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already includes, SNFs, HHAs, physicians, and nonphysician practitioners so their inclusion as collaborators under the definition of provider or supplier of outpatient therapy services is duplicative. Therefore, rather than maintaining a definition of provider of outpatient therapy services which would have included all providers and suppliers of outpatient therapy services, we believe it is clearer to specify individually on the list of CJR collaborators all the types of Medicare-enrolled providers and suppliers that can bill Medicare for </w:t>
      </w:r>
      <w:r>
        <w:rPr>
          <w:rFonts w:ascii="arial" w:eastAsia="arial" w:hAnsi="arial" w:cs="arial"/>
          <w:b/>
          <w:i w:val="0"/>
          <w:strike w:val="0"/>
          <w:noProof w:val="0"/>
          <w:color w:val="000000"/>
          <w:position w:val="0"/>
          <w:sz w:val="20"/>
          <w:u w:val="none"/>
          <w:vertAlign w:val="baseline"/>
        </w:rPr>
        <w:t> [*534] </w:t>
      </w:r>
      <w:r>
        <w:rPr>
          <w:rFonts w:ascii="arial" w:eastAsia="arial" w:hAnsi="arial" w:cs="arial"/>
          <w:b w:val="0"/>
          <w:i w:val="0"/>
          <w:strike w:val="0"/>
          <w:noProof w:val="0"/>
          <w:color w:val="000000"/>
          <w:position w:val="0"/>
          <w:sz w:val="20"/>
          <w:u w:val="none"/>
          <w:vertAlign w:val="baseline"/>
        </w:rPr>
        <w:t xml:space="preserve"> outpatient therapy services. Thus, we are defining a new term therapist in private practice as "a therapist that either: complies with the special provisions for services furnished by physical therapists in private practice in § 410.60(c) of this chapter; or complies with the special provisions for services furnished by occupational therapists in private practice in § 410.59(c) of this chapter; or complies with the special provisions for services furnished by speech-language pathologists in private practice in § 410.62(c) of this chapter." We are adding therapist in private practice to the list of CJR collaborators, which ensures that all individual suppliers of outpatient therapy services are on the CJR collaborator list. In addition, we are revising our definition of provider of outpatient therapy services to mean "an entity that is enrolled in Medicare as a provider of therapy services and furnishes one or more of the following: outpatient physical therapy services as defined in § 410.60 of this chapter; outpatient occupational therapy services as defined in § 410.59 of this chapter; outpatient speech-language pathology services as defined in § 410.62 of this chapter." Under this revised definition, provider of outpatient therapy services now includes only those entities that enroll in Medicare specifically as a provider of outpatient physical therapy/occupational therapy/speech-language pathology services, and we are revising the list of CJR collaborators to use this defined term in place of "provider or supplier of outpatient therapy services." Finally, in addition to finalizing our proposal to add hospitals and CAHs to the list of CJR collaborators, we are adding CORFs to the list of CJR collaborators because it is the only other type of provider that can furnish outpatient therapy services that is not included on the CJR collaborator list under our new and revised terms. Thus, with the addition of therapy group practices as discussed specifically below, in total, these changes to the definitions and supplements to the list of CJR collaborators clarify which individuals and entities may be CJR collaborators by separately specifying each type of supplier and provider of outpatient therapy services that is eligible to be a CJR collaborator.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 </w:t>
      </w:r>
      <w:hyperlink r:id="rId100" w:history="1">
        <w:r>
          <w:rPr>
            <w:rFonts w:ascii="arial" w:eastAsia="arial" w:hAnsi="arial" w:cs="arial"/>
            <w:b w:val="0"/>
            <w:i/>
            <w:strike w:val="0"/>
            <w:noProof w:val="0"/>
            <w:color w:val="0077CC"/>
            <w:position w:val="0"/>
            <w:sz w:val="20"/>
            <w:u w:val="single"/>
            <w:vertAlign w:val="baseline"/>
          </w:rPr>
          <w:t>https://www.cms.gov/</w:t>
        </w:r>
      </w:hyperlink>
      <w:hyperlink r:id="rId100" w:history="1">
        <w:r>
          <w:rPr>
            <w:rFonts w:ascii="arial" w:eastAsia="arial" w:hAnsi="arial" w:cs="arial"/>
            <w:b/>
            <w:i/>
            <w:strike w:val="0"/>
            <w:noProof w:val="0"/>
            <w:color w:val="0077CC"/>
            <w:position w:val="0"/>
            <w:sz w:val="20"/>
            <w:u w:val="single"/>
            <w:vertAlign w:val="baseline"/>
          </w:rPr>
          <w:t>Regulations</w:t>
        </w:r>
      </w:hyperlink>
      <w:hyperlink r:id="rId100" w:history="1">
        <w:r>
          <w:rPr>
            <w:rFonts w:ascii="arial" w:eastAsia="arial" w:hAnsi="arial" w:cs="arial"/>
            <w:b w:val="0"/>
            <w:i/>
            <w:strike w:val="0"/>
            <w:noProof w:val="0"/>
            <w:color w:val="0077CC"/>
            <w:position w:val="0"/>
            <w:sz w:val="20"/>
            <w:u w:val="single"/>
            <w:vertAlign w:val="baseline"/>
          </w:rPr>
          <w:t>-and-Guidance/Guidance/Manuals/downloads/clm104c05.pdf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specific interest of commenters in therapy practice groups being eligible to be CJR collaborators that can share payments under CJR financial arrangements with their members, we agree with the commenters that such groups should be permitted to be CJR collaborators and to enter into distribution arrangements and downstream distribution arrangements with their members, consistent with our treatment of PGPs and NPPGPs. Thus, we are defining therapy group practice (TGP) as "an entity that is enrolled in Medicare as a therapy group in private practice, includes at least one owner or employee that is a therapist in private practice, does not include an owner or employee who is a physician or nonphysician practitioner, and has a valid and active TIN" and adding TGP to the list of CJR collaborators. The requirements for sharing arrangements, distribution arrangements, and downstream distribution arrangements for TGPs and TGP members are discussed in the sections of this final rule that address our policies for these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with the modifications discussed, the definition of CJR collaborator in § 512.2 to mean an ACO or one of the following Medicare-enrolled individuals or entities that enters into a sharing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SNF.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HHA.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LTCH.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IRF.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Physician.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Nonphysician practitioner.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Therapist in private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CORF.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Provider of outpatient therapy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PGP.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CAH.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NPPGP.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TGP.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number of commenters expressed support for CMS' proposed definition of "CJR collaborators," including the proposed addition of ACOs, hospitals, and CAHs to the types of collaborators that were previously adopted for the CJR model. The commenters claimed that allowing additional health care providers, suppliers, and ACOs to be CJR collaborators would further encourage robust care coordination across the CJR episode. Several commenters asserted that by recognizing the expertise that ACOs may offer participant hospitals as CJR collaborators with regard to managing the cost and quality of care that Medicare beneficiaries receive, ACOs will be able to use their substantial expertise and resources to contribute to the CJR model's dual goals of limiting spending and increasing quality. One commenter further commended CMS for making the list of CJR collaborators exhaustive and not including third party conveners, who the commenter believes lack a commitment to patients, local providers, or their community.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some commenters expressed disappointment that the list of CJR collaborators did not include entities such as pharmaceutical companies; medical device companies; medical technology companies; social services aging networks; and other third parties, such as the types of convening organizations participating in other CMMI models. Several commenters believe that were medical device and pharmaceutical manufacturers allowed to be CJR collaborators, those manufacturers may make meaningful contributions to the success of the CJR model by ensuring their products are used appropriately; aligning financial and other incentives to improve patient outcomes; demonstrating the value of their products; and reducing costs. Other commenters who favored adding medical technology companies as CJR collaborators asserted that medical technology companies can make a significant, positive impact on care redesign and cost containment as well as provide integrated data analytic infrastructure and services to optimize care and to achieve quality goals. A few commenters suggested that CMS should expand the list of potential CJR collaborators to include non-provider or non-supplier entities that have a track record of providing Medicare providers and suppliers participating in other models with support services such as care redesign, data analytics, and general program support, as well as community-based organizations that are well-equipped and efficient in providing social and supportive services that help beneficiaries stay out of the hospital. Several commenters also encouraged CMS to include all APM entities as CJR collaborators, reasoning that APM entities are similar to ACOs in that they are a legal entity that is separate from its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one commenter recommended that Next Generation ACOs be included in the definition of ACOs that are on list on CJR collaborators, so the Next Generation ACO may act on behalf of its providers to enter into financial arrangements with participant hospitals for beneficiaries not assigned to the ACO. The commenter explained that not including Next Generation ACOs in the definition of ACOs that CMS proposed could be CJR collaborators will require ACO participants and ACO providers/suppliers of the Next Generation ACO to enter in CJR sharing arrangements on their own without the Next Generation ACO to represent them. </w:t>
      </w:r>
      <w:r>
        <w:rPr>
          <w:rFonts w:ascii="arial" w:eastAsia="arial" w:hAnsi="arial" w:cs="arial"/>
          <w:b/>
          <w:i w:val="0"/>
          <w:strike w:val="0"/>
          <w:noProof w:val="0"/>
          <w:color w:val="000000"/>
          <w:position w:val="0"/>
          <w:sz w:val="20"/>
          <w:u w:val="none"/>
          <w:vertAlign w:val="baseline"/>
        </w:rPr>
        <w:t> [*535]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one commenter shared its perspective that CMS should not restrict the definition of CJR collaborators because such an approach discourages the introduction of new entities and individuals in the healthcare market. The commenter requested that CMS allow market forces to shape the innovation of CJR participants and their community partners in order to determine the financial partnerships that would be most beneficial to achieving the overarching goals of the CJR model. The commenter asserted that being too prescriptive regarding the individuals and entities that can and cannot enter into financial arrangements under the CJR model would not allow for new organizations to develop in the market that may have the potential to generate substantial cost savings for participant hospitals.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of the commenters for our proposed list of the types of individuals and entities that can be CJR collaborators, including our proposal to include hospitals, CAHs, and ACOs that would expand the list beyond current CJR collaborators adopted in the CJR Final Rule </w:t>
      </w:r>
      <w:hyperlink r:id="rId21" w:history="1">
        <w:r>
          <w:rPr>
            <w:rFonts w:ascii="arial" w:eastAsia="arial" w:hAnsi="arial" w:cs="arial"/>
            <w:b w:val="0"/>
            <w:i/>
            <w:strike w:val="0"/>
            <w:noProof w:val="0"/>
            <w:color w:val="0077CC"/>
            <w:position w:val="0"/>
            <w:sz w:val="20"/>
            <w:u w:val="single"/>
            <w:vertAlign w:val="baseline"/>
          </w:rPr>
          <w:t>(80 FR 73418).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some of the potential contributions, such as integrating the data analytic infrastructure and services to optimize care to achieve quality goals, that were suggested by commenters as reasons to allow third parties, such as pharmaceutical, medical device, and medical technology companies as well as other types of convening organizations participating in other CMMI models, to be CJR collaborators can be achieved outside of the context of sharing arrangements through other relationships between the participant hospital and those entities. In response to the specific requests that we include APM entities on the list of CJR collaborators, given that an APM entity, as defined in § 414.1305, means an entity that participates in an APM or payment arrangement with a non-Medicare payer through a direct agreement or through Federal or State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believe that adding all APM entities to the list of CJR collaborators would be overly expansive and risk loosening the clinical link between the CJR collaborator, participant hospital, and beneficiary that we believe is important for improving the quality and reducing the cost of care under the model. With the exception of ACOs, PGPs, NPPGPs, and TGPs, we continue to believe that any CJR collaborator that receives a gainsharing payment must have furnished a billable service included in the episode to a CJR beneficiary and that the payment arrangements for gainsharing payments must be substantially based on the quality of care and the provision of CJR activities. In the case of ACOs, PGP, NPPGPs, and TGPs that are CJR collaborators, we require that the entity itself must have contributed to CJR activities and been clinically involved in the care of beneficiaries in order to be eligible to receive a gainsharing payment or be required to make an alignment payment. At this point we are not convinced any APM entities could meet these eligibility criteria, other than ACOs. We also do not agree with the commenter who recommended that we not restrict the definition of CJR collaborators to any specific individuals or entities. We believe it is important for participant hospitals to engage CJR collaborators that have a commitment to their local communities, local providers, and Medicare beneficiaries in order to create the greatest potential for sustained improvements in quality and reductions in cost under the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the commenter's suggestion that Next Generation ACOs be included in the definition of ACOs that are on the list of CJR collaborators, so the Next Generation ACO may act on behalf of its ACO participants and ACO providers/suppliers to establish sharing arrangements with participant hospitals for beneficiaries not assigned to the ACO. While we understand that the Next Generation ACO would like to enter into a CJR sharing arrangement as a CJR collaborator on behalf of its providers and suppliers, to be eligible to receive a gainsharing payment or be required to make an alignment payment under the sharing arrangement the Next Generation ACO itself must have contributed to CJR activities and been clinically involved in the care of beneficiaries through activities such as providing care coordination services to beneficiaries during and/or after inpatient admission; engaging with a participant hospital in care redesign strategies, and actually performing a role in implementing such strategies, that are designed to improve the quality of care and reduce spending for the CJR episodes; or in coordination with providers and suppliers (such as ACO participants, ACO providers/suppliers, the participant hospital, and post-acute care providers) implementing strategies designed to address and manage the comorbidities of beneficiaries. We are unclear of the role the Next Generation ACO itself would play in the care of beneficiaries that are not assigned to the ACO, beyond serving as a contracting agent for its ACO participants and ACO providers/suppliers. We further believe that such an arrangement would require distinguishing activities on behalf of beneficiaries assigned to the ACO who are excluded from CJR episodes and beneficiaries not assigned to the ACO who are included in CJR episodes, and such distinctions could create confusion for beneficiaries, providers, and suppliers, as well as administrative complexity for the Next Generation ACO. Therefore, we do not believe it would be appropriate to include Next Generation ACOs in the definition of ACOs that may be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note that as discussed in section III.D.6.c.(3) of this final rule, we are additionally finalizing the exclusion of beneficiaries from CJR episodes who are prospectively assigned to a Shared Savings Program ACO in Track 3. Therefore, for consistency with our policy for Next Generation ACOs whose assigned beneficiaries are also excluded from CJR episodes, we are excluding Shared Savings Program ACOs in Track 3 from the definition of ACOs that may be CJR collaborators. Thus, we are modifying our definition of ACO to read "ACO means an accountable care organization, as defined at § 425.20 of this chapter, that participates in the Shared Savings Program and is not in Track 3." We emphasize that no CJR policy precludes providers or suppliers who are ACO participants or ACO providers/suppliers in a Next Generation ACO from entering into a sharing arrangement with a participant hospital on their own, provided they are on the list of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summary, at this time we will not adopt a final policy that includes additional entities or individuals that are not providers or suppliers beyond those we proposed to be CJR collaborators. We selected acute care hospitals as the financially responsible entity for the CJR model because we are interested in evaluating the impact of bundled payment and care redesign across a broad spectrum of hospitals with varying levels of infrastructure and experience in entering into risk-based payment arrangements. We believe that it is most appropriate to identify a single type of provider to bear financial responsibility for making repayment to CMS under the CJR model. Given that hospitals perform a central role in coordinating episode-related care and ensuring smooth transitions for beneficiaries, this role factored in our decision to select IPPS hospitals as the financially responsible entity for this model. Under this structure, we believe that limiting the testing of gainsharing relationships to solely those between participant hospitals, certain Shared </w:t>
      </w:r>
      <w:r>
        <w:rPr>
          <w:rFonts w:ascii="arial" w:eastAsia="arial" w:hAnsi="arial" w:cs="arial"/>
          <w:b/>
          <w:i w:val="0"/>
          <w:strike w:val="0"/>
          <w:noProof w:val="0"/>
          <w:color w:val="000000"/>
          <w:position w:val="0"/>
          <w:sz w:val="20"/>
          <w:u w:val="none"/>
          <w:vertAlign w:val="baseline"/>
        </w:rPr>
        <w:t> [*536] </w:t>
      </w:r>
      <w:r>
        <w:rPr>
          <w:rFonts w:ascii="arial" w:eastAsia="arial" w:hAnsi="arial" w:cs="arial"/>
          <w:b w:val="0"/>
          <w:i w:val="0"/>
          <w:strike w:val="0"/>
          <w:noProof w:val="0"/>
          <w:color w:val="000000"/>
          <w:position w:val="0"/>
          <w:sz w:val="20"/>
          <w:u w:val="none"/>
          <w:vertAlign w:val="baseline"/>
        </w:rPr>
        <w:t xml:space="preserve"> Savings Program ACOs, and providers and suppliers enrolled in Medicare is most appropriate because we expect enrolled providers and suppliers to be most directly and specifically engaged with the participant hospitals in care redesign and CJR episode care for beneficiaries. While we recognize that Shared Savings Program ACOs are not providers or suppliers, Medicare has a close relationship with such ACOs, which are regulated by CMS, so we can verify that these ACOs meet current Shared Savings Program requirements that make them suitable for a role as CJR collaborators. Further, by including such ACOs on the list of CJR collaborators, we are permitting locally variable financial arrangements that could account for the way care in CJR episodes is coordinated and managed in communities, and ensure that entities with appropriate skills and experience are permitted to share the CJR's risks and rewards with participant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in § 510.2 the definition of ACO, with modification to mean an accountable care organization, as defined at § 425.20 of this chapter, that participates in the Shared Savings Program and is not in Track 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clarification about whether outpatient speech-language pathologists are considered providers of outpatient therapy services and, therefore, eligible to be CJR collaborators.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opportunity to clarify that speech-language pathologists are eligible to be CJR collaborators under the existing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they meet the definition of provider of outpatient therapy. Moreover, as discussed previously in this section, speech-language pathologists in private practice are included under the new definition of therapist in private practice when they are therapists that comply with the special provisions for services furnished by speech-language pathologists in private practice in § 410.62(c). In addition, a group of speech-language pathologists in private practice is included under the new definition of TGP when the group is entity that is enrolled in Medicare as a therapy group in private practice, includes at least one owner or employee that is a therapist in private practice, does not include an owner or employee who is a physician or nonphysician practitioner, and has a valid and active TIN. Therefore, under the revisions that will take effect on July 1, 2017, we will clarify that both therapists in private practice and TGPs may be CJR collaborators and therefore make clearer that individual speech-language pathologists in private practice, as well as speech-language pathology groups in private practice, are eligible to be CJR collaborators.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510.2 for the definition of CJR collaborator and other terms used in that definition, with modification to revise the definitions of provider of outpatient therapy services; and ACO; create new definitions for CORF, therapist in private practice, NPPGP, and TGP; and include these additional individuals and entities on the list of CJR collaborators. With the exception of the new definition of therapist in private practice, these revised definitions will be effective July 1, 2017. CJR collaborator means an ACO (as defined in § 510.2) or one of the following Medicare-enrolled individuals or entities that enters into a sharing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SNF.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HHA.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LTCH.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IRF.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Physician.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Nonphysician practitioner.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Therapist in private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CORF.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Provider of outpatient therapy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PGP.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CAH.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NPPGP.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TGP.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Deletion of Term 'Collaborator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reduce duplicative language in § 510.500 and streamline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financial arrangements between CJR participant hospitals and CJR collaborators, we proposed to delete the term "collaborator agreement" in § 510.2 and transition the requirements of collaborator agreements to requirements of sharing arrangements. Overall, the proposal would simplify and streamline the requirements for sharing arrangements under CJR, allow CMS to align the CJR financial arrangements with those of the proposed EPMs, and provide consistent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potential parties that may participate in both the CJR model and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current participant hospitals and CJR collaborators already have existing collaborator agreements. However, as noted further in this section, although we proposed to change several terms, the proposed sharing arrangements policies are largely similar to the current policies regarding collaborator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sought to amend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510.2 by deleting the term collaborator agreement in Part 510. We sought comment on our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clarification as to whether the proposed changes to financial arrangements in the CJR model would require CJR participant hospitals to review their current financial arrangements and modify the terminology to reflect the changes if they are finalized. One commenter acknowledged CMS' efforts to providing consistency between the CJR model and the EPM, but claimed that requiring CJR participant hospitals to review their financial arrangements would constitute a significant burden on CJR participant hospitals.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proposed changes to CJR financial arrangements in §§ 510.500 and 510.505 would require CJR participant hospitals, and any other individual or entity involved in a financial arrangement under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review the changes to the requirements of the CJR model, and to revise their financial arrangements and applicable terminology if necessary. While we acknowledge that the amendments to the financial arrangements requirements in the CJR model will create some short-term administrative burden on CJR participants and other parties involved in these arrangements, we believe that the revised CJR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streamline and clarify the requirements for all parties and will help facilitate compliance with the requirements of the CJR model. In addition, the major policy changes, such as allowing ACOs to be collaborators and adopting the term CJR activities as the comprehensive framework for capturing both direct patient care and care redesign for CJR episodes, received widespread support from commenters. We recognize the time that CJR participant hospitals and CJR collaborators with financial arrangements under the existing requirements will need to review the amended requirements finalized in this final rule and revise their existing financial arrangements in order to be compliant. As such, the amended requirements for financial arrangements in the CJR model will be effective on July 1, 2017, the same date when the first performance year for the EPM begins. Therefore, CJR participant hospitals and CJR collaborators will have knowledge of the federal requirements for CJR financial arrangements approximately 6 months prior to their effective date in the CJR model, which we believe is sufficient to </w:t>
      </w:r>
      <w:r>
        <w:rPr>
          <w:rFonts w:ascii="arial" w:eastAsia="arial" w:hAnsi="arial" w:cs="arial"/>
          <w:b/>
          <w:i w:val="0"/>
          <w:strike w:val="0"/>
          <w:noProof w:val="0"/>
          <w:color w:val="000000"/>
          <w:position w:val="0"/>
          <w:sz w:val="20"/>
          <w:u w:val="none"/>
          <w:vertAlign w:val="baseline"/>
        </w:rPr>
        <w:t> [*537] </w:t>
      </w:r>
      <w:r>
        <w:rPr>
          <w:rFonts w:ascii="arial" w:eastAsia="arial" w:hAnsi="arial" w:cs="arial"/>
          <w:b w:val="0"/>
          <w:i w:val="0"/>
          <w:strike w:val="0"/>
          <w:noProof w:val="0"/>
          <w:color w:val="000000"/>
          <w:position w:val="0"/>
          <w:sz w:val="20"/>
          <w:u w:val="none"/>
          <w:vertAlign w:val="baseline"/>
        </w:rPr>
        <w:t xml:space="preserve"> review and revise their existing financial arrangements if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delete the term collaborator agreement effective July 1,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Addition of CJR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use the term "CJR activities" to identify certain obligations of parties in a sharing arrangement that are currently described as "changes in care coordination or delivery" in the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contents of the written agreement memorializing the sharing arrangement. In addition to the quality of care provided during episodes, we believe the activities that would fall under this proposed definition of CJR activities would encompass the totality of activities upon which it would be appropriate for certain financial arrangements under the CJR model to be based in order to value the contributions of providers, suppliers, and other entities toward meeting the CJR model's goals of improving the quality and efficiency of episodes. Therefore, for purposes of financial arrangements under the CJR model, we proposed to define CJR activities as activities related to promoting accountability for the quality, cost, and overall care for CJR beneficiaries, including managing and coordinating care; encouraging investment in infrastructure, enabling technologies, and redesigned care processes for high quality and efficient service delivery; the provision of items and services during a CJR episode in a manner that reduces costs and improves quality; or carrying out any other obligation or duty under the CJR models. Sections V.J.2. through V.J.4. of this final rule provide more detail as to how the addition of CJR activities affect other proposals in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amend § 510.2 by adding the term CJR activities.' We sought comment on our proposal to add CJR activities as an inclusive and comprehensive framework for capturing direct care and care redesign for CJR episodes that contribute to improving the quality and efficiency of these episodes. We received comments regarding both CJR activities and EPM activities and refer readers to section III.I.4.b. of this final rule for a detailed explanation of the comments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to add the term CJR activities, without modifications, effective July 1,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Sharing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the proposed amendments to this section will provide participant hospitals and CJR collaborators with more organized, and streamlined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exception of adding "past or anticipated" to the selection criteria for CJR collaborators, and replacing "collaborator agreement" with "sharing arrangement" the following proposed criteria are similar to the current requirements of the CJR model as finalized in prior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510.500. In the proposed rule, we discussed the proposed requirements for sharing arrangements, including both our continuation of policies we finalized in the CJR final rule, and several new proposals. We proposed that participant hospitals must develop, maintain, and use a set of written policies for selecting individuals and entities to be CJR collaborators, and that such policies must include the quality of care delivered by the potential CJR collaborator. The selection criteria cannot be based directly or indirectly on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 Our proposed addition of "past or anticipated" does not effect a substantive change, but merely conforms the way the volume or value standard is articulated in this provision with the way that the volume or value standard is articulated in other provisions at § 510.500. However, by adding "past or anticipated," we make clear that all previous and future referrals between or among participant hospital, any CJR collaborator, any collaboration agent, any downstream collaboration agent, or any individual or entity affiliated with a participant hospital, CJR collaborator, collaboration agent, or downstream collaboration agent would be encompassed. We do not believe it would be appropriate for sharing arrangements to be based on criteria that include the volume or value of past or anticipated referrals because the sole purpose of sharing arrangements is to create financial alignment between participant hospitals and CJR collaborators toward the CJR model's goals of improving the quality and efficiency of episode care. Thus, we continue to require that CJR participant hospitals select CJR collaborators based on criteria that include the quality of care furnished by the potential CJR collaborator to ensure that the selection of CJR collaborators takes into consideration the likelihood of their future performance in improving the quality of episode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proposed to amend § 510.500(a) as follows:</w:t>
      </w:r>
    </w:p>
    <w:p>
      <w:pPr>
        <w:keepNext w:val="0"/>
        <w:numPr>
          <w:numId w:val="6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may enter into a sharing arrangement with a CJR collaborator to make a gainsharing payment, or to receive an alignment payment, or both.</w:t>
      </w:r>
    </w:p>
    <w:p>
      <w:pPr>
        <w:keepNext w:val="0"/>
        <w:numPr>
          <w:numId w:val="6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not make a gainsharing payment or receive an alignment payment except in accordance with a sharing arrangement.</w:t>
      </w:r>
    </w:p>
    <w:p>
      <w:pPr>
        <w:keepNext w:val="0"/>
        <w:numPr>
          <w:numId w:val="6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sharing arrangement must comply with the provisions of this section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applicable fraud and abuse laws and all applicable payment and coverage requirements.</w:t>
      </w:r>
    </w:p>
    <w:p>
      <w:pPr>
        <w:keepNext w:val="0"/>
        <w:numPr>
          <w:numId w:val="6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must develop, maintain, and use a set of written policies for selecting individuals and entities to be CJR collaborators. These policies must contain criteria related to, and inclusive of, the quality of care delivered by the potential CJR collaborator. The selection criteria cannot be based directly or indirectly on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w:t>
      </w:r>
    </w:p>
    <w:p>
      <w:pPr>
        <w:keepNext w:val="0"/>
        <w:numPr>
          <w:numId w:val="6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participant hospital enters into a sharing arrangement, its compliance program must include oversight of sharing arrangements and compliance with the applicable requirements of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proposal. We received a number of comments on our proposal. Because the comments and responses to our proposal for CJR were not substantively different from the comments and responses on proposed § 512.500(a), we refer readers to section III.I.4.a for a discussion of the comments and our responses to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we note that the CJR model and the EPMs' policies surrounding the various requirements of financial arrangements mirror one another. We provided in Table 46 in section III.I.4.a. of this final rule to list the standards related to "volume and value" for EPM financial arrangements, and here provide Table 51 below with </w:t>
      </w:r>
      <w:r>
        <w:rPr>
          <w:rFonts w:ascii="arial" w:eastAsia="arial" w:hAnsi="arial" w:cs="arial"/>
          <w:b/>
          <w:i w:val="0"/>
          <w:strike w:val="0"/>
          <w:noProof w:val="0"/>
          <w:color w:val="000000"/>
          <w:position w:val="0"/>
          <w:sz w:val="20"/>
          <w:u w:val="none"/>
          <w:vertAlign w:val="baseline"/>
        </w:rPr>
        <w:t> [*538] </w:t>
      </w:r>
      <w:r>
        <w:rPr>
          <w:rFonts w:ascii="arial" w:eastAsia="arial" w:hAnsi="arial" w:cs="arial"/>
          <w:b w:val="0"/>
          <w:i w:val="0"/>
          <w:strike w:val="0"/>
          <w:noProof w:val="0"/>
          <w:color w:val="000000"/>
          <w:position w:val="0"/>
          <w:sz w:val="20"/>
          <w:u w:val="none"/>
          <w:vertAlign w:val="baseline"/>
        </w:rPr>
        <w:t xml:space="preserve"> the parallel information for the CJR model.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Table 51--Standards Related to "Volume or Value" for CJR Financial</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Arrangements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Volume/value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Scope of</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Citation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prohibition?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volume/value</w:t>
            </w: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prohibition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Collaborator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Cannot be based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 510.500(a)(3).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selection criteria</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directly or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indirectly on past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or anticipated</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referrals or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business otherwise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generated by,</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between or among:</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vi. Participant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hospital</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vii. Collaborator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viii.</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Collaboration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agent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ix. Downstream</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collaboration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agent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x. Any individual</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or entity</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affiliated with</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(i)-(iv)</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Opportunity to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Same as for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 510.500(c)(7)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make or receive a</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collaborator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(gainsharing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payment</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selection criteria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alignment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payments).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 510.505(b)(4)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(distribution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payment).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 510.510(b)(4)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(downstream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distribution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payment).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Alignment payment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Cannot directly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 510.500(c)(14).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methodology</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account for volume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or value of past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or anticipated</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referrals or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business otherwise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generated by,</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between or among</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(i)-(v) above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Gainsharing</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No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N/A--methodology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 510.500(c)(5)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payment</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must be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(gainsharing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methodology</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substantially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payments).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based on quality</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of care and the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provision of CJR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activities; may</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consider relative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amount of CJR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activities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provided</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Distribution and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No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N/A--same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 510.505(b)(5),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downstream</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methodology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(6) (distribution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distribution</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standard as for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payments).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payment</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gainsharing</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 510.510(b)(5),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methodologies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payments, except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(6) (downstream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that amounts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distribution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distributed by 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payments).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PGP to a PGP</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member can also be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determined in a</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manner that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complies with §</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411.352(g) of the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physician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self-referral</w:t>
            </w: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20"/>
                <w:u w:val="single"/>
                <w:vertAlign w:val="baseline"/>
              </w:rPr>
              <w:t>regulations</w:t>
            </w:r>
          </w:p>
        </w:tc>
        <w:tc>
          <w:tcPr>
            <w:tcW w:w="2280" w:type="dxa"/>
          </w:tcP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effective July 1, 2017, the proposals in § 510.500(a) for the general requirements for CJR sharing arrangements, with modification to clarify that a CJR collaborator selection criterion that considers whether a potential collaborator has performed a reasonable minimum number of services that would qualify as CJR activities will be deemed not to violate the volume or value standard if the purpose of the requirement is to ensure the quality of care furnished to CJR beneficiaries. CJR sharing arrangements must comply with the following general provisions:</w:t>
      </w:r>
    </w:p>
    <w:p>
      <w:pPr>
        <w:keepNext w:val="0"/>
        <w:numPr>
          <w:numId w:val="7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may enter into a sharing arrangement with a CJR collaborator to make a gainsharing payment, or to receive an alignment payment, or both. A participant hospital must not make a gainsharing payment or receive an alignment payment except in accordance with a sharing arrangement.</w:t>
      </w:r>
    </w:p>
    <w:p>
      <w:pPr>
        <w:keepNext w:val="0"/>
        <w:numPr>
          <w:numId w:val="7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sharing arrangement must comply with the provisions of this section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applicable fraud and abuse laws and all applicable payment and coverage requirements.</w:t>
      </w:r>
    </w:p>
    <w:p>
      <w:pPr>
        <w:keepNext w:val="0"/>
        <w:numPr>
          <w:numId w:val="7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develop, maintain, and use a set of written policies for selecting individuals and entities to be CJR collaborators. These policies must contain criteria related to, and inclusive of, the quality of care delivered by the potential CJR collaborator. The selection criteria cannot be based directly or indirectly on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 A selection criterion that considers whether a potential CJR collaborator has performed a reasonable minimum number of services that would qualify as CJR activities will be deemed not to violate the volume or value standard if the purpose of the criterion is to ensure the quality of care furnished to CJR beneficiaries.</w:t>
      </w:r>
    </w:p>
    <w:p>
      <w:pPr>
        <w:keepNext w:val="0"/>
        <w:numPr>
          <w:numId w:val="7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participant hospital enters into a sharing arrangement, its compliance program must include oversight of sharing arrangements and compliance with the applicable requirements of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there are a number of specific requirements for sharing arrangements under the CJR model. We proposed to delete the term "collaborator agreements" and to incorporate many of the requirements from the existing CJR provision at § 510.500(c) into a streamlined provision regarding the requirements for "sharing arrangements." We discuss the proposal in detail further in this section in order to ensure current and future participant hospitals and CJR collaborators are aware of all requirements that would apply under these proposed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the sharing arrangement must be in writing, signed by the parties, and entered into before care is furnished to CJR beneficiaries under the sharing arrangement. In addition, participation in a sharing arrangement must be voluntary and without penalty for nonparticipation. We proposed that the sharing arrangement must require the CJR collaborator and its employees, contractors, and subcontractors to comply with certain requirements that are important for program integrity protections under the arrangement. We noted that the terms contractors and subcontractors, respectively, include </w:t>
      </w:r>
      <w:r>
        <w:rPr>
          <w:rFonts w:ascii="arial" w:eastAsia="arial" w:hAnsi="arial" w:cs="arial"/>
          <w:b/>
          <w:i w:val="0"/>
          <w:strike w:val="0"/>
          <w:noProof w:val="0"/>
          <w:color w:val="000000"/>
          <w:position w:val="0"/>
          <w:sz w:val="20"/>
          <w:u w:val="none"/>
          <w:vertAlign w:val="baseline"/>
        </w:rPr>
        <w:t> [*539] </w:t>
      </w:r>
      <w:r>
        <w:rPr>
          <w:rFonts w:ascii="arial" w:eastAsia="arial" w:hAnsi="arial" w:cs="arial"/>
          <w:b w:val="0"/>
          <w:i w:val="0"/>
          <w:strike w:val="0"/>
          <w:noProof w:val="0"/>
          <w:color w:val="000000"/>
          <w:position w:val="0"/>
          <w:sz w:val="20"/>
          <w:u w:val="none"/>
          <w:vertAlign w:val="baseline"/>
        </w:rPr>
        <w:t xml:space="preserve"> collaboration agents and downstream collaboration agents as defined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sharing arrangement must require all of the individuals and entities in this group to comply with the applicable provisions of Part 510, including requirements regarding beneficiary notifications, access to records, record retention, and participation in any evaluation, monitoring, compliance, and enforcement activities performed by CMS or its designees, because these individuals and entities all would play a role in CJR care redesign and be part of financial arrangements under the CJR model. The sharing arrangement must also require all individuals and entities in the group to comply with the applicable Medicare provider enrollment requirement at § 424.500, including having a valid and active TIN or NPI, during the term of the sharing arrangement. This is to ensure that the individuals and entities have the required enrollment relationship with CMS under the Medicare program, although we note that they are not responsible for complying with requirements that do not apply to them. Finally, the sharing arrangement must require individuals and entities to comply with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sharing arrangement must not pose a risk to beneficiary access, beneficiary freedom of choice, or quality of care so that financial relationships between participant hospitals and CJR collaborators do not negatively impact beneficiary protections under the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we proposed that sharing arrangements must require the CJR collaborator to have a compliance program that includes oversight of the sharing arrangement and compliance with the requirements of the CJR, just as we would require participant hospitals to have a compliance plan for this purpose as a program integrity safeguard. We noted that the CJR compliance program requirement does not mandate that a CJR collaborator's compliance program take a particular form or include particular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that participant hospitals have adequate oversight over sharing arrangements to ensure that all arrangements meet the requirements of this section and provide program integrity protections. Therefore, we proposed that the board or other governing body of the CJR participant hospital have responsibility for overseeing the participant hospital's participation in the CJR model, its arrangements with CJR collaborators, its payment of gainsharing payments, its receipt of alignment payments, and its use of beneficiary incentives in the CJR. We proposed that the written agreement memorializing a sharing arrangement must specify a number of parameters of the arrangement, including the following:</w:t>
      </w:r>
    </w:p>
    <w:p>
      <w:pPr>
        <w:keepNext w:val="0"/>
        <w:numPr>
          <w:numId w:val="7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purpose and scope of the sharing arrangement.</w:t>
      </w:r>
    </w:p>
    <w:p>
      <w:pPr>
        <w:keepNext w:val="0"/>
        <w:numPr>
          <w:numId w:val="7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identities and obligations of the parties, including specified CJR activities and other services to be performed by the parties under the sharing arrangement.</w:t>
      </w:r>
    </w:p>
    <w:p>
      <w:pPr>
        <w:keepNext w:val="0"/>
        <w:numPr>
          <w:numId w:val="7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Management and staffing information, including type of personnel or contractors that will be primarily responsible for carrying out CJR activities.</w:t>
      </w:r>
    </w:p>
    <w:p>
      <w:pPr>
        <w:keepNext w:val="0"/>
        <w:numPr>
          <w:numId w:val="7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of the sharing arrangement.</w:t>
      </w:r>
    </w:p>
    <w:p>
      <w:pPr>
        <w:keepNext w:val="0"/>
        <w:numPr>
          <w:numId w:val="7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financial or economic terms for payment, including--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Eligibility criteria for a gainsharing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Eligibility criteria for an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Frequency of gainsharing or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Methodology and accounting formula for determining the amount of a gainsharing payment that is substantially based on quality of care and the provision of CJR activities;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Methodology and accounting formula for determining the amount of an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proposed to require that the terms of the sharing arrangement must not induce the participant hospital, CJR collaborator, or any employees, contractors, or subcontractors of the participant hospital or CJR collaborator to reduce or limit medically necessary services to any Medicare beneficiary or restrict the ability of a CJR collaborator to make decisions in the best interests of its patients, including the selection of devices, supplies, and treatments. These requirements are to ensure that the quality of care for CJR beneficiaries is not negatively affected by sharing arrangements under the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requirements for sharing arrangements at § 510.500(b). We sought comment on our proposals. Because this proposal mirrors what we proposed for the EPM and the comments on these proposals and our responses are substantially the same, we refer readers to section III.I.4.b for a detailed explanation of the comments and our responses to them.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effective July 1, 2017, the proposals in § 510.500(b) for the requirements for CJR sharing arrangements, with modifications. We are modifying our proposal at § 510.500(b)(4) to specify that the CJR collaborator must have or be covered by a compliance program which must include oversight of the sharing arrangement and compliance with the requirements of the CJR model that apply to its role as a CJR collaborator, including any distribution arrangements. We are also modifying our proposal to remove the requirement that the written agreement memorializing a sharing arrangement include management and staffing information, a change which results in renumbering proposed § 510.500(b)(7)(v) (requiring the financial or economic terms for payment be specified in the written agreement about the sharing arrangement) to § 510.500(b)(7)(iv). CJR sharing arrangements must meet the following requirements:</w:t>
      </w:r>
    </w:p>
    <w:p>
      <w:pPr>
        <w:keepNext w:val="0"/>
        <w:numPr>
          <w:numId w:val="7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sharing arrangement must be in writing and signed by the parties, and entered into before care is furnished to CJR beneficiaries under the sharing arrangement.</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a sharing arrangement must be voluntary and without penalty for nonparticipation.</w:t>
      </w:r>
    </w:p>
    <w:p>
      <w:pPr>
        <w:keepNext w:val="0"/>
        <w:numPr>
          <w:numId w:val="7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require the CJR collaborator and its employees, contractors (including collaboration agents), and subcontractors (including downstream collaboration agents) to comply with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applicable provisions of this part (including requirements regarding beneficiary notifications, access to records, record retention, and participation in any evaluation, monitoring, compliance, and enforcement activities performed by CMS or its designees);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All applicable Medicare provider enrollment requirements at § 424.500 of this chapter, including having a valid and active TIN or NPI, during the term of the sharing arrangement;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7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require the CJR collaborator to have or be covered by a compliance program that includes oversight of the sharing arrangement and compliance with the requirements of the CJR model that apply to its role as a CJR collaborator, including any distribution arrangements.</w:t>
      </w:r>
    </w:p>
    <w:p>
      <w:pPr>
        <w:keepNext w:val="0"/>
        <w:numPr>
          <w:numId w:val="7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not pose a risk to beneficiary access, beneficiary freedom of choice, or quality of care.</w:t>
      </w:r>
    </w:p>
    <w:p>
      <w:pPr>
        <w:keepNext w:val="0"/>
        <w:numPr>
          <w:numId w:val="7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board or other governing body of the participant hospital must have </w:t>
      </w:r>
      <w:r>
        <w:rPr>
          <w:rFonts w:ascii="arial" w:eastAsia="arial" w:hAnsi="arial" w:cs="arial"/>
          <w:b/>
          <w:i w:val="0"/>
          <w:strike w:val="0"/>
          <w:noProof w:val="0"/>
          <w:color w:val="000000"/>
          <w:position w:val="0"/>
          <w:sz w:val="20"/>
          <w:u w:val="none"/>
          <w:vertAlign w:val="baseline"/>
        </w:rPr>
        <w:t> [*540] </w:t>
      </w:r>
      <w:r>
        <w:rPr>
          <w:rFonts w:ascii="arial" w:eastAsia="arial" w:hAnsi="arial" w:cs="arial"/>
          <w:b w:val="0"/>
          <w:i w:val="0"/>
          <w:strike w:val="0"/>
          <w:noProof w:val="0"/>
          <w:color w:val="000000"/>
          <w:position w:val="0"/>
          <w:sz w:val="20"/>
          <w:u w:val="none"/>
          <w:vertAlign w:val="baseline"/>
        </w:rPr>
        <w:t xml:space="preserve"> responsibility for overseeing the participant hospital's participation in the CJR model, its arrangements with CJR collaborators, its payment of gainsharing payments, its receipt of alignment payments, and its use of beneficiary incentives in the CJR model.</w:t>
      </w:r>
    </w:p>
    <w:p>
      <w:pPr>
        <w:keepNext w:val="0"/>
        <w:numPr>
          <w:numId w:val="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written agreement memorializing a sharing arrangement must specify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purpose and scope of the sharing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obligations of the parties, including specified CJR activities and other services to be performed by the parties under the sharing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date of the sharing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financial or economic terms for payment, including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criteria for a gainsharing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criteria for an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--Frequency of gainsharing or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--Methodology and accounting formula for determining the amount of a gainsharing payment or alignment payment.</w:t>
      </w:r>
    </w:p>
    <w:p>
      <w:pPr>
        <w:keepNext w:val="0"/>
        <w:numPr>
          <w:numId w:val="7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Induce the participant hospital, CJR collaborator, or any employees, contractors, or subcontractors of the participant hospital or CJR collaborator to reduce or limit medically necessary services to any Medicare beneficiary;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Restrict the ability of a CJR collaborator to make decisions in the best interests of its patients, including the selection of devices, supplies, and treatments.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Gainsharing Payment, Alignment Payment, and Internal Cost Savings Conditions and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CJR model, we placed a number of conditions and limitations on gainsharing payments, alignment payments, and internal cost savings. Our proposal to amend the limitations and conditions would allow us to reorganize and clarify current policies, account for the addition of ACOs, CAHs, and hospitals as CJR collaborators, and align the CJR model with the proposed financial arrangements for the EPMs. Though many of the proposed requirements under sharing arrangements are largely similar to the current requirements under gainsharing payments, alignment payments, and internal cost savings conditions and restrictions, we discuss these requirements in detail further in this section in order to ensure current and future participant hospitals and CJR collaborators are aware of such requirements, in particular those that we proposed to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to be eligible to receive a gainsharing payment, or to be required to make an alignment payment, a CJR collaborator other than a PGP or an ACO must have directly furnished a billable item or service to a CJR beneficiary during a CJR episode that occurred in the same performance year for which the participant hospital has calculated a gainsharing payment or been assessed a repayment amount. For purposes of this requirement, we consider a hospital, CAH, or post-acute care provider to have "directly furnished" a billable service if one of these entities billed for an item or service for a CJR beneficiary during a CJR episode that occurred in the same performance year for which the CJR participant hospital accrued the internal cost savings or earned the reconciliation payment that comprises the gainsharing payment or was assessed a repayment amount. The phrase "performance year for which the EPM participant accrued the internal cost savings or earned the reconciliation payment that comprises the gainsharing payment or was assessed a repayment amount" does not mean the year in which the gainsharing payment was made. These requirements ensure that there is a required relationship between eligibility for a gainsharing payment and the quality of direct care for CJR beneficiaries during CJR episodes for these CJR collaborators. We believe the provision of direct care is essential to the implementation of effective care redesign, and the requirement provides a safeguard against payments to CJR collaborators other than a PGP or an ACO that are unrelated to direct care for CJR beneficiaries during CJR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we proposed to establish similar requirements for PGPs and ACOs that vary because these entities do not themselves directly furnish billable services. To be eligible to receive a gainsharing payment or required to make an alignment payment, a PGP must have billed for an item or service that was rendered by one or more members of the PGP to a CJR beneficiary during a CJR episode that occurred during the same performance year for which the participant hospital accrued the internal cost savings or earned the reconciliation payment that comprises the gainsharing payment or was assessed a repayment amount. Further, we proposed that to be eligible to receive a gainsharing payment or required to make an alignment payment, an ACO must have had an ACO provider/supplier that directly furnished, or an ACO participant that billed for, an item or service that was rendered to a CJR beneficiary during a CJR episode that occurred during the same performance year for which the participant hospital accrued the internal cost savings or earned the reconciliation payment that comprises the gainsharing payment or was assessed a repayment amount. With respect to ACOs, an "ACO participant" and "ACO provider/supplier" have the meaning set forth in § 425.20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Like the proposal for CJR collaborators that are not PGPs or ACOs, these proposals also require a linkage between the CJR collaborator that is the PGP or ACO and the provision of items and services to CJR beneficiaries during CJR episodes by PGP members or ACO participants or ACO providers/suppliers,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we further proposed that because PGPs and ACOs do not directly furnish items and services to beneficiaries, in order to be eligible to receive a gainsharing payment or be required to make an alignment payment, the PGP or ACO must have contributed to CJR activities and been clinically involved in the care of CJR beneficiaries during the same performance year for which the participant hospital accrued the internal cost savings or earned the reconciliation payment that comprises the gainsharing payment or was assessed a repayment amount. For example, a PGP or ACO or might have been clinically involved in the care of CJR beneficiaries by providing care coordination services to CJR beneficiaries during and/or after inpatient admission; engaging with a participant hospital in care redesign strategies, and actually performing a role in implementing such strategies that are designed to improve the quality of care for CJR episodes and reduce CJR episode spending; or in coordination with providers and suppliers (such as members of the PGP, ACO participants, ACO providers/suppliers, the participant hospital, and post-acute care providers), implementing strategies designed to address and manage the comorbidities of CJR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internal cost savings may be shared through gainsharing payments with CJR collaborators, we have certain requirements for their calculation as a safeguard against fraud and abuse. We proposed that the internal cost savings reflect care redesign under the CJR in order to be eligible to be shared through gainsharing payments. We also proposed that the methodology used to calculate internal cost savings must reflect the actual, internal cost savings achieved by the participant hospital through the documented </w:t>
      </w:r>
      <w:r>
        <w:rPr>
          <w:rFonts w:ascii="arial" w:eastAsia="arial" w:hAnsi="arial" w:cs="arial"/>
          <w:b/>
          <w:i w:val="0"/>
          <w:strike w:val="0"/>
          <w:noProof w:val="0"/>
          <w:color w:val="000000"/>
          <w:position w:val="0"/>
          <w:sz w:val="20"/>
          <w:u w:val="none"/>
          <w:vertAlign w:val="baseline"/>
        </w:rPr>
        <w:t> [*541] </w:t>
      </w:r>
      <w:r>
        <w:rPr>
          <w:rFonts w:ascii="arial" w:eastAsia="arial" w:hAnsi="arial" w:cs="arial"/>
          <w:b w:val="0"/>
          <w:i w:val="0"/>
          <w:strike w:val="0"/>
          <w:noProof w:val="0"/>
          <w:color w:val="000000"/>
          <w:position w:val="0"/>
          <w:sz w:val="20"/>
          <w:u w:val="none"/>
          <w:vertAlign w:val="baseline"/>
        </w:rPr>
        <w:t xml:space="preserve"> implementation of CJR activities identified by the participant hospital and must exclude any savings realized by any individual or entity that is not the participant hospital and "paper" savings from accounting conventions or past investment in fixed costs. Unlike the current CJR model policy where we require that sharing arrangements document the methodology for accruing, calculating, and verifying the internal cost savings generated by the participant hospital based on the care redesign elements specifically associated with the particular collaborator, we proposed a revised policy to not require in the CJR model that the calculation of internal cost savings be tied to the activities of a specific CJR collaborator. We believe the proposed change recognizes that multiple collaborators and collaboration agents contribute to internal cost savings and provide participant hospitals with flexibility to focus on overall internal cost savings due to model activities, rather than the activities of any specific collaborator or collaboration agent. Rather, we believe it is appropriate for participant hospitals to calculate internal cost savings based on the implementation of CJR activities and then provide gainsharing payments to CJR collaborators that may include internal cost savings, reconciliation payments, or both, based on a methodology that meets the requirements described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amount of any gainsharing payments must be determined in accordance with a methodology that is substantially based on quality of care and the provision of CJR activities. Further, we proposed the methodology may take into account the amount of such CJR activities provided by a CJR collaborator relative to other CJR collaborators. While we emphasized that financial arrangements may not be conditioned directly or indirectly on the volume or value of past or anticipated referrals or other so that their sole purpose is to align the financial incentives of the participant hospital and CJR collaborators toward the CJR goals of improved CJR episode care quality and efficiency. We believe that accounting for the relative amount of CJR activities by CJR collaborators in the determination of gainsharing payments does not undermine this objective. Rather, the proposed requirement recognizes that the relative amount of CJR activities (including direct care) furnished by a CJR collaborator to CJR beneficiaries during CJR episodes may contribute relatively more or less to both the internal cost savings and participant hospital's reconciliation payment that may be available for making a gainsharing payment. We refer readers to section III.I.4. of this final rule for additional discussion of our rationale. We sought comment on this proposal for gainsharing payments, where the methodology could take into account the amount of CJR activities provided by a CJR collaborator relative to other CJR collaborators. In addition we invited comment on whether additional safeguards or a different standard was needed to allow for greater flexibility to provide certain performance-based payments consistent with the goals of program integrity, protecting against abuse and ensuring the goals of the model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CJR model, we continue to have certain limitations on alignment payments. Currently for a performance year, the aggregate amount of all alignment payments received by the participant hospital must not exceed 50 percent of the participant hospital's repayment amount. In addition, the aggregate amount of all alignment payments from a CJR collaborator to the participant hospital may not be greater than 25 percent of the participant hospital's repayment amount for a CJR collaborator that is not an ACO and we proposed 50 percent of the participant hospital's repayment amount for a CJR collaborator that is an ACO. We proposed to allow a higher percentage of the participant hospital's repayment amount to be paid by an ACO than by CJR collaborators that are not ACOs in recognition that some ACOs are sizable organizations with significant financial and other resources. In addition, their expertise in managing the cost and quality of care for Medicare beneficiaries over a period of time may make some ACOs uniquely capable of sharing a higher percentage of downside risk under the CJR with the participant hospital under a sharing arrangement between the ACO and CJR participant hospital that meets all requirements for such arrangements, including that participation in the sharing arrangement must be voluntary and without penalty for nonparticipation as discussed previously. We sought comment on the proposed limitation that would apply to ACOs that are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proposed that all gainsharing payments and alignment payments must be made by check, electronic funds transfer, or another traceable cash transaction. This is different from the current CJR model policy which requires gainsharing payments and alignment payments to be made by electronic funds transfer. We proposed to revise this requirement in the CJR model in order to provide additional flexibility for entities making gainsharing payments and alignment payments. We believe our proposal would mitigate the administrative burden that the EFT requirement would place on the financial arrangements between certain participant hospitals and CJR collaborators, especially individual physicians and nonphysician practitioners and small PGPs, which could discourage participation of those suppliers as CJR collaborators. We sought comment on the effect of this proposal on reducing the administrative barriers to individual physician and nonphysician practitioner and small PGP participation in the CJR as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proposed the following conditions and restrictions on gainsharing payments, alignment payments, and internal cost savings:</w:t>
      </w: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Gainsharing payments, if any, must--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 derived solely from reconciliation payments, or internal cost savings, or both;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 distributed on an annual basis (not more than once per calendar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 be a loan, advance payment, or payment for referrals or other business;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 clearly identified as a gainsharing payment at the time it is paid.</w:t>
      </w:r>
    </w:p>
    <w:p>
      <w:pPr>
        <w:keepNext w:val="0"/>
        <w:numPr>
          <w:numId w:val="7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a CJR collaborator must meet quality of care criteria for the performance year for which the CJR participant hospital accrued the internal cost savings or earned the reconciliation payment that comprises the gainsharing payment. The quality of care criteria must be established by the participant hospital and directly related to the CJR episode.</w:t>
      </w:r>
    </w:p>
    <w:p>
      <w:pPr>
        <w:keepNext w:val="0"/>
        <w:numPr>
          <w:numId w:val="7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or to be required to make an alignment payment, a CJR collaborator other than a PGP or an ACO must have directly furnished a billable item or service to a CJR beneficiary during a CJR episode that occurred in the same performance year for which the CJR participant hospital accrued the internal cost savings or earned the reconciliation payment that comprises the gainsharing payment or was assessed a repayment amount.</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or to be required to make an alignment payment, a CJR collaborator that is a PGP must meet the following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PGP must have billed for an item or service that was rendered by one or more members of the PGP to a CJR beneficiary during a CJR episode that </w:t>
      </w:r>
      <w:r>
        <w:rPr>
          <w:rFonts w:ascii="arial" w:eastAsia="arial" w:hAnsi="arial" w:cs="arial"/>
          <w:b/>
          <w:i w:val="0"/>
          <w:strike w:val="0"/>
          <w:noProof w:val="0"/>
          <w:color w:val="000000"/>
          <w:position w:val="0"/>
          <w:sz w:val="20"/>
          <w:u w:val="none"/>
          <w:vertAlign w:val="baseline"/>
        </w:rPr>
        <w:t> [*542] </w:t>
      </w:r>
      <w:r>
        <w:rPr>
          <w:rFonts w:ascii="arial" w:eastAsia="arial" w:hAnsi="arial" w:cs="arial"/>
          <w:b w:val="0"/>
          <w:i w:val="0"/>
          <w:strike w:val="0"/>
          <w:noProof w:val="0"/>
          <w:color w:val="000000"/>
          <w:position w:val="0"/>
          <w:sz w:val="20"/>
          <w:u w:val="none"/>
          <w:vertAlign w:val="baseline"/>
        </w:rPr>
        <w:t xml:space="preserve"> occurred during the same performance year for which the participant hospital has calculated a gainsharing payment or been assessed a repayment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PGP must have contributed to CJR activities and been clinically involved in the care of CJR beneficiaries during the same performance year for which the participant hospital has calculated a gainsharing payment or been assessed a repayment amount. For example, a PGP might have been clinically involved in the care of CJR beneficiaries 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--Providing care coordination services to beneficiaries during and/or after inpatient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--Engaging with a participant hospital in care redesign strategies, and actually performing a role in implementing such strategies, that are designed to improve the quality of care for CJR episodes and reduce CJR episode spending;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coordination with other providers and suppliers (such as members of the PGP, the participant hospital, and post-acute care providers), implementing strategies designed to address and manage the comorbidities of CJR beneficiaries.</w:t>
      </w:r>
    </w:p>
    <w:p>
      <w:pPr>
        <w:keepNext w:val="0"/>
        <w:numPr>
          <w:numId w:val="7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or to be required to make an alignment payment, a CJR collaborator that is an ACO must meet the following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ACO must have had an ACO provider/supplier that directly furnished, or an ACO participant that billed for, an item or service that was rendered to a CJR beneficiary during a CJR episode that occurred during the same performance year for which the participant hospital has calculated a gainsharing payment or been assessed a repayment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ACO must have contributed to CJR activities and been clinically involved in the care of CJR beneficiaries. For example, an ACO might be have been clinically involved in the care of CJR beneficiaries 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--Providing care coordination services to CJR beneficiaries during and/or after inpatient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--Engaging with a participant hospital in care redesign strategies, and actually performing a role in implementing such strategies, that are designed to improve the quality of care and reduce spending for CJR episodes;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coordination with providers and suppliers (such as ACO participants, ACO providers/suppliers, the participant hospital, and post-acute care providers), implementing strategies designed to address and manage the comorbidities of CJR beneficiaries.</w:t>
      </w:r>
    </w:p>
    <w:p>
      <w:pPr>
        <w:keepNext w:val="0"/>
        <w:numPr>
          <w:numId w:val="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for accruing, calculating and verifying internal cost savings must be transparent, measurable, and verifiable in accordance with generally accepted accounting principles (GAAP) and Government Auditing Standards (The Yellow Book).</w:t>
      </w:r>
    </w:p>
    <w:p>
      <w:pPr>
        <w:keepNext w:val="0"/>
        <w:numPr>
          <w:numId w:val="7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used to calculate internal cost savings must reflect the actual, internal cost savings achieved by the participant hospital through the documented implementation of CJR activities identified by the participant hospital and must exclude--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Any savings realized by any individual or entity that is not the participant hospital;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"Paper" savings from accounting conventions or past investment in fixed costs.</w:t>
      </w:r>
    </w:p>
    <w:p>
      <w:pPr>
        <w:keepNext w:val="0"/>
        <w:numPr>
          <w:numId w:val="7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a gainsharing payment for a performance year paid to a CJR collaborator must not exceed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the case of a CJR collaborator who is a physician or nonphysician practitioner, 50 percent of the Medicare-approved amounts under the PFS for items and services furnished by that physician or nonphysician practitioner to the participant hospital's CJR beneficiaries during CJR episodes that occurred during the same performance year in which the participant hospital accrued the internal cost savings or earned the reconciliation payment that comprises the gainsharing payment being made.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the case of a CJR collaborator that is a PGP, 50 percent of the Medicare-approved amounts under the PFS for items and services billed by the PGP and furnished to the participant hospital's CJR beneficiaries by members of the PGP during CJR episodes that occurred during the same performance year in which the participant hospital accrued the internal cost savings or earned the reconciliation payment that comprises the gainsharing payment being made.</w:t>
      </w:r>
    </w:p>
    <w:p>
      <w:pPr>
        <w:keepNext w:val="0"/>
        <w:numPr>
          <w:numId w:val="7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gainsharing payments must be determined in accordance with a methodology that is substantially based on quality of care and the provision of CJR activities. The methodology may take into account the amount of such CJR activities provided by a CJR collaborator relative to other CJR collaborators.</w:t>
      </w:r>
    </w:p>
    <w:p>
      <w:pPr>
        <w:keepNext w:val="0"/>
        <w:numPr>
          <w:numId w:val="7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performance year, the aggregate amount of all gainsharing payments that are derived from a reconciliation payment must not exceed the amount of the reconciliation payment the participant hospital receives from CMS.</w:t>
      </w:r>
    </w:p>
    <w:p>
      <w:pPr>
        <w:keepNext w:val="0"/>
        <w:numPr>
          <w:numId w:val="7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entity or individual, whether a party to a sharing arrangement or not, may condition the opportunity to make or receive gainsharing payments or to make or receive alignment payments on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not make a gainsharing payment to a CJR collaborator that is subject to any action for noncompliance with this part or the fraud and abuse laws, or for the provision of substandard care in CJR episodes or other integrity problems.</w:t>
      </w:r>
    </w:p>
    <w:p>
      <w:pPr>
        <w:keepNext w:val="0"/>
        <w:numPr>
          <w:numId w:val="7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require the participant hospital to recoup any gainsharing payment that contained funds derived from a CMS overpayment on a reconciliation report or was based on the submission of false or fraudulent data.</w:t>
      </w:r>
    </w:p>
    <w:p>
      <w:pPr>
        <w:keepNext w:val="0"/>
        <w:numPr>
          <w:numId w:val="7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Alignment payments from a CJR collaborator to a participant hospital may be made at any interval that is agreed upon by both parties, and must not 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Issued, distributed, or paid prior to the calculation by CMS of a repayment amount reflected in a reconciliation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Loans, advance payments, or payments for referrals or other business;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Assessed by a participant hospital if it does not owe a repayment amount.</w:t>
      </w:r>
    </w:p>
    <w:p>
      <w:pPr>
        <w:keepNext w:val="0"/>
        <w:numPr>
          <w:numId w:val="7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not receive any amounts from a CJR collaborator under a sharing arrangement that are not alignment payments.</w:t>
      </w:r>
    </w:p>
    <w:p>
      <w:pPr>
        <w:keepNext w:val="0"/>
        <w:numPr>
          <w:numId w:val="7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performance year, the aggregate amount of all alignment payments received by the participant hospital must not exceed 50 percent of the participant hospital's repayment amount.</w:t>
      </w:r>
    </w:p>
    <w:p>
      <w:pPr>
        <w:keepNext w:val="0"/>
        <w:numPr>
          <w:numId w:val="7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aggregate amount of all alignment payments from a CJR collaborator to the participant hospital may not be greater than--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 respect to a CJR collaborator other than an ACO, 25 percent of the participant hospital's repayment amount;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 respect to a CJR collaborator that is an ACO, 50 percent of the participant hospital's repayment amount. </w:t>
      </w:r>
      <w:r>
        <w:rPr>
          <w:rFonts w:ascii="arial" w:eastAsia="arial" w:hAnsi="arial" w:cs="arial"/>
          <w:b/>
          <w:i w:val="0"/>
          <w:strike w:val="0"/>
          <w:noProof w:val="0"/>
          <w:color w:val="000000"/>
          <w:position w:val="0"/>
          <w:sz w:val="20"/>
          <w:u w:val="none"/>
          <w:vertAlign w:val="baseline"/>
        </w:rPr>
        <w:t> [*543] </w:t>
      </w:r>
    </w:p>
    <w:p>
      <w:pPr>
        <w:keepNext w:val="0"/>
        <w:numPr>
          <w:numId w:val="7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for determining alignment payments must not directly account for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w:t>
      </w:r>
    </w:p>
    <w:p>
      <w:pPr>
        <w:keepNext w:val="0"/>
        <w:numPr>
          <w:numId w:val="7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gainsharing payments and any alignment payments must be administered by the participant hospital in accordance with generally accepted accounting principles.</w:t>
      </w:r>
    </w:p>
    <w:p>
      <w:pPr>
        <w:keepNext w:val="0"/>
        <w:numPr>
          <w:numId w:val="7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gainsharing payments and alignment payments must be made by check, electronic funds transfer, or another traceable cash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amend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510.500(c) as described previously. We sought comment on our proposal, including the feasibility of implementing the proposed safeguards in the context of the current regulatory framework applicable to ACOs and whether additional or different safeguards were reasonable, necessary or appropriate to ensure the goals of program integrity, protecting against abuse and ensuring the goals of the model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this proposal mirrors what was proposed for the EPM and the comments on these proposals and our responses are substantially the same, we refer readers to section III.I.4.c for a detailed explanation of the comments and our responses to them.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with modifications, for gainsharing payments, alignment payments, and internal cost savings conditions and restrictions, in § 510.500(c). In addition to the modifications discussed in our responses in section III.I.4.c, we are specifying that to be eligible to receive a gainsharing payment or to be required to make an alignment payment, an NPPGP or TGP (like PGPs) must have billed for an item or service that was rendered by one or more NPPGP members or TGP members respectively to a CJR beneficiary during a CJR episode that occurred during the same performance year for which the CJR participant accrued the internal cost savings or earned the reconciliation payment that comprises the gainsharing payment or was assessed a repayment amount. In addition, like PGPs, the NPPGP or TGP must have contributed to CJR activities and been clinically involved in the care of CJR beneficiaries during the same performance year for which the CJR participant hospital accrued the internal cost savings or earned the reconciliation payment that comprises the gainsharing payment or was assessed a repayment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finalized, effective July 1, 2017 gainsharing payments, alignment payments, and internal cost savings must meet the following conditions and restrictions:</w:t>
      </w:r>
    </w:p>
    <w:p>
      <w:pPr>
        <w:keepNext w:val="0"/>
        <w:numPr>
          <w:numId w:val="7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Gainsharing payments, if any, must--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 derived solely from reconciliation payments, or internal cost savings, or both;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 distributed on an annual basis (not more than once per calendar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 be a loan, advance payment, or payment for referrals or other business;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 clearly identified as a gainsharing payment at the time it is paid.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be eligible to receive a gainsharing payment, a CJR collaborator must meet quality of care criteria for the performance year for which the participant hospital accrued the internal cost savings or earned the reconciliation payment that comprises the gainsharing payment. The quality of care criteria must be established by the participant hospital and directly related to CJR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be eligible to receive a gainsharing payment, or to be required to make an alignment payment, a CJR collaborator other than an ACO, PGP, NPPGP, or TGP must have directly furnished a billable item or service to a CJR beneficiary during a CJR episode that occurred in the same performance year for which the participant hospital accrued the internal cost savings or earned the reconciliation payment that comprises the gainsharing payment or was assessed a repayment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be eligible to receive a gainsharing payment, or to be required to make an alignment payment, a CJR collaborator that is a PGP, NPPGP, or TGP must meet the following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PGP, NPPGP, or TGP must have billed for an item or service that was rendered by one or more PGP member, NPPGP member, or TGP member respectively to a CJR beneficiary during a CJR episode that occurred during the same performance year for which the participant hospital accrued the internal cost savings or earned the reconciliation payment that comprises the gainsharing payment or was assessed a repayment amount;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PGP, NPPGP, or TGP must have contributed to CJR activities and been clinically involved in the care of CJR beneficiaries during the same performance year for which the participant hospital accrued the internal cost savings or earned the reconciliation payment that comprises the gainsharing payment or was assessed a repayment amount. For example, a PGP, NPPGP, or TGP might have been clinically involved in the care of CJR beneficiaries 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[caret][caret] Providing care coordination services to CJR beneficiaries during and/or after inpatient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[caret][caret] Engaging with a participant hospital in care redesign strategies, and actually performing a role in implementing such strategies, that are designed to improve the quality of care for CJR episodes and reduce CJR episode spending;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[caret][caret] In coordination with other providers and suppliers (such as PGP members, NPPGP members, or TGP members; the participant hospital; and post-acute care providers), implementing strategies designed to address and manage the comorbidities of CJR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eligible to receive a gainsharing payment, or to be required to make an alignment payment, a CJR collaborator that is an ACO must meet the following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[caret][caret] The ACO must have had an ACO provider/supplier that directly furnished, or an ACO participant that billed for, an item or service that was rendered to a CJR beneficiary during a CJR episode that occurred during the same performance year for which the participant hospital accrued the internal cost savings or earned the reconciliation payment that comprises the gainsharing payment or was assessed a repayment amount;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ACO must have contributed to CJR activities and been clinically involved in the care of CJR beneficiaries during the same performance year for which the participant hospital accrued the internal cost savings or earned the reconciliation payment that comprises the gainsharing payment or was assessed a repayment amount. For example, an ACO might be have been clinically involved in the care of CJR beneficiaries 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[caret][caret] Providing care coordination services to CJR beneficiaries during and/or after inpatient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[caret][caret] Engaging with a participant hospital in care redesign strategies, and actually performing a role in implementing such strategies, that are designed to improve the quality of care and reduce spending for CJR episodes; or </w:t>
      </w:r>
      <w:r>
        <w:rPr>
          <w:rFonts w:ascii="arial" w:eastAsia="arial" w:hAnsi="arial" w:cs="arial"/>
          <w:b/>
          <w:i w:val="0"/>
          <w:strike w:val="0"/>
          <w:noProof w:val="0"/>
          <w:color w:val="000000"/>
          <w:position w:val="0"/>
          <w:sz w:val="20"/>
          <w:u w:val="none"/>
          <w:vertAlign w:val="baseline"/>
        </w:rPr>
        <w:t> [*544]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[caret][caret] In coordination with providers and suppliers (such as ACO participants, ACO providers/suppliers, the CJR participant hospital, and post-acute care providers), implementing strategies designed to address and manage the comorbidities of CJR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methodology for accruing, calculating and verifying internal cost savings must be transparent, measurable, and verifiable in accordance with generally accepted accounting principles (GAAP) and Government Auditing Standards (The Yellow Book).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methodology used to calculate internal cost savings must reflect the actual, internal cost savings achieved by the participant hospital through the documented implementation of CJR activities identified by the participant hospital and must exclude: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savings realized by any individual or entity that is not the CJR participant hospital;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 savings from accounting conventions or past investment in fixed costs.</w:t>
      </w:r>
    </w:p>
    <w:p>
      <w:pPr>
        <w:keepNext w:val="0"/>
        <w:numPr>
          <w:numId w:val="7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a gainsharing payment for a performance year paid to a CJR collaborator must not exceed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the case of a CJR collaborator who is a physician or nonphysician practitioner, 50 percent of the Medicare-approved amounts under the PFS for items and services furnished by that physician or nonphysician practitioner to the participant hospital's CJR beneficiaries during CJR episodes that occurred during the same performance year for which the participant hospital accrued the internal cost savings or earned the reconciliation payment that comprises the gainsharing payment being made.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the case of a CJR collaborator that is a PGP or NPPGP, 50 percent of the Medicare-approved amounts under the PFS for items and services billed by that PGP or NPPGP and furnished to the participant hospital's CJR beneficiaries by the PGP members or NPPGP members respectively during CJR episodes that occurred during the same performance year for which the participant hospital accrued the internal cost savings or earned the reconciliation payment that comprises the gainsharing payment being made.</w:t>
      </w:r>
    </w:p>
    <w:p>
      <w:pPr>
        <w:keepNext w:val="0"/>
        <w:numPr>
          <w:numId w:val="7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gainsharing payments must be determined in accordance with a methodology that is substantially based on quality of care and the provision of CJR activities. The methodology may take into account the amount of such CJR activities provided by a CJR collaborator relative to other CJR collaborators.</w:t>
      </w:r>
    </w:p>
    <w:p>
      <w:pPr>
        <w:keepNext w:val="0"/>
        <w:numPr>
          <w:numId w:val="7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performance year, the aggregate amount of all gainsharing payments that are derived from a reconciliation payment the participant hospital receives from CMS must not exceed the amount of that reconciliation payment.</w:t>
      </w:r>
    </w:p>
    <w:p>
      <w:pPr>
        <w:keepNext w:val="0"/>
        <w:numPr>
          <w:numId w:val="7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entity or individual, whether a party to a sharing arrangement or not, may condition the opportunity to make or receive gainsharing payments or to make or receive alignment payments directly or indirectly on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w:t>
      </w:r>
    </w:p>
    <w:p>
      <w:pPr>
        <w:keepNext w:val="0"/>
        <w:numPr>
          <w:numId w:val="7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not make a gainsharing payment to a CJR collaborator if CMS has notified the participant hospital that such collaborator is subject to any action for noncompliance with this part or the fraud and abuse laws, or for the provision of substandard care to CJR beneficiaries or other integrity problems.</w:t>
      </w:r>
    </w:p>
    <w:p>
      <w:pPr>
        <w:keepNext w:val="0"/>
        <w:numPr>
          <w:numId w:val="7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require the participant hospital to recoup any gainsharing payment that contained funds derived from a CMS overpayment on a reconciliation report or was based on the submission of false or fraudulent data.</w:t>
      </w:r>
    </w:p>
    <w:p>
      <w:pPr>
        <w:keepNext w:val="0"/>
        <w:numPr>
          <w:numId w:val="7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Alignment payments from a CJR collaborator to a participant hospital may be made at any interval that is agreed upon by both parties, and must not 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Issued, distributed, or paid prior to the calculation by CMS of a repayment amount reflected in a reconciliation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Loans, advance payments, or payments for referrals or other business;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Assessed by a participant hospital if it does not owe a repayment amount.</w:t>
      </w:r>
    </w:p>
    <w:p>
      <w:pPr>
        <w:keepNext w:val="0"/>
        <w:numPr>
          <w:numId w:val="7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CJR participant hospital must not receive any amounts under a sharing arrangement from a CJR collaborator that are not alignment payments.</w:t>
      </w:r>
    </w:p>
    <w:p>
      <w:pPr>
        <w:keepNext w:val="0"/>
        <w:numPr>
          <w:numId w:val="7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performance year, the aggregate amount of all alignment payments received by the CJR participant hospital must not exceed 50 percent of the participant hospital's repayment amount.</w:t>
      </w:r>
    </w:p>
    <w:p>
      <w:pPr>
        <w:keepNext w:val="0"/>
        <w:numPr>
          <w:numId w:val="7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aggregate amount of all alignment payments from a CJR collaborator to the participant hospital may not be greater than--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 respect to a CJR collaborator other than an ACO, 25 percent of the participant hospital's repayment amount;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 respect to a CJR collaborator that is an ACO, 50 percent of the participant hospital's repayment amount.</w:t>
      </w:r>
    </w:p>
    <w:p>
      <w:pPr>
        <w:keepNext w:val="0"/>
        <w:numPr>
          <w:numId w:val="7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alignment payments must be determined in accordance with a methodology that does not directly account for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w:t>
      </w:r>
    </w:p>
    <w:p>
      <w:pPr>
        <w:keepNext w:val="0"/>
        <w:numPr>
          <w:numId w:val="7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gainsharing payments and any alignment payments must be administered by the participant hospital in accordance with generally accepted accounting principles (GAAP) and Government Auditing Standards (The Yellow Book).</w:t>
      </w:r>
    </w:p>
    <w:p>
      <w:pPr>
        <w:keepNext w:val="0"/>
        <w:numPr>
          <w:numId w:val="7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gainsharing payments and alignment payments must be made by check, electronic funds transfer, or another traceable cash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Documentation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revisions to § 510.500(d) for organization and formatting purposes, and to align with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EPMs. Besides the proposed definitional changes, these revisions would not change any policies under the current documentation section of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proposed the following requirements for documentation:</w:t>
      </w:r>
    </w:p>
    <w:p>
      <w:pPr>
        <w:keepNext w:val="0"/>
        <w:numPr>
          <w:numId w:val="7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must--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Document the sharing arrangement contemporaneously with the establishment of the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Maintain accurate current and historical lists of all CJR collaborators, including collaborator names and addresses; update such lists on at least a quarterly basis; and publicly report the current and historical lists of CJR collaborators on a Web page on the participant hospital's Web site;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Maintain and require each CJR collaborator to maintain contemporaneous documentation with respect to the payment or receipt of any gainsharing payment or alignment payment that includes at a minimum the-- </w:t>
      </w:r>
      <w:r>
        <w:rPr>
          <w:rFonts w:ascii="arial" w:eastAsia="arial" w:hAnsi="arial" w:cs="arial"/>
          <w:b/>
          <w:i w:val="0"/>
          <w:strike w:val="0"/>
          <w:noProof w:val="0"/>
          <w:color w:val="000000"/>
          <w:position w:val="0"/>
          <w:sz w:val="20"/>
          <w:u w:val="none"/>
          <w:vertAlign w:val="baseline"/>
        </w:rPr>
        <w:t> [*545]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--Nature of the payment (gainsharing payment or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--Identity of the parties making and receiving the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of the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--Amount of the payment;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and amount of any recoupment of all or a portion of a CJR collaborator's gainsharing payment.</w:t>
      </w:r>
    </w:p>
    <w:p>
      <w:pPr>
        <w:keepNext w:val="0"/>
        <w:numPr>
          <w:numId w:val="7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keep records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Its process for determining and verifying its potential and current CJR collaborators' eligibility to participate in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Its plan to track internal cost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Information on the accounting systems used to track internal cost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description of current health information technology, including systems to track reconciliation payments and internal cost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Its plan to track gainsharing payments and alignment payments.</w:t>
      </w:r>
    </w:p>
    <w:p>
      <w:pPr>
        <w:keepNext w:val="0"/>
        <w:numPr>
          <w:numId w:val="7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retain and provide access to, and must require each CJR collaborator to retain and provide access to, the required documentation in accordance with § 510.110.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 510.500(d)(3), we proposed that participant hospitals must retain and provide access to the required documentation in accordance with § 510.110 and must obligate CJR collaborators to do the same. We proposed to add a new section, § 510.110, to the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would apply all records access and retention requirements under the CJR model, including those for financial arrangements as well as beneficiary notifications and beneficiary incentives. Because we proposed to consolidate all records access and retention requirements in one place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 proposed to delete § 510.500(e) from the current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discussed further our proposal to consolidate the requirements under the CJR model for access to records and record retention and apply them more broadly in the model. This approach mirrors our proposed records retention policies for the EPMs, which are discussed in detail in section III.H. of this final rule. We refer readers to that section for further discussion of our proposed policies and rationale.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amend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510.500(d). We sought comment on our proposals. We received no specific comments on the proposed documentation requirements for CJR sharing arrangements other than the comment discussed in section III.I.4.d. previously requesting further documentation related to the criteria for selection of CJR collaborators.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the proposals in § 510.500(d) for CJR documentation requirements, with the modification previously discussed to require the participant hospital to publicly post the written policies for selecting CJR collaborators on a Web page on the participant hospital's Web site and the reorganization to consolidate and streamline the documentation requirements related to public posting. CJR sharing arrangements must meet the following documentation requirements:</w:t>
      </w:r>
    </w:p>
    <w:p>
      <w:pPr>
        <w:keepNext w:val="0"/>
        <w:numPr>
          <w:numId w:val="7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do all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Document the sharing arrangement contemporaneously with the establishment of the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Publicly post (and update on at least a quarterly basis) on a Web page on the CJR participant hospital's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Accurate current and historical lists of all CJR collaborators, including CJR collaborator names and addresses.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Written policies for selecting individuals and entities to be CJR collaborators required by § 510.500(a)(3).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Maintain and require each CJR collaborator to maintain contemporaneous documentation with respect to the payment or receipt of any gainsharing payment or alignment payment that includes at a minimum all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--Nature of the payment (gainsharing payment or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Identity of the parties making and receiving the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of the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--Amount of the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and amount of any recoupment of all or a portion of a CJR collaborator's gainsharing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--Explanation for each recoupment, such as whether the CJR collaborator received a gainsharing payment that contained funds derived from a CMS overpayment on a reconciliation report, or was based on the submission of false or fraudulent data.</w:t>
      </w:r>
    </w:p>
    <w:p>
      <w:pPr>
        <w:keepNext w:val="0"/>
        <w:numPr>
          <w:numId w:val="7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keep records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Its process for determining and verifying its potential and current CJR collaborators' eligibility to participate in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Its plan to track internal cost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Information on the accounting systems used to track internal cost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description of current health information technology, including systems to track reconciliation payments and internal cost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Its plan to track gainsharing payments and alignment payments.</w:t>
      </w:r>
    </w:p>
    <w:p>
      <w:pPr>
        <w:keepNext w:val="0"/>
        <w:numPr>
          <w:numId w:val="7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retain and provide access to, and must require each EPM collaborator to retain and provide access to, the required documentation in accordance with § 510.110.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Distribution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Though we proposed a complete revision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510.505, these changes are mainly to accommodate our proposals to add ACOs as CJR collaborators, add the term collaboration agent,' remove the term collaborator agreement,' move the requirements for such agreements to appear as requirements for sharing arrangements, and to mirror the proposed EPM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512.505 to avoid confusion for hospitals that are participating in CJR as well as one or more of the proposed EPMs. Our proposed changes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reflect that the requirements and rules regarding distribution arrangements under the CJR model would stay largely the same.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certain financial arrangements between CJR collaborators and other individuals or entities called "collaboration agents" be termed "distribution arrangements." A distribution arrangement is a financial arrangement between a CJR collaborator that is an ACO or PGP and a collaboration agent for the sole purpose of sharing a gainsharing payment received by the ACO or PGP. A collaboration agent is an individual or entity that is not a CJR collaborator and that is either a PGP member that has entered into a distribution arrangement with the same PGP in which he or she is an owner or employee or an ACO participant or ACO provider/supplier that has entered into a distribution arrangement with the same ACO in which it is participating. Where a payment from a CJR collaborator to a collaboration agent is made pursuant to a distribution arrangement, we proposed to define that payment as a "distribution payment." A collaboration agent may make a distribution payment only in accordance with a distribution arrangement which complies with the provisions of § 510.505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the fraud and abuse laws. We solicited comment on whether requirements for distribution payments by ACOs under the proposal were reasonable, necessary and appropriate to </w:t>
      </w:r>
      <w:r>
        <w:rPr>
          <w:rFonts w:ascii="arial" w:eastAsia="arial" w:hAnsi="arial" w:cs="arial"/>
          <w:b/>
          <w:i w:val="0"/>
          <w:strike w:val="0"/>
          <w:noProof w:val="0"/>
          <w:color w:val="000000"/>
          <w:position w:val="0"/>
          <w:sz w:val="20"/>
          <w:u w:val="none"/>
          <w:vertAlign w:val="baseline"/>
        </w:rPr>
        <w:t> [*546] </w:t>
      </w:r>
      <w:r>
        <w:rPr>
          <w:rFonts w:ascii="arial" w:eastAsia="arial" w:hAnsi="arial" w:cs="arial"/>
          <w:b w:val="0"/>
          <w:i w:val="0"/>
          <w:strike w:val="0"/>
          <w:noProof w:val="0"/>
          <w:color w:val="000000"/>
          <w:position w:val="0"/>
          <w:sz w:val="20"/>
          <w:u w:val="none"/>
          <w:vertAlign w:val="baseline"/>
        </w:rPr>
        <w:t xml:space="preserve"> promote program integrity, prevent fraud and abuse, and achieve the goals of the model. In addition, we solicited comment on how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the financial arrangements the proposal may interact with and on how these or similar financial arrangements are regulated under the Medicare Shared Savings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no specific comments on the proposed general provisions for distribution arrangements under the CJR model. However, as discussed previously, we are finalizing revisions to allow NPPGP to be eligible to be CJR collaborators and we are modifying our general provisions for distribution arrangements to allow NPPGPs to enter into distribution arrangements with NPPGP members. Similarly, we are modifying our general provisions for distribution arrangements to allow TGPs to enter into distribution arrangements with TGP members. In addition, we are modifying the EPM proposals in response to the comments that we received, and therefore, consistent with our proposal to amend the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streamline and simply requirements for CJR and to align them with the EPMs, we are making corresponding changes to the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believe these modifications also will reduce any burden that could arise from having to comply with different requirements for each model for hospitals participating in both CJR and EPMs. We refer readers to the discussion at III.I.5. for further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effective July 1, 2017 the proposals in § 510.505(a) for the general requirements for CJR distribution arrangements, with modification to allow NPPGPs or TGPs to enter into distribution arrangements with NPPGP members or TGP members respectively. Similar to PGPs when they are CJR collaborators, we believe it is appropriate to allow NPPGPs or TGPs to enter into distribution arrangements with NPPGP members or TGP members respectively for the sole purpose of sharing a gainsharing payment received by the NPPGP or TGP. Distribution arrangements under the CJR model must comply with the following general provisions:</w:t>
      </w:r>
    </w:p>
    <w:p>
      <w:pPr>
        <w:keepNext w:val="0"/>
        <w:numPr>
          <w:numId w:val="7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ACO, PGP, NPPGP, or TGP that has entered into a sharing arrangement with a CJR participant hospital may distribute all or a portion of any gainsharing payment it receives from the participant hospital only in accordance with a distribution arrangement.</w:t>
      </w:r>
    </w:p>
    <w:p>
      <w:pPr>
        <w:keepNext w:val="0"/>
        <w:numPr>
          <w:numId w:val="7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distribution arrangements must comply with the provisions of this section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amend the requirements for distribution payments in § 510.505 as discussed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opportunity to make or receive a distribution payment must not be conditioned directly or indirectly on the volume or value of past or anticipated referrals or business otherwise generated by, between or among the participant hospital, any CJR collaborator, collaboration agent, any downstream collaboration agent, or any individual or entity affiliated with a participant hospital, CJR collaborator, collaboration agent, or downstream collaboration agent. The proposed requirement is substantively the same as the existing requirement in the CJR model. By adding the word "past or anticipated," the proposed provision makes clear that all previous and future referrals between or among the participant hospital, any CJR collaborator, any collaboration agent, any downstream collaboration agent, or any individual or entity affiliated with a participant hospital, CJR collaborator, collaboration agent, or downstream collaboration agent are encompassed.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methodologies for determining distribution payments must not directly account for volume or value of referrals, or business otherwise generated, by, between or among the participant hospital, PGP, other CJR collaborators, any collaboration agent, any downstream collaboration agent, and any individual or entity affiliated with a participant hospital, CJR collaborator, collaboration agent, or downstream collaboration agent. We proposed to change the requirement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our proposal for gainsharing payments discussed previously, we proposed a more flexible standard for the determination of the amount of distribution payments from ACOs and PGPs for the same reasons we propose this standard for the determination of gainsharing payments. Specifically, for ACOs we proposed that the amount of any distribution payments must be determined in accordance with a methodology that is substantially based on quality of care and the provision of CJR activities and that may take into account the amount of such CJR activities provided by a collaboration agent relative to other collaboration agents. We believe that the amount of a collaboration agent's provision of CJR activities (including direct care) to CJR beneficiaries during a CJR episode may contribute to the participant hospital's internal cost savings and reconciliation payment that may be available for making a gainsharing payment to the CJR collaborator with which the collaboration agent has a distribution arrangement. Greater contributions of CJR activities by one collaboration agent versus another collaboration agent that result in different contributions to the gainsharing payment made to the CJR collaborator with which those collaboration agents both have a distribution arrangement may be appropriately valued in the methodology used to make distribution payments to those collaboration agents. Accordingly, we believe this is the appropriate standard for determining the amount of distribution payments from an ACO to its collaboration agents.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noted that for distribution payments made by a PGP to PGP members, the requirement that the amount of any distribution payments must be determined in accordance with a methodology that is substantially based on quality of care and the provision of CJR activities may be more limiting in how a PGP pays its members than is allowed under existing law. Therefore, to retain existing flexibility for distribution payments by a PGP to PGP members, we proposed that the amount of the distribution payment from a PGP to PGP members must be determined either using the methodology previously described for distribution payments from an ACO or in a manner that complies with § 411.352(g). The proposal would allow a PGP the choice either to comply with the general standard that the amount of a distribution payment must be substantially based on quality of care and the provision of CJR activities or to provide its members a financial benefit through the CJR without consideration of the PGP member's individual quality of care. In the latter case, PGP members who are not collaboration agents (including those who furnished no services to CJR beneficiaries) would be able receive a share of the profits from their PGP that includes the monies contained in a gainsharing payment. We believe that our proposal to modify the current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allow the amount of the distribution payment from a PGP to a PGP member to be determined in a manner that complies with § 411.352(g) is an appropriate exception to the general standard for determining the amount of distribution payment under the CJR model from a PGP to a PGP member. CMS has determined under the physician self-referral law that payments from a group </w:t>
      </w:r>
      <w:r>
        <w:rPr>
          <w:rFonts w:ascii="arial" w:eastAsia="arial" w:hAnsi="arial" w:cs="arial"/>
          <w:b/>
          <w:i w:val="0"/>
          <w:strike w:val="0"/>
          <w:noProof w:val="0"/>
          <w:color w:val="000000"/>
          <w:position w:val="0"/>
          <w:sz w:val="20"/>
          <w:u w:val="none"/>
          <w:vertAlign w:val="baseline"/>
        </w:rPr>
        <w:t> [*547] </w:t>
      </w:r>
      <w:r>
        <w:rPr>
          <w:rFonts w:ascii="arial" w:eastAsia="arial" w:hAnsi="arial" w:cs="arial"/>
          <w:b w:val="0"/>
          <w:i w:val="0"/>
          <w:strike w:val="0"/>
          <w:noProof w:val="0"/>
          <w:color w:val="000000"/>
          <w:position w:val="0"/>
          <w:sz w:val="20"/>
          <w:u w:val="none"/>
          <w:vertAlign w:val="baseline"/>
        </w:rPr>
        <w:t xml:space="preserve"> practice as defined under § 411.352 to its members that comply with § 411.352(g) are appropriate. The proposal would allow a PGP the choice either to comply with the general standard that the amount of a distribution payment must be substantially based on quality of care and the provision of CJR activities or to provide its members a financial benefit through the CJR model without consideration of the PGP member's individual quality of care. The approach mirrors our proposed policies for distribution arrangements for the EPMs, which are discussed in detail in section III.I.5.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amend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510.505(b)(4) and (b)(5). We sought comment on the proposal and specifically whether additional safeguards or a different standard was needed to allow for greater flexibility in calculating the amount of distribution payments consistent with the goals of promoting program integrity, protecting against abuse, and ensuring that the goals of the model are met. In addition, we solicited comment on the proposal to allow distribution payments by a PGP to its members that comply with § 411.352(g) or whether additional/different safeguards are reasonable, necessary, and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Except for a distribution payment from a PGP to a PGP member that complies with § 411.352(g), we proposed to continue the limits in the current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the total amount of distribution payments to physicians, nonphysician practitioners, and PGPs as we proposed for gainsharing payments. Specifically, in the case of a collaboration agent that is a physician or nonphysician practitioner, absent the alternative safeguards afforded by compliance with § 411.352(g), we would limit the total amount of distribution payments paid for a performance year to the collaboration agent to 50 percent of the total Medicare-approved amounts under the PFS for items and services furnished by the collaboration agent to the CJR participant hospital's CJR beneficiaries during CJR episodes that occurred during the same performance year for which the CJR participant accrued the internal cost savings or earned the reconciliation payment that comprises the gainsharing payment being distributed. In the case of a collaboration agent that is a PGP, the limit would continue to be 50 percent of the total Medicare-approved amounts under the PFS for items and services billed by the PGP for items and services furnished by members of the PGP to the CJR participant hospital's CJR beneficiaries during CJR episodes that occurred during the same performance year for which the CJR participant hospital accrued the internal cost savings or earned the reconciliation payment that comprises the gainsharing payment being distributed.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all distribution payments must be made by check, electronic funds transfer, or another traceable cash transaction. The proposal would provide additional flexibility for entities making distribution payments as well as would mitigate the administrative burden that the EFT requirement previously placed on the financial arrangements between certain participant hospitals and CJR collaborators, especially individual physicians and nonphysician practitioners and small PGPs, which could discourage participation of those suppliers as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proposed at § 510.505(b)(15) that CJR collaborators must retain and provide access to the required documentation in accordance with § 510.110 and must require each collaboration agent to do so as well. We discussed further our proposal to consolidate the requirements under the CJR model for access to records and record retention and apply them more broadly in the model. The approach mirrors our proposed records retention policies for the EPMs, which are discussed in detail in section III.H. of this final rule. We refer readers to that section for further discussion of our proposed policies and rationale.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our proposals regarding distribution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comments on the requirements of a distribution arrangement under the CJR model and EPM, including the proposed cap on distribution and downstream distribution payments, which are discussed in section III.I.5.b.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on the requirements of a distribution arrangement under the CJR model and the EPM. We refer to section III.I.5.b for a detailed discussion of comments and responses in regards to distribution arrangements under these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in §§ 510.505(6) and 510.510(6) that the amount of any distribution payments or downstream distribution payments from a PGP to a PGP member must be determined either in a manner that complies with § 411.352(g) of this chapter or in accordance with a methodology that is substantially based on quality of care and the provision CJR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clarification about whether outpatient therapy providers can receive distribution or downstream distribution payments as either a member of a PGP who is a CJR collaborator or as a member of a PGP that is an ACO participant in an ACO that has a distribution arrangement with a CJR collaborator.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Certain outpatient therapy providers are included in the definition of a member of a PGP or PGP member which means "a physician, nonphysician practitioner, or therapist who is an owner or employer of a PGP and who has reassigned to the PGP his or her right to receive Medicare payment." Thus, therapists who are PGP members may be eligible to receive distribution payments or downstream distribution payments when those PGPs enter into financial arrangements under the CJR model in accordance with all the requirements in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510.505(b) for the requirements for CJR distribution arrangements, with modification to include policies for NPPGPs or TGPs that enter into distribution arrangements with NPPGP members or TGP members respectively. Like a PGP, an NPPGP that is an ACO participant in an ACO that is a CJR collaborator may enter into distribution arrangement with the ACO. The distribution payments to the NPPGP are subject to the same requirements as distribution payments to PGPs that are collaboration agents. The NPPGP is eligible to receive a distribution payment only if the collaboration agent billed for an item or service rendered to a CJR beneficiary during a CJR episode that occurred during the same performance year for which the CJR participant hospital accrued the internal cost savings or earned the reconciliation payment that comprises the gainsharing payment being distributed. The distribution payment to the NPPGP is capped at 50 percent of the total Medicare-approved amounts under the PFS for items and services billed by the NPPGP for items and services furnished by NPPGP members to the CJR participant hospital's CJR beneficiaries during CJR episodes that occurred during the same performance year for which the CJR participant hospital accrued the internal cost savings or earned the reconciliation payment that comprises the gainsharing payment being distributed.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an NPPGP is a CJR collaborator, it may enter into a distribution arrangement with an NPPGP member, which is defined as a nonphysician </w:t>
      </w:r>
      <w:r>
        <w:rPr>
          <w:rFonts w:ascii="arial" w:eastAsia="arial" w:hAnsi="arial" w:cs="arial"/>
          <w:b/>
          <w:i w:val="0"/>
          <w:strike w:val="0"/>
          <w:noProof w:val="0"/>
          <w:color w:val="000000"/>
          <w:position w:val="0"/>
          <w:sz w:val="20"/>
          <w:u w:val="none"/>
          <w:vertAlign w:val="baseline"/>
        </w:rPr>
        <w:t> [*548] </w:t>
      </w:r>
      <w:r>
        <w:rPr>
          <w:rFonts w:ascii="arial" w:eastAsia="arial" w:hAnsi="arial" w:cs="arial"/>
          <w:b w:val="0"/>
          <w:i w:val="0"/>
          <w:strike w:val="0"/>
          <w:noProof w:val="0"/>
          <w:color w:val="000000"/>
          <w:position w:val="0"/>
          <w:sz w:val="20"/>
          <w:u w:val="none"/>
          <w:vertAlign w:val="baseline"/>
        </w:rPr>
        <w:t xml:space="preserve"> practitioner or therapist who is an owner or employee of an NPPGP and who has reassigned to the NPPGP his or her right to receive Medicare payment. The requirements for NPPGP distribution payments under those distribution arrangements are the same as those for PGPs, except that we allow the amount of any distribution payments from a PGP to a PGP member to be determined in a manner that complies with § 411.352(g). While CMS has determined under the physician self-referral law that payments from a group practice as defined under § 411.352 to its members that comply with § 411.352(g) are appropriate, NPPGPs do not fall under this definition of group practice. Therefore, the amount of any distribution payments from an NPPGP to an NPPGP member must always be determined in accordance with a methodology that is substantially based on quality of care and the provision CJR activities, the same standard that applies to PGP distribution payments that are not determined in a manner that complies with § 411.352(g). Like the requirement for PGP members when a distribution payment does not comply with § 411.352(g), an NPPGP member is eligible to receive a distribution payment only if the collaboration agent furnished an item or service to a CJR beneficiary during a CJR episode that occurred during the same performance year for which the CJR participant hospital accrued the internal cost savings or earned the reconciliation payment that comprises the gainsharing payment being distributed. Finally, the total amount of distribution payments paid for a performance year to the NPPG member may not exceed 50 percent of the total Medicare-approved amounts under the PFS for items and services furnished by the NPPGP member to the CJR participant hospital's CJR beneficiaries during CJR episodes that occurred during the same performance year for which the CJR participant hospital accrued the internal cost savings or earned the reconciliation payment that comprises the gainsharing payment being distributed.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with respect to the distribution of any gainsharing payment received by an NPPGP, the total amount of all distribution payments must not exceed the amount of the gainsharing payment received by the CJR collaborator from the CJR participant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a PGP and NPPGP, a TGP that is an ACO participant in an ACO that is a CJR collaborator may enter into distribution arrangement with the ACO. The distribution payments to the TGP are not subject to the cap that applies to PGPs and NPPGPs. While we cap distribution payments to physicians and nonphysician practitioners, we will not cap such payments to therapists in private practice for the same reasons discussed for gainsharing payments to these individuals and, therefore, we will not cap distribution payments to TGPs. Like PGPs and NPPGPs, the TGP is eligible to receive a distribution payment only if the collaboration agent billed for an item or service rendered to a CJR beneficiary during a CJR episode that occurred during the same performance year for which the CJR participant hospital accrued the internal cost savings or earned the reconciliation payment that comprises the gainsharing payment being distributed.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TGP is a CJR collaborator, it may enter into a distribution arrangement with a TGP member, who is a therapist who is an owner or employee of a TGP and who has reassigned to the TGP his or her right to receive Medicare payment. Like distribution payments from an NPPGP to an NPPGP member, the amount of any distribution payments from a TGP to a TGP member must be determined in accordance with a methodology that is substantially based on quality of care and the provision CJR activities, the same standard that applies to PGP distribution payments that are not determined in a manner that complies with § 411.352(g). Like the requirement for PGP members when a distribution payment does not comply with § 411.352(g) and for NPPG members, a TGP member is eligible to receive a distribution payment only if the collaboration agent furnished an item or service to CJR beneficiary during a CJR episode that occurred during the same performance year for which the CJR participant hospital accrued the internal cost savings or earned the reconciliation payment that comprises the gainsharing payment being distributed. We will not cap the total amount of distribution payments paid for a performance year to a TGP member for the reasons discussed previously for not applying caps on gainsharing payments to therapists in private practice. Finally, with respect to the distribution of any gainsharing payment received by a TGP, the total amount of all distribution payments must not exceed the amount of the gainsharing payment received by the CJR collaborator from the CJR participant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that distribution arrangements under the CJR model must comply with the following requirements:</w:t>
      </w:r>
    </w:p>
    <w:p>
      <w:pPr>
        <w:keepNext w:val="0"/>
        <w:numPr>
          <w:numId w:val="7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distribution arrangements must be in writing and signed by the parties, contain the date of the agreement, and be entered into before care is furnished to CJR beneficiaries under the distribution arrangement.</w:t>
      </w:r>
    </w:p>
    <w:p>
      <w:pPr>
        <w:keepNext w:val="0"/>
        <w:numPr>
          <w:numId w:val="7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a distribution arrangement must be voluntary and without penalty for nonparticipation.</w:t>
      </w:r>
    </w:p>
    <w:p>
      <w:pPr>
        <w:keepNext w:val="0"/>
        <w:numPr>
          <w:numId w:val="7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distribution arrangement must require the collaboration agent to comply with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7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opportunity to make or receive a distribution payment must not be conditioned directly or indirectly on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w:t>
      </w:r>
    </w:p>
    <w:p>
      <w:pPr>
        <w:keepNext w:val="0"/>
        <w:numPr>
          <w:numId w:val="7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distribution payments from an ACO, from an NPPGP to an NPPGP member, or from a TGP to a TGP member must be determined in accordance with a methodology that is substantially based on quality of care and the provision CJR activities and that may take into account the amount of such CJR activities provided by a collaboration agent relative to other collaboration agents.</w:t>
      </w:r>
    </w:p>
    <w:p>
      <w:pPr>
        <w:keepNext w:val="0"/>
        <w:numPr>
          <w:numId w:val="7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distribution payments from a PGP must be determined either in a manner that complies with § 411.352(g) of this chapter or in accordance with a methodology that is substantially based on quality of care and the provision CJR activities and that may take into account the amount of such CJR activities provided by a collaboration agent relative to other collaboration agents.</w:t>
      </w:r>
    </w:p>
    <w:p>
      <w:pPr>
        <w:keepNext w:val="0"/>
        <w:numPr>
          <w:numId w:val="7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a distribution payment from a PGP to a PGP member that complies with § 411.352(g), a collaboration agent is eligible to receive a distribution payment only if the collaboration agent furnished or billed for an item or service rendered to a CJR beneficiary during a CJR episode that occurred during the same performance year for which the participant hospital accrued the internal cost savings or earned the reconciliation payment that comprises the gainsharing payment being distributed.</w:t>
      </w:r>
    </w:p>
    <w:p>
      <w:pPr>
        <w:keepNext w:val="0"/>
        <w:numPr>
          <w:numId w:val="7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Except for a distribution payment from a PGP to a PGP member that complies with § 411.352(g), the total amount of distribution payments for a performance year paid to a collaboration agent must not exceed the following: </w:t>
      </w:r>
      <w:r>
        <w:rPr>
          <w:rFonts w:ascii="arial" w:eastAsia="arial" w:hAnsi="arial" w:cs="arial"/>
          <w:b/>
          <w:i w:val="0"/>
          <w:strike w:val="0"/>
          <w:noProof w:val="0"/>
          <w:color w:val="000000"/>
          <w:position w:val="0"/>
          <w:sz w:val="20"/>
          <w:u w:val="none"/>
          <w:vertAlign w:val="baseline"/>
        </w:rPr>
        <w:t> [*549]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the case of a collaboration agent that is a physician or nonphysician practitioner, 50 percent of the total Medicare-approved amounts under the PFS for items and services furnished by the collaboration agent to the participant hospital's CJR beneficiaries during CJR episodes that occurred during the same performance year for which the participant hospital accrued the internal cost savings or earned the reconciliation payment that comprises the gainsharing payment being distributed.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the case of a collaboration agent that is a PGP or NPPGP, 50 percent of the total Medicare-approved amounts under the PFS for items and services billed by that PGP or NPPGP for items and services furnished by PGP members or NPPGP members to the CJR participant hospital's CJR beneficiaries during CJR episodes that occurred during the same performance year for which the CJR participant hospital accrued the internal cost savings or earned the reconciliation payment that comprises the gainsharing payment being distributed.</w:t>
      </w:r>
    </w:p>
    <w:p>
      <w:pPr>
        <w:keepNext w:val="0"/>
        <w:numPr>
          <w:numId w:val="7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the distribution of any gainsharing payment received by an ACO, PGP, NPPGP, or TGP, the total amount of all distribution payments must not exceed the amount of the gainsharing payment received by the CJR collaborator from the CJR participant hospital.</w:t>
      </w:r>
    </w:p>
    <w:p>
      <w:pPr>
        <w:keepNext w:val="0"/>
        <w:numPr>
          <w:numId w:val="7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distribution payments must be made by check, electronic funds transfer, or another traceable cash transaction.</w:t>
      </w:r>
    </w:p>
    <w:p>
      <w:pPr>
        <w:keepNext w:val="0"/>
        <w:numPr>
          <w:numId w:val="7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collaboration agent must retain the ability to make decisions in the best interests of the patient, including the selection of devices, supplies, and treatments.</w:t>
      </w:r>
    </w:p>
    <w:p>
      <w:pPr>
        <w:keepNext w:val="0"/>
        <w:numPr>
          <w:numId w:val="7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distribution arrangement must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Induce the collaboration agent to reduce or limit medically necessary items and services to any Medicare beneficiary;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Reward the provision of items and services that are medically unnecessary.</w:t>
      </w:r>
    </w:p>
    <w:p>
      <w:pPr>
        <w:keepNext w:val="0"/>
        <w:numPr>
          <w:numId w:val="7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CJR collaborator must maintain contemporaneous documentation regarding distribution arrangements in accordance with § 512.110, including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relevant written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date and amount of any distribution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identity of each collaboration agent that received a distribution payment;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description of the methodology and accounting formula for determining the amount of any distribution payment.</w:t>
      </w:r>
    </w:p>
    <w:p>
      <w:pPr>
        <w:keepNext w:val="0"/>
        <w:numPr>
          <w:numId w:val="7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CJR collaborator may not enter into a distribution arrangement with any individual or entity that has a sharing arrangement with the same CJR participant hospital.</w:t>
      </w:r>
    </w:p>
    <w:p>
      <w:pPr>
        <w:keepNext w:val="0"/>
        <w:numPr>
          <w:numId w:val="7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CJR collaborator must retain and provide access to, and must require collaboration agents to retain and provide access to, the required documentation in accordance with § 512.110.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Downstream Distribution Arrangements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the CJR model allow for certain financial arrangements within an ACO between a PGP and its members. We discussed our proposals for downstream distribution arrangements, which mirror our proposals for the proposed EPMs described in section III.I.6. of this final rule. Specifically, we proposed that certain financial arrangements between a collaboration agent that is both a PGP and an ACO participant and other individuals termed "downstream collaboration agents" be termed a "downstream distribution arrangement." A downstream distribution arrangement is a financial arrangement between a collaboration agent that is a both a PGP and an ACO participant and a downstream collaboration agent for the sole purpose of sharing a distribution payment received by the PGP. A downstream collaboration agent is an individual who is not a CJR collaborator or a collaboration agent and who is a PGP member that has entered into a downstream distribution arrangement with the same PGP in which he or she is an owner or employee, and where the PGP is a collaboration agent. Where a payment from a collaboration agent to a downstream collaboration agent is made pursuant to a downstream distribution arrangement, we defined that payment as a "downstream distribution payment." A CJR collaboration agent may only make a downstream distribution payment in accordance with a downstream distribution arrangement which complies with the requirements of this section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general provisions for downstream distribution arrangements under the CJR model are included in § 510.506. These provisions mirror those proposed for the proposed EPMs in § 512.510(a). We sought comment on our proposals for these general provisions, as well as any alternatives to this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no specific comments on the proposed general provisions for downstream distribution arrangements under the CJR model. However, we are modifying the EPM proposals in response to the comments that we received, and therefore, consistent with our proposal to amend the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align them with the EPMs, we are making corresponding changes to the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believe these modifications also will reduce any burden on hospitals participating in both CJR and an EPM that could arise from having to comply with different requirements for each model. We refer readers to the discussion at III.I.6. for further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effective July 1, 2017 the proposals in § 510.510(a) for the general requirements for CJR downstream distribution arrangements with modification to allow NPPGPs or TGPs to enter into downstream distribution arrangements with NPPGP members or TGP members respectively. Downstream distribution arrangements under the CJR model must comply with the following general provisions:</w:t>
      </w:r>
    </w:p>
    <w:p>
      <w:pPr>
        <w:keepNext w:val="0"/>
        <w:numPr>
          <w:numId w:val="7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ACO participant that is a PGP, NPPGP, or TGP and that has entered into a distribution arrangement with a CJR collaborator that is an ACO may distribute all or a portion of any distribution payment it receives from the CJR collaborator only in accordance with a downstream distribution arrangement.</w:t>
      </w:r>
    </w:p>
    <w:p>
      <w:pPr>
        <w:keepNext w:val="0"/>
        <w:numPr>
          <w:numId w:val="7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downstream distribution arrangements must comply with the provisions of this section and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a number of specific requirements for downstream distribution arrangements to help ensure that their sole purpose is to create financial alignment between collaboration agents that are PGPs which are also ACO participants and downstream collaboration agents toward the goal of the CJR model to improve the quality and efficiency of CJR episodes. We refer readers to section III.I.6.(b) of this final rule for further discussion of our proposals regarding downstream distribution arrangements and our rationale for each proposal. Our proposed requirements largely parallel those proposed in §§ 510.510(b) and § 510.505(b) for sharing and distribution arrangements and gainsharing and distribution payments based on similar reasoning for these </w:t>
      </w:r>
      <w:r>
        <w:rPr>
          <w:rFonts w:ascii="arial" w:eastAsia="arial" w:hAnsi="arial" w:cs="arial"/>
          <w:b/>
          <w:i w:val="0"/>
          <w:strike w:val="0"/>
          <w:noProof w:val="0"/>
          <w:color w:val="000000"/>
          <w:position w:val="0"/>
          <w:sz w:val="20"/>
          <w:u w:val="none"/>
          <w:vertAlign w:val="baseline"/>
        </w:rPr>
        <w:t> [*550] </w:t>
      </w:r>
      <w:r>
        <w:rPr>
          <w:rFonts w:ascii="arial" w:eastAsia="arial" w:hAnsi="arial" w:cs="arial"/>
          <w:b w:val="0"/>
          <w:i w:val="0"/>
          <w:strike w:val="0"/>
          <w:noProof w:val="0"/>
          <w:color w:val="000000"/>
          <w:position w:val="0"/>
          <w:sz w:val="20"/>
          <w:u w:val="none"/>
          <w:vertAlign w:val="baseline"/>
        </w:rPr>
        <w:t xml:space="preserve"> three types of arrangements and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listed in § 510.506 and described in detail in III.I.6(b) of this final rule, we proposed requirements addressing the agreements governing downstream distribution arrangements, eligibility for receipt of downstream distribution payments, a cap on the amount of such payments, the methodologies used to determine the amount of downstream distribution payments, and documentation regarding downstream distribution arrangements. Specifically, we proposed that all downstream distribution arrangements must be in writing and signed by the parties, contain the date of the agreement, and entered into before care is furnished to CJR beneficiaries under the distribution arrangement. We proposed that participation must be voluntary and without penalty for nonparticipation, and the downstream distribution arrangement must require the downstream collaboration agent to comply with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our proposals for gainsharing and distribution payments, we proposed that the opportunity to make or receive a downstream distribution payment must not be conditioned directly or indirectly on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 In determining the amount of downstream distribution payments we proposed a more flexible approach, as we did with the proposed EPMs. Consistent with our proposal for distribution payments, we proposed that the amount of any downstream distribution payments must be determined either in a manner that complies with § 411.352(g) or that is substantially based on quality of care and the provision of CJR activities and that may take into account the amount of CJR activities provided by a downstream collaboration agent relative to other downstream collaboration agents. We also proposed that the amount of a downstream distribution payment from a PGP to a PGP member may be determined in a manner that complies with § 411.352(g) or in a manner that is substantially based on quality of care and the provision of CJR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our proposed requirements for distribution arrangements for those EPM collaborators that are PGPs, we proposed that, except for a downstream distribution arrangement that complies with § 411.352(g), a downstream collaboration agent is eligible to receive a downstream distribution payment only if the PGP billed for an item or service furnished by the downstream collaboration agent to a CJR beneficiary during a CJR episode that occurred during the same performance year for which the participant hospital accrued the internal cost savings or earned the reconciliation payment that comprise the gainsharing payment from which the ACO made the distribution payment to the PGP that is an ACO participant. This approach mirrors our proposed requirements for distribution arrangements between collaborators and collaboration agents, as well as the proposed approach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limitations on the amount of downstream distribution payments made to downstream collaboration agents, we proposed the same limit as that proposed for distribution payments by CJR collaborators that are PGPs. With the exception of downstream distribution payments that comply with § 411.352(g), we proposed to limit the total amount of downstream distribution payments paid for a performance year to a downstream collaboration agent to 50 percent of the total Medicare-approved amounts under the PFS for services billed by the PGP and furnished by the downstream collaboration agent to the participant hospital's CJR beneficiaries during CJR episodes that occurred during the same performance year in which the participant hospital accrued the internal cost savings or earned the reconciliation payment that comprises the gainsharing payment from which the ACO made the distribution payment to the PGP. We further proposed that the total amount of all downstream distribution payments made to downstream collaboration agents must not exceed the amount of the distribution payment received by the collaboration agent (PGP that is an ACO participant) from the ACO that is a CJR collaborator. In addition, all downstream distribution payments must be made by check, electronic funds transfer, or another traceable cash transaction, as with our proposed approach for gainsharing, alignment, and distribution payments. Finally, the distribution arrangement must not induce the downstream collaboration agent to reduce or limit medically necessary items and services to any Medicare beneficiary or reward the provision of items and services that are medically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PGP must maintain contemporaneous documentation regarding downstream distribution arrangements in accordance with § 510.110, including:</w:t>
      </w:r>
    </w:p>
    <w:p>
      <w:pPr>
        <w:keepNext w:val="0"/>
        <w:numPr>
          <w:numId w:val="7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relevant written agreements;</w:t>
      </w:r>
    </w:p>
    <w:p>
      <w:pPr>
        <w:keepNext w:val="0"/>
        <w:numPr>
          <w:numId w:val="7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and amount of any downstream distribution payment(s);</w:t>
      </w:r>
    </w:p>
    <w:p>
      <w:pPr>
        <w:keepNext w:val="0"/>
        <w:numPr>
          <w:numId w:val="7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identity of each downstream collaboration agent that received a downstream distribution payment; and</w:t>
      </w:r>
    </w:p>
    <w:p>
      <w:pPr>
        <w:keepNext w:val="0"/>
        <w:numPr>
          <w:numId w:val="7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methodology and accounting formula for determining the amount of any downstream distribution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PGP may not enter into a downstream distribution arrangement with any PGP member who has a sharing arrangement with a participant hospital or distribution arrangement with the ACO in which the PGP is a participant. Finally, we proposed that the PGP must retain and provide access to, and must require downstream collaboration agents to retain and provide access to, the required documentation in accordance with § 510.110.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downstream distribution arrangement requirements are included in § 510.506. We sought comment on our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specific comments on the proposed requirements for downstream distribution arrangements under the CJR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effective July 1, 2017 the proposals in § 510.510(b) for the requirements for CJR downstream distribution arrangements, with modification to include policies for NPPGPs or TGPs that enter into downstream distribution arrangements with NPPGP members or TGP members respectively. Consistent with commenters' overall request that we streamline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 are also modifying proposed § 510.510(b)(6), which is final § 510.510(b)(7), to eliminate one of the two proposed requirements for eligibility of a downstream collaboration agent to receive a downstream distribution payment, specifically the requirement that the PGP bill for the item or service furnished by the downstream collaboration agent. Instead, we base downstream collaboration agent eligibility only on whether the downstream collaboration agent furnished an item or service to a CJR beneficiary during a CJR episode that occurred during the same performance year for which the participant hospital accrued the internal cost savings or earned the reconciliation payment that comprises the gainsharing payment from which the ACO made the distribution payment to the PGP, </w:t>
      </w:r>
      <w:r>
        <w:rPr>
          <w:rFonts w:ascii="arial" w:eastAsia="arial" w:hAnsi="arial" w:cs="arial"/>
          <w:b/>
          <w:i w:val="0"/>
          <w:strike w:val="0"/>
          <w:noProof w:val="0"/>
          <w:color w:val="000000"/>
          <w:position w:val="0"/>
          <w:sz w:val="20"/>
          <w:u w:val="none"/>
          <w:vertAlign w:val="baseline"/>
        </w:rPr>
        <w:t> [*551] </w:t>
      </w:r>
      <w:r>
        <w:rPr>
          <w:rFonts w:ascii="arial" w:eastAsia="arial" w:hAnsi="arial" w:cs="arial"/>
          <w:b w:val="0"/>
          <w:i w:val="0"/>
          <w:strike w:val="0"/>
          <w:noProof w:val="0"/>
          <w:color w:val="000000"/>
          <w:position w:val="0"/>
          <w:sz w:val="20"/>
          <w:u w:val="none"/>
          <w:vertAlign w:val="baseline"/>
        </w:rPr>
        <w:t xml:space="preserve"> NPPGP, or TGP that is an ACO participant. This approach is parallel to § 510.505(b)(7), which applies to distribution payments from ACOs to ACO participants or ACO providers/suppliers and certain distribution payments from PGPs to PGP members, and ensures that the member of the PGP, NPPGP, or TGP receiving the downstream distribution payment furnished items and services to a CJR beneficiary during a CJR episode, without explicitly requiring that the PGP, NPPGP, or TGP to which the member of the PGP, NPPGP, or TGP would have reassigned his or her benefits also billed for the item or service. This latter additional requirement adds complexity that is unnecessary when our objective of the requirement is only to ensure that the recipient of the downstream distribution payment furnished an item or service to a CJR beneficiary during a CJR episode in order to link the payment to actual care. Finally, as discussed previously, in order to achieve consistency in the parameters for gainsharing payments and distribution payments to therapists and to streamline programmatic requirements, we are revising proposed § 510.510(b)(7), which is final in § 510.510(b)(8), by removing the cap on downstream distribution payments to PGP members as applied to therapists who are PGP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NPPGP that is an ACO participant that has entered into a distribution arrangement with a CJR collaborator that is an ACO may enter into a downstream distribution arrangement with an NPPGP member, who is a nonphysician practitioner or therapist who is an owner or employee of an NPPGP and who has reassigned to the NPPGP his or her right to receive Medicare payment. The requirements for NPPGP downstream distribution payments under those downstream distribution arrangements are the same as those for PGPs, except that we allow the amount of any downstream distribution payments from a PGP to be determined in a manner that complies with § 411.352(g). The amount of any downstream distribution payments from an NPPGP to an NPPGP member must be determined in accordance with a methodology that is substantially based on quality of care and the provision CJR activities, the same standard that applies to PGP downstream distribution payments that are not determined in a manner that complies with § 411.352(g). Like the requirement for PGP members when a downstream distribution payment does not comply with § 411.352(g), an NPPGP member is eligible to receive a downstream distribution payment only if the downstream collaboration agent furnished an item or service to a CJR beneficiary during a CJR episode that occurred during the same performance year for which the CJR participant hospital accrued the internal cost savings or earned the reconciliation payment that comprises the gainsharing payment from which the ACO made the distribution payment to the NPPGP that is an ACO participant. Finally, the total amount of downstream distribution payments paid for a performance year to the NPPGP member who is a nonphysician practitioner may not exceed 50 percent of the total Medicare-approved amounts under the PFS for items and services furnished by the NPPGP member to the CJR participant hospital's CJR beneficiaries during CJR episodes that occurred during the same performance year for which the CJR participant hospital accrued the internal cost savings or earned the reconciliation payment that comprises the gainsharing payment from which the ACO made the distribution payment to the NPPGP that is an ACO participant. In addition, the total amount of all downstream distribution payments made to downstream collaboration agents must not exceed the amount of the distribution payment received by the NPPGP from the ACO.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TGP that is an ACO participant that has entered into a distribution arrangement with a CJR collaborator that is an ACO may enter into a downstream distribution arrangement with a TGP member, who is a therapist who is an owner or employee of an NPPGP and who has reassigned to the TGP his or her right to receive Medicare payment. Like downstream distribution payments from an NPPGP to an NPPGP member, the amount of any downstream distribution payments from a TGP to a TGP member must be determined in accordance with a methodology that is substantially based on quality of care and the provision CJR activities, the same standard that applies to PGP distribution payments that are not determined in a manner that complies with § 411.352(g). Like the requirement for PGP members when a distribution payment does not comply with § 411.352(g) and for NPPG members, a TGP member is eligible to receive a distribution payment only if the downstream collaboration agent furnished an item or service to a CJR beneficiary during a CJR episode that occurred during the same performance year for which the CJR participant hospital accrued the internal cost savings or earned the reconciliation payment that comprises the gainsharing payment from which the ACO made the distribution payment to the NPPGP that is an ACO participant. We will not cap the total amount of downstream distribution payments paid for a performance year to a TGP member. Finally, the total amount of all downstream distribution payments made to downstream collaboration agents must not exceed the amount of the distribution payment received by the TGP from the ACO.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PGPs, NPPGPs and TGPs must maintain contemporaneous documentation regarding downstream distribution arrangements. Similarly, the NPPG or TGP may not enter into a downstream distribution arrangement with any NPPG member or TGP member respectively who has a sharing arrangement with a CJR participant hospital or a distribution arrangement with the ACO the NPPG or TGP is a participant 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Downstream distribution arrangements under the CJR model must comply with the following requirements:</w:t>
      </w:r>
    </w:p>
    <w:p>
      <w:pPr>
        <w:keepNext w:val="0"/>
        <w:numPr>
          <w:numId w:val="7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downstream distribution arrangements must be in writing and signed by the parties, contain the date of the agreement, and be entered into before care is furnished to CJR beneficiaries under the downstream distribution arrangement.</w:t>
      </w:r>
    </w:p>
    <w:p>
      <w:pPr>
        <w:keepNext w:val="0"/>
        <w:numPr>
          <w:numId w:val="7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a downstream distribution arrangement must be voluntary and without penalty for nonparticipation.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downstream distribution arrangement must require the downstream collaboration agent to comply with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7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opportunity to make or receive a downstream distribution payment must not be conditioned directly or indirectly on the volume or value of past or anticipated referrals or business otherwise generated by, between or among the CJR participant hospital, any CJR collaborator, any collaboration agent, any downstream collaboration agent, or any individual or entity affiliated with a CJR participant hospital, CJR collaborator, collaboration agent, or downstream collaboration agent.</w:t>
      </w:r>
    </w:p>
    <w:p>
      <w:pPr>
        <w:keepNext w:val="0"/>
        <w:numPr>
          <w:numId w:val="7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amount of any downstream distribution payments from an NPPGP to an NPPGP member or from a TGP to a TGP member must be determined in accordance with a methodology that is substantially based on quality of care and the provision CJR activities and that may take into account the amount of such CJR activities provided by a </w:t>
      </w:r>
      <w:r>
        <w:rPr>
          <w:rFonts w:ascii="arial" w:eastAsia="arial" w:hAnsi="arial" w:cs="arial"/>
          <w:b/>
          <w:i w:val="0"/>
          <w:strike w:val="0"/>
          <w:noProof w:val="0"/>
          <w:color w:val="000000"/>
          <w:position w:val="0"/>
          <w:sz w:val="20"/>
          <w:u w:val="none"/>
          <w:vertAlign w:val="baseline"/>
        </w:rPr>
        <w:t> [*552] </w:t>
      </w:r>
      <w:r>
        <w:rPr>
          <w:rFonts w:ascii="arial" w:eastAsia="arial" w:hAnsi="arial" w:cs="arial"/>
          <w:b w:val="0"/>
          <w:i w:val="0"/>
          <w:strike w:val="0"/>
          <w:noProof w:val="0"/>
          <w:color w:val="000000"/>
          <w:position w:val="0"/>
          <w:sz w:val="20"/>
          <w:u w:val="none"/>
          <w:vertAlign w:val="baseline"/>
        </w:rPr>
        <w:t xml:space="preserve"> downstream collaboration agent relative to other downstream collaboration agents.</w:t>
      </w:r>
    </w:p>
    <w:p>
      <w:pPr>
        <w:keepNext w:val="0"/>
        <w:numPr>
          <w:numId w:val="7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downstream distribution payments from a PGP to a PGP member must be determined either in a manner that complies with § 411.352(g) of this chapter or in accordance with a methodology that is substantially based on quality of care and the provision CJR activities, and the methodology may take into account the amount of such CJR activities by a downstream collaboration agent relative to other downstream collaboration agents.</w:t>
      </w:r>
    </w:p>
    <w:p>
      <w:pPr>
        <w:keepNext w:val="0"/>
        <w:numPr>
          <w:numId w:val="7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a downstream distribution payment from a PGP to a PGP member that complies with § 411.352(g), a downstream collaboration agent is eligible to receive a downstream distribution payment only if the downstream collaboration agent furnished an item or service to a CJR beneficiary during a CJR episode that occurred during the same performance year for which the participant hospital accrued the internal cost savings or earned the reconciliation payment that comprise the gainsharing payment from which the ACO made the distribution payment to the PGP, NPPGP, or TGP that is an ACO participant.</w:t>
      </w:r>
    </w:p>
    <w:p>
      <w:pPr>
        <w:keepNext w:val="0"/>
        <w:numPr>
          <w:numId w:val="7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a downstream distribution payment from a PGP to a PGP member that complies with § 411.352(g), the total amount of downstream distribution payments for a performance year paid to a downstream collaboration agent who is a physician or nonphysician practitioner and is either a PGP member or NPPGP member must not exceed 50 percent of the total Medicare-approved amounts under the PFS for items and services furnished by the downstream collaboration agent to the participant hospital's CJR beneficiaries during CJR episodes that occurred during the same performance year for which the participant hospital accrued the internal cost savings or earned the reconciliation payment that comprises the distribution payment being distributed.</w:t>
      </w:r>
    </w:p>
    <w:p>
      <w:pPr>
        <w:keepNext w:val="0"/>
        <w:numPr>
          <w:numId w:val="7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all downstream distribution payments made to downstream collaboration agents must not exceed the amount of the distribution payment received by the PGP, NPPGP, or TGP from the ACO.</w:t>
      </w:r>
    </w:p>
    <w:p>
      <w:pPr>
        <w:keepNext w:val="0"/>
        <w:numPr>
          <w:numId w:val="7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downstream distribution payments must be made by check, electronic funds transfer, or another traceable cash transaction.</w:t>
      </w:r>
    </w:p>
    <w:p>
      <w:pPr>
        <w:keepNext w:val="0"/>
        <w:numPr>
          <w:numId w:val="7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downstream collaboration agent must retain his or her ability to make decisions in the best interests of the patient, including the selection of devices, supplies, and treatments.</w:t>
      </w:r>
    </w:p>
    <w:p>
      <w:pPr>
        <w:keepNext w:val="0"/>
        <w:numPr>
          <w:numId w:val="7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downstream distribution arrangement must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Induce the downstream collaboration agent to reduce or limit medically necessary services to any Medicare beneficiary;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Reward the provision of items and services that are medically unnecessary.</w:t>
      </w:r>
    </w:p>
    <w:p>
      <w:pPr>
        <w:keepNext w:val="0"/>
        <w:numPr>
          <w:numId w:val="7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NPPG, or TGP must maintain contemporaneous documentation regarding downstream distribution arrangements in accordance with § 510.110, including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relevant written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date and amount of any downstream distribution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identity of each downstream collaboration agent that received a downstream distribution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description of the methodology and accounting formula for determining the amount of any downstream distribution payment.</w:t>
      </w:r>
    </w:p>
    <w:p>
      <w:pPr>
        <w:keepNext w:val="0"/>
        <w:numPr>
          <w:numId w:val="7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NPPGP, or TGP may not enter into a downstream distribution arrangement with any PGP member, NPPGP member, or TGP member who has--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sharing arrangement with a CJR participant hospital;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distribution arrangement with the ACO that the PGP, NPPGP, or TGP is a participant 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PGP, NPPGP, or TGP must retain and provide access to, and must require downstream collaboration agents to retain and provide access to, the required documentation in accordance with § 510.110.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Summary of Proposals for Sharing, Distribution, and Downstream Distribution Arrangements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Figure 4 summarizes the proposals for the defined terms and financial arrangements discussed in section V.J. of this final rule. </w:t>
      </w:r>
      <w:r>
        <w:rPr>
          <w:rFonts w:ascii="arial" w:eastAsia="arial" w:hAnsi="arial" w:cs="arial"/>
          <w:b/>
          <w:i w:val="0"/>
          <w:strike w:val="0"/>
          <w:noProof w:val="0"/>
          <w:color w:val="000000"/>
          <w:position w:val="0"/>
          <w:sz w:val="20"/>
          <w:u w:val="none"/>
          <w:vertAlign w:val="baseline"/>
        </w:rPr>
        <w:t> [*553] </w:t>
      </w:r>
    </w:p>
    <w:p>
      <w:pPr>
        <w:keepNext w:val="0"/>
        <w:spacing w:before="200" w:after="0" w:line="260" w:lineRule="atLeast"/>
        <w:ind w:left="0" w:right="0" w:firstLine="0"/>
        <w:jc w:val="both"/>
      </w:pPr>
      <w:r>
        <w:pict>
          <v:shape id="_x0000_i1042" type="#_x0000_t75" style="width:432.06pt;height:348.05pt">
            <v:imagedata r:id="rId12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final policies for financial arrangements reflect a number of changes to the proposals for the CJR model financial arrangements in response to comments on the proposed rule. Figure 4. summarizes the policies for financial arrangements we proposed for CJR, whereas Figure 5 summarizes the policies we are finalizing for these arrangements as discussed in sections V.J.4. through V.J.6. of this final rule. Given the changes to the financial arrangement provisions discussed in V.J. will not be effective until July 1, 2017, Figure 5 is not applicable until July 1, 2017. </w:t>
      </w:r>
      <w:r>
        <w:rPr>
          <w:rFonts w:ascii="arial" w:eastAsia="arial" w:hAnsi="arial" w:cs="arial"/>
          <w:b/>
          <w:i w:val="0"/>
          <w:strike w:val="0"/>
          <w:noProof w:val="0"/>
          <w:color w:val="000000"/>
          <w:position w:val="0"/>
          <w:sz w:val="20"/>
          <w:u w:val="none"/>
          <w:vertAlign w:val="baseline"/>
        </w:rPr>
        <w:t> [*554] </w:t>
      </w:r>
    </w:p>
    <w:p>
      <w:pPr>
        <w:keepNext w:val="0"/>
        <w:spacing w:before="200" w:after="0" w:line="260" w:lineRule="atLeast"/>
        <w:ind w:left="0" w:right="0" w:firstLine="0"/>
        <w:jc w:val="both"/>
      </w:pPr>
      <w:r>
        <w:pict>
          <v:shape id="_x0000_i1043" type="#_x0000_t75" style="width:432.06pt;height:369.8pt">
            <v:imagedata r:id="rId13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 Beneficiary Incentives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numerous amendments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510.515. These are mainly for organizational purposes, to more clearly specify our policies, and for the CJR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mirror the proposed EPM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512.525 to avoid confusion for hospitals that are participating in CJR as well as one or more of the proposed EPMs. Our proposed changes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reflect that the requirements and rules regarding the use of beneficiary incentives under the CJR model would stay largely the same. However, we proposed several changes in order to ensure adequate documentation of beneficiary incentives by participant hospitals and to align with our proposed requirements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as a program safeguard against misuse of beneficiary incentives under the CJR model, we would clarify our existing requirements for documentation of beneficiary incentives. Documentation regarding items of technology exceeding $ 100 in retail value must also include contemporaneous documentation of any attempt to retrieve the technology at the end of a CJR episode. Documented, diligent, good faith attempts to retrieve items of technology will be deemed to meet the retrieval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proposed to add as a requirement that participant hospitals retain and provide access to required documentation pertaining to beneficiary incentives as discussed throughout section V.L. of this final rule and proposed in § 510.110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Participant hospitals retaining and providing access to documentation in accordance with § 510.110 would promote parallel record retention for all CJR model. As discussed in section V.L. of this final rule, the proposed section § 510.110 would apply to beneficiary incentives as well as financial arrangements and beneficiary notification requirements under the CJR model; therefore, we proposed to delete § 510.515(e) to avoid duplicative requirements and language and to align the applicable CJR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include these requirements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510.515(d)(3) and 510.515(d)(4). We sought comment on our proposal. We also sought comment on the proposed </w:t>
      </w:r>
      <w:r>
        <w:rPr>
          <w:rFonts w:ascii="arial" w:eastAsia="arial" w:hAnsi="arial" w:cs="arial"/>
          <w:b/>
          <w:i w:val="0"/>
          <w:strike w:val="0"/>
          <w:noProof w:val="0"/>
          <w:color w:val="000000"/>
          <w:position w:val="0"/>
          <w:sz w:val="20"/>
          <w:u w:val="none"/>
          <w:vertAlign w:val="baseline"/>
        </w:rPr>
        <w:t> [*555] </w:t>
      </w:r>
      <w:r>
        <w:rPr>
          <w:rFonts w:ascii="arial" w:eastAsia="arial" w:hAnsi="arial" w:cs="arial"/>
          <w:b w:val="0"/>
          <w:i w:val="0"/>
          <w:strike w:val="0"/>
          <w:noProof w:val="0"/>
          <w:color w:val="000000"/>
          <w:position w:val="0"/>
          <w:sz w:val="20"/>
          <w:u w:val="none"/>
          <w:vertAlign w:val="baseline"/>
        </w:rPr>
        <w:t xml:space="preserve"> additional requirements for compliance with proposed section § 510.110 and the deletion of § 510.515(e). No comments were submitted in response to our proposed amendments to the beneficiary engagement incentives under the CJR model. Though we did not propose to change our policies regarding beneficiary engagement incentives under the CJR model commenters provided comments on beneficiary engagement incentives for the EPM, which mirrors the CJR model's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refer readers to section III.I.9 for a detailed discussion of comments and responses in regards to beneficiary engagement incentives under these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without modification. We are making changes related to beneficiary incentives effective July 1, 2017 in order to align the CJR model with the EPMs, avoid confusion and preserve the existing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until these changes take effect.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 Access to Records and Record Retention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consolidate the requirements under CJR for access to records and record retention and apply them more broadly in the model. The approach mirrors our proposed records retention policies for the EPMs, which are discussed in detail in section III.H. of this final rule. We refer readers to that section for further discussion of our proposed policies and rationale.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add § 510.110 to the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which would apply to documentation regarding beneficiary notifications, financial arrangements, and beneficiary incentives. Because we proposed to consolidate all of the existing records access and retention requirements in one place, we proposed to delete §§ 510.500(e) and § 510.515(c). We further proposed to require participant hospitals, CJR collaborators, collaboration agents, downstream collaboration agents and any other individuals or entities performing CJR activities to allow the Government, including CMS, OIG, HHS and the Comptroller General or their designees, scheduled and unscheduled access to all books, contracts, records, documents and other evidence sufficient to enable the audit, evaluation, inspection or investigation of the individual or entity's compliance with CJR model requirements, the calculation, distribution, receipt, or recoupment of gainsharing payments, alignment payments, distribution payments, and downstream distribution payments, the obligation to repay any reconciliation payments owed to CMS, the quality of the services furnished to a CJR beneficiary during a CJR episode, and the sufficiency of CJR beneficiary notifications.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we proposed that such documents be maintained for a period of 10 years from the last day of the participant hospital's participation in the CJR model or from the date of completion of any audit, evaluation, inspection, or investigation.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these safeguards regarding access to records and record retention are necessary to ensure program integrity and protect against abuse, in view of the CJR model's design and requirements. We believe that by providing access to CJR records, we promote transparency of activities in the CJR model. Further, the proposed access to records and record retention requirements would ensure that the compliance of participant hospitals, CJR collaborators, collaboration agents, downstream collaboration agents, and any other individuals or entities performing CJR activities can be monitored and assessed. Also, these records may be necessary in the event that a participant hospital appeals any matter that is subject to dispute resolution through CMS. As such, CMS would have the resources necessary to prepare and respond to any such appeal. Finally, we proposed to establish CEHRT use attestation for CJR participant hospitals so that a CJR participant hospital could be in Track 1 of the CJR model that meets the proposed requirements in the Quality Payment Program proposed rule to be an Advanced APM as discussed in section III.A.2. of this final rule. Thus, we proposed to require access to records and record retention about the accuracy of each Track 1 CJR model participant hospital's submissions under CEHRT use requirements. Specifically, attestation to CEHRT use and submission of clinician financial arrangements lists are key requirements for Track 1 of the CJR model that is an Advanced APM, and the access to records and record retention requirements provide a program integrity safeguard by allowing us to assess the completeness and accuracy of the participant hospital's compliance with the requirements for those submissions.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proposed in § 510.110 that participant hospitals, CJR collaborators, collaboration agents, downstream collaboration agents, and any other individuals or entities performing providing CJR activities must allow the Government, including CMS, OIG, HHS and the Comptroller General or their designees, scheduled and unscheduled access to all books, contracts, records, documents and other evidence (including data related to utilization and payments, quality criteria, billings, lists of CJR collaborators, sharing arrangements, distribution arrangements, downstream distribution arrangements and the documentation required under § 510.500(d) and § 510.525(c)) sufficient to enable the audit, evaluation, inspection or investigation of the following:</w:t>
      </w:r>
    </w:p>
    <w:p>
      <w:pPr>
        <w:keepNext w:val="0"/>
        <w:numPr>
          <w:numId w:val="7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Individual's or entity's compliance with CJR model requirements.</w:t>
      </w:r>
    </w:p>
    <w:p>
      <w:pPr>
        <w:keepNext w:val="0"/>
        <w:numPr>
          <w:numId w:val="7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calculation, distribution, receipt, or recoupment of gainsharing payments, alignment payments, distribution payments, and downstream distribution payments.</w:t>
      </w:r>
    </w:p>
    <w:p>
      <w:pPr>
        <w:keepNext w:val="0"/>
        <w:numPr>
          <w:numId w:val="7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obligation to repay any reconciliation payments owed to CMS.</w:t>
      </w:r>
    </w:p>
    <w:p>
      <w:pPr>
        <w:keepNext w:val="0"/>
        <w:numPr>
          <w:numId w:val="7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quality of the services furnished to a CJR beneficiary during a CJR episode.</w:t>
      </w:r>
    </w:p>
    <w:p>
      <w:pPr>
        <w:keepNext w:val="0"/>
        <w:numPr>
          <w:numId w:val="7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sufficiency of CJR beneficiary notifications.</w:t>
      </w:r>
    </w:p>
    <w:p>
      <w:pPr>
        <w:keepNext w:val="0"/>
        <w:numPr>
          <w:numId w:val="7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accuracy of the CJR participant hospital's submission under CEHRT use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we proposed that participant hospitals, CJR collaborators, collaboration agents, downstream collaboration agents, and any other individuals or entities performing providing CJR activities maintain all such books, contracts, records, documents, and other evidence for a period of 10 years from the last day of the participant hospital's participation in the CJR model or from the date of completion of any audit, evaluation, inspection, or investigation, whichever is later, unless CMS determines a particular record or group of records should be retained for a longer period and notifies the participant hospital at least 30 calendar days before the disposition date or there has been a dispute or allegation of fraud or similar fault against the participant hospital, CJR collaborator, collaboration agents, downstream collaboration agents, or any other individual or entity performing CJR activities related to the CJR model. In this case, the records must be maintained for 6 years from the date of any resulting final resolution of the dispute or allegation of fraud or similar fault.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sought comment on our proposals, including whether additional or different requirements are appropriate to promote program integrity, prevent fraud and abuse and promote the goals of the model. The following is a </w:t>
      </w:r>
      <w:r>
        <w:rPr>
          <w:rFonts w:ascii="arial" w:eastAsia="arial" w:hAnsi="arial" w:cs="arial"/>
          <w:b/>
          <w:i w:val="0"/>
          <w:strike w:val="0"/>
          <w:noProof w:val="0"/>
          <w:color w:val="000000"/>
          <w:position w:val="0"/>
          <w:sz w:val="20"/>
          <w:u w:val="none"/>
          <w:vertAlign w:val="baseline"/>
        </w:rPr>
        <w:t> [*556] </w:t>
      </w:r>
      <w:r>
        <w:rPr>
          <w:rFonts w:ascii="arial" w:eastAsia="arial" w:hAnsi="arial" w:cs="arial"/>
          <w:b w:val="0"/>
          <w:i w:val="0"/>
          <w:strike w:val="0"/>
          <w:noProof w:val="0"/>
          <w:color w:val="000000"/>
          <w:position w:val="0"/>
          <w:sz w:val="20"/>
          <w:u w:val="none"/>
          <w:vertAlign w:val="baseline"/>
        </w:rPr>
        <w:t xml:space="preserve">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Generally, commenters were supportive of our proposal in § 510.110 to consolidate the requirements under the CJR model for access to records and record retention and apply them more broadly in the CJR model. However one commenter stated that requiring participant hospitals, CJR collaborators, collaboration agents, downstream collaboration agents, and any other individuals or entities performing CJR activities to maintain all such books, contracts, records, documents, and other evidence for a period of 10 years from the last day of the participant hospital's participation in the CJR model or from the date of completion of any audit, evaluation, inspection, or investigation, whichever is later, is an excessive policy, and would burden entities and individuals involved in the CJR model. The commenter suggested that CMS reduce the 10 year record retention to 6 years, as the commenter believes that proposal is more consistent with other CMS programs. Further, one commenter recommended that CMS also request access to records on gainsharing and other savings-related payments so as to help examine the extent to which savings are equitably being shared by facilities with participating physicians and other healthcare professionals.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the 10-year record retention policy is the current policy of the CJR model. While we understand the commenter's concern that 10 years is excessive, we note that, once initiated, appeals and recalculation disputes can be lengthy processes and believe that maintaining this requirement as proposed would give both the participant and CMS as well as those conducting any audit, evaluation, inspection, or investigation, the resources to prepare and respond to issues that may take several years to surface. We appreciate the comment concerning CMS requesting access to records on gainsharing and other saving-related payments, and note that in these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CMS may request from participant hospitals and their related CJR collaborators, collaboration agents, and downstream collaboration agents, records of the calculation, distribution, receipt, or recoupment of gainsharing payments, alignment payments, distribution payments, and downstream distribution payments.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Since the changes to the financial arrangement provisions discussed in V.J. will not be effective until July 1, 2017, we are also making amendments to related sections effective July 1, 2017 to avoid confusion and preserve the existing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until these changes take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Waivers of Medicare Program Rules To Allow Reconciliation Payment or Repayment Actions Resulting From the Net Payment Reconciliation Amount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correct a technical error in the CJR final rule (</w:t>
      </w:r>
      <w:hyperlink r:id="rId131" w:history="1">
        <w:r>
          <w:rPr>
            <w:rFonts w:ascii="arial" w:eastAsia="arial" w:hAnsi="arial" w:cs="arial"/>
            <w:b w:val="0"/>
            <w:i/>
            <w:strike w:val="0"/>
            <w:noProof w:val="0"/>
            <w:color w:val="0077CC"/>
            <w:position w:val="0"/>
            <w:sz w:val="20"/>
            <w:u w:val="single"/>
            <w:vertAlign w:val="baseline"/>
          </w:rPr>
          <w:t>42 CFR 510.620</w:t>
        </w:r>
      </w:hyperlink>
      <w:r>
        <w:rPr>
          <w:rFonts w:ascii="arial" w:eastAsia="arial" w:hAnsi="arial" w:cs="arial"/>
          <w:b w:val="0"/>
          <w:i w:val="0"/>
          <w:strike w:val="0"/>
          <w:noProof w:val="0"/>
          <w:color w:val="000000"/>
          <w:position w:val="0"/>
          <w:sz w:val="20"/>
          <w:u w:val="none"/>
          <w:vertAlign w:val="baseline"/>
        </w:rPr>
        <w:t xml:space="preserve">), we proposed to waive the requirements of section 1833(a) of the Act to the extent that they would otherwise apply to reconciliation payments or repayments from a participant hospital under the CJR model. We proposed this policy in the CJR proposed rule </w:t>
      </w:r>
      <w:hyperlink r:id="rId126" w:history="1">
        <w:r>
          <w:rPr>
            <w:rFonts w:ascii="arial" w:eastAsia="arial" w:hAnsi="arial" w:cs="arial"/>
            <w:b w:val="0"/>
            <w:i/>
            <w:strike w:val="0"/>
            <w:noProof w:val="0"/>
            <w:color w:val="0077CC"/>
            <w:position w:val="0"/>
            <w:sz w:val="20"/>
            <w:u w:val="single"/>
            <w:vertAlign w:val="baseline"/>
          </w:rPr>
          <w:t>(80 FR 41274)</w:t>
        </w:r>
      </w:hyperlink>
      <w:r>
        <w:rPr>
          <w:rFonts w:ascii="arial" w:eastAsia="arial" w:hAnsi="arial" w:cs="arial"/>
          <w:b w:val="0"/>
          <w:i w:val="0"/>
          <w:strike w:val="0"/>
          <w:noProof w:val="0"/>
          <w:color w:val="000000"/>
          <w:position w:val="0"/>
          <w:sz w:val="20"/>
          <w:u w:val="none"/>
          <w:vertAlign w:val="baseline"/>
        </w:rPr>
        <w:t xml:space="preserve"> and received no comments from the public on our proposal; the proposal was finalized in the CJR final rule. We refer readers to the CJR final rule </w:t>
      </w:r>
      <w:hyperlink r:id="rId21" w:history="1">
        <w:r>
          <w:rPr>
            <w:rFonts w:ascii="arial" w:eastAsia="arial" w:hAnsi="arial" w:cs="arial"/>
            <w:b w:val="0"/>
            <w:i/>
            <w:strike w:val="0"/>
            <w:noProof w:val="0"/>
            <w:color w:val="0077CC"/>
            <w:position w:val="0"/>
            <w:sz w:val="20"/>
            <w:u w:val="single"/>
            <w:vertAlign w:val="baseline"/>
          </w:rPr>
          <w:t>(80 FR 73460 and 73461)</w:t>
        </w:r>
      </w:hyperlink>
      <w:r>
        <w:rPr>
          <w:rFonts w:ascii="arial" w:eastAsia="arial" w:hAnsi="arial" w:cs="arial"/>
          <w:b w:val="0"/>
          <w:i w:val="0"/>
          <w:strike w:val="0"/>
          <w:noProof w:val="0"/>
          <w:color w:val="000000"/>
          <w:position w:val="0"/>
          <w:sz w:val="20"/>
          <w:u w:val="none"/>
          <w:vertAlign w:val="baseline"/>
        </w:rPr>
        <w:t xml:space="preserve"> for further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amend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10.620 to reflect this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SNF 3-Day Waiver Beneficiary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Medicare SNF benefit is for beneficiaries who require a short-term intensive stay in a SNF, requiring skilled nursing, or skilled rehabilitation care, or both. Under section 1861(i) of the Act, beneficiaries must have a prior inpatient hospital stay of no fewer than 3 consecutive days in order to be eligible for Medicare coverage of inpatient SNF care. In the November 2015 final rule </w:t>
      </w:r>
      <w:hyperlink r:id="rId21" w:history="1">
        <w:r>
          <w:rPr>
            <w:rFonts w:ascii="arial" w:eastAsia="arial" w:hAnsi="arial" w:cs="arial"/>
            <w:b w:val="0"/>
            <w:i/>
            <w:strike w:val="0"/>
            <w:noProof w:val="0"/>
            <w:color w:val="0077CC"/>
            <w:position w:val="0"/>
            <w:sz w:val="20"/>
            <w:u w:val="single"/>
            <w:vertAlign w:val="baseline"/>
          </w:rPr>
          <w:t>(80 FR 73454</w:t>
        </w:r>
      </w:hyperlink>
      <w:r>
        <w:rPr>
          <w:rFonts w:ascii="arial" w:eastAsia="arial" w:hAnsi="arial" w:cs="arial"/>
          <w:b w:val="0"/>
          <w:i w:val="0"/>
          <w:strike w:val="0"/>
          <w:noProof w:val="0"/>
          <w:color w:val="000000"/>
          <w:position w:val="0"/>
          <w:sz w:val="20"/>
          <w:u w:val="none"/>
          <w:vertAlign w:val="baseline"/>
        </w:rPr>
        <w:t xml:space="preserve"> through 73460), we provided hospitals in the CJR model with additional flexibility to attempt to increase quality and decrease costs by allowing a waiver of the SNF 3-day rule for beneficiaries in a CJR episode beginning in performance year 2. Program requirements for this waiver are codified at § 510.610. Specifically, under § 510.610, for SNFs that meet all specified requirements, we waive the requirement in section 1861(i) of the Act for a 3-day inpatient hospital stay prior to a Medicare covered post-hospital extended care service for eligible beneficiaries in a CJR episode. The CJR SNF waiver will only be available to participant hospitals that are active participants in the CJR model. If a participant hospital no longer participates in the CJR model, due to a merger or other reason, it cannot continue to use the CJR SNF waiver. All other provisions of the statute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Medicare Part A post-hospital extended care services continue to apply.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clarity regarding whether a waiver applies to SNF services furnished to a particular beneficiary is important to help ensure compliance with the conditions of the waiver and also improve our ability to monitor waivers for misuse. Therefore, in the CJR final rule </w:t>
      </w:r>
      <w:hyperlink r:id="rId21" w:history="1">
        <w:r>
          <w:rPr>
            <w:rFonts w:ascii="arial" w:eastAsia="arial" w:hAnsi="arial" w:cs="arial"/>
            <w:b w:val="0"/>
            <w:i/>
            <w:strike w:val="0"/>
            <w:noProof w:val="0"/>
            <w:color w:val="0077CC"/>
            <w:position w:val="0"/>
            <w:sz w:val="20"/>
            <w:u w:val="single"/>
            <w:vertAlign w:val="baseline"/>
          </w:rPr>
          <w:t>(80 FR 73454</w:t>
        </w:r>
      </w:hyperlink>
      <w:r>
        <w:rPr>
          <w:rFonts w:ascii="arial" w:eastAsia="arial" w:hAnsi="arial" w:cs="arial"/>
          <w:b w:val="0"/>
          <w:i w:val="0"/>
          <w:strike w:val="0"/>
          <w:noProof w:val="0"/>
          <w:color w:val="000000"/>
          <w:position w:val="0"/>
          <w:sz w:val="20"/>
          <w:u w:val="none"/>
          <w:vertAlign w:val="baseline"/>
        </w:rPr>
        <w:t xml:space="preserve"> through 73460), we discussed how the waiver can be utilized when a beneficiary is in a CJR episode at the time when the waiver is applied. In addition, at § 510.405 we require participant hospitals to provide a discharge planning notice to beneficiaries in cases where there is potential beneficiary liability for the SNF stay </w:t>
      </w:r>
      <w:hyperlink r:id="rId21" w:history="1">
        <w:r>
          <w:rPr>
            <w:rFonts w:ascii="arial" w:eastAsia="arial" w:hAnsi="arial" w:cs="arial"/>
            <w:b w:val="0"/>
            <w:i/>
            <w:strike w:val="0"/>
            <w:noProof w:val="0"/>
            <w:color w:val="0077CC"/>
            <w:position w:val="0"/>
            <w:sz w:val="20"/>
            <w:u w:val="single"/>
            <w:vertAlign w:val="baseline"/>
          </w:rPr>
          <w:t>(80 FR 73548</w:t>
        </w:r>
      </w:hyperlink>
      <w:r>
        <w:rPr>
          <w:rFonts w:ascii="arial" w:eastAsia="arial" w:hAnsi="arial" w:cs="arial"/>
          <w:b w:val="0"/>
          <w:i w:val="0"/>
          <w:strike w:val="0"/>
          <w:noProof w:val="0"/>
          <w:color w:val="000000"/>
          <w:position w:val="0"/>
          <w:sz w:val="20"/>
          <w:u w:val="none"/>
          <w:vertAlign w:val="baseline"/>
        </w:rPr>
        <w:t xml:space="preserve"> through 73549).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experiences under BPCI Model 2, the Pioneer ACO Model, and other initiatives, we established certain requirements under § 510.610 for hospitals and SNFs with respect to the SNF 3-day rule waiver under the CJR model. As discussed in the CJR final rule, commenters expressed concern about beneficiary liability in cases where the beneficiary's eligibility status has changed, but the hospital is unaware of the change at the time it uses the waiver. We noted that we would continue to evaluate the waiver of the SNF 3-day rule, including further lessons learned from Innovation Center models in which a waiver of the SNF 3-day rule is being tested. We indicated that in the event we determine that additional safeguards or protections for beneficiaries or other changes were necessary, such as to incorporate additional protections for beneficiaries, we would propose the necessary changes through future rulemaking.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considering additional beneficiary protections that may be necessary to ensure proper use of the SNF 3-day waiver under the CJR model, we noted that there are existing, well-established payment and coverage policies for SNF services based on sections 1861(i), 1862(a)(1), and 1879 of the Act that include protections for beneficiaries from liability for certain non-covered SNF charges. These existing payment and coverage policies for SNF services continue to apply under the model, including SNF services furnished pursuant to the SNF 3-day waiver. (For example, see section 70 in the Medicare Claims Processing Manual, Chapter 30--Financial Liability Protections on the CMS Web site at </w:t>
      </w:r>
      <w:hyperlink r:id="rId114" w:history="1">
        <w:r>
          <w:rPr>
            <w:rFonts w:ascii="arial" w:eastAsia="arial" w:hAnsi="arial" w:cs="arial"/>
            <w:b w:val="0"/>
            <w:i/>
            <w:strike w:val="0"/>
            <w:noProof w:val="0"/>
            <w:color w:val="0077CC"/>
            <w:position w:val="0"/>
            <w:sz w:val="20"/>
            <w:u w:val="single"/>
            <w:vertAlign w:val="baseline"/>
          </w:rPr>
          <w:t>https://www.cms.gov/</w:t>
        </w:r>
      </w:hyperlink>
      <w:hyperlink r:id="rId114" w:history="1">
        <w:r>
          <w:rPr>
            <w:rFonts w:ascii="arial" w:eastAsia="arial" w:hAnsi="arial" w:cs="arial"/>
            <w:b/>
            <w:i/>
            <w:strike w:val="0"/>
            <w:noProof w:val="0"/>
            <w:color w:val="0077CC"/>
            <w:position w:val="0"/>
            <w:sz w:val="20"/>
            <w:u w:val="single"/>
            <w:vertAlign w:val="baseline"/>
          </w:rPr>
          <w:t>Regulations</w:t>
        </w:r>
      </w:hyperlink>
      <w:hyperlink r:id="rId114" w:history="1">
        <w:r>
          <w:rPr>
            <w:rFonts w:ascii="arial" w:eastAsia="arial" w:hAnsi="arial" w:cs="arial"/>
            <w:b w:val="0"/>
            <w:i/>
            <w:strike w:val="0"/>
            <w:noProof w:val="0"/>
            <w:color w:val="0077CC"/>
            <w:position w:val="0"/>
            <w:sz w:val="20"/>
            <w:u w:val="single"/>
            <w:vertAlign w:val="baseline"/>
          </w:rPr>
          <w:t>-and-Guidance/Guidance/Manuals/Downloads/clm104c30.pdf</w:t>
        </w:r>
      </w:hyperlink>
      <w:r>
        <w:rPr>
          <w:rFonts w:ascii="arial" w:eastAsia="arial" w:hAnsi="arial" w:cs="arial"/>
          <w:b w:val="0"/>
          <w:i w:val="0"/>
          <w:strike w:val="0"/>
          <w:noProof w:val="0"/>
          <w:color w:val="000000"/>
          <w:position w:val="0"/>
          <w:sz w:val="20"/>
          <w:u w:val="none"/>
          <w:vertAlign w:val="baseline"/>
        </w:rPr>
        <w:t xml:space="preserve">; and Medicare Coverage of Skilled Nursing Facility Care at </w:t>
      </w:r>
      <w:hyperlink r:id="rId115" w:history="1">
        <w:r>
          <w:rPr>
            <w:rFonts w:ascii="arial" w:eastAsia="arial" w:hAnsi="arial" w:cs="arial"/>
            <w:b w:val="0"/>
            <w:i/>
            <w:strike w:val="0"/>
            <w:noProof w:val="0"/>
            <w:color w:val="0077CC"/>
            <w:position w:val="0"/>
            <w:sz w:val="20"/>
            <w:u w:val="single"/>
            <w:vertAlign w:val="baseline"/>
          </w:rPr>
          <w:t>https://www.medicare.gov/Pubs/pdf/10153.pdf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[*557] </w:t>
      </w:r>
      <w:r>
        <w:rPr>
          <w:rFonts w:ascii="arial" w:eastAsia="arial" w:hAnsi="arial" w:cs="arial"/>
          <w:b w:val="0"/>
          <w:i w:val="0"/>
          <w:strike w:val="0"/>
          <w:noProof w:val="0"/>
          <w:color w:val="000000"/>
          <w:position w:val="0"/>
          <w:sz w:val="20"/>
          <w:u w:val="none"/>
          <w:vertAlign w:val="baseline"/>
        </w:rPr>
        <w:t xml:space="preserve"> Medicare Benefit Policy Manual, Chapter 8--Coverage of Extended Care (SNF) Services Under Hospital Insurance at </w:t>
      </w:r>
      <w:hyperlink r:id="rId132" w:history="1">
        <w:r>
          <w:rPr>
            <w:rFonts w:ascii="arial" w:eastAsia="arial" w:hAnsi="arial" w:cs="arial"/>
            <w:b w:val="0"/>
            <w:i/>
            <w:strike w:val="0"/>
            <w:noProof w:val="0"/>
            <w:color w:val="0077CC"/>
            <w:position w:val="0"/>
            <w:sz w:val="20"/>
            <w:u w:val="single"/>
            <w:vertAlign w:val="baseline"/>
          </w:rPr>
          <w:t>https://www.cms.gov/</w:t>
        </w:r>
      </w:hyperlink>
      <w:hyperlink r:id="rId132" w:history="1">
        <w:r>
          <w:rPr>
            <w:rFonts w:ascii="arial" w:eastAsia="arial" w:hAnsi="arial" w:cs="arial"/>
            <w:b/>
            <w:i/>
            <w:strike w:val="0"/>
            <w:noProof w:val="0"/>
            <w:color w:val="0077CC"/>
            <w:position w:val="0"/>
            <w:sz w:val="20"/>
            <w:u w:val="single"/>
            <w:vertAlign w:val="baseline"/>
          </w:rPr>
          <w:t>Regulations</w:t>
        </w:r>
      </w:hyperlink>
      <w:hyperlink r:id="rId132" w:history="1">
        <w:r>
          <w:rPr>
            <w:rFonts w:ascii="arial" w:eastAsia="arial" w:hAnsi="arial" w:cs="arial"/>
            <w:b w:val="0"/>
            <w:i/>
            <w:strike w:val="0"/>
            <w:noProof w:val="0"/>
            <w:color w:val="0077CC"/>
            <w:position w:val="0"/>
            <w:sz w:val="20"/>
            <w:u w:val="single"/>
            <w:vertAlign w:val="baseline"/>
          </w:rPr>
          <w:t>-and-Guidance/Guidance/Manuals/downloads/bp102c08.pdf</w:t>
        </w:r>
      </w:hyperlink>
      <w:r>
        <w:rPr>
          <w:rFonts w:ascii="arial" w:eastAsia="arial" w:hAnsi="arial" w:cs="arial"/>
          <w:b w:val="0"/>
          <w:i w:val="0"/>
          <w:strike w:val="0"/>
          <w:noProof w:val="0"/>
          <w:color w:val="000000"/>
          <w:position w:val="0"/>
          <w:sz w:val="20"/>
          <w:u w:val="none"/>
          <w:vertAlign w:val="baseline"/>
        </w:rPr>
        <w:t xml:space="preserve">). In general, CMS requires that the SNF inform a beneficiary in writing about services and fees before the beneficiary is discharged to the SNF (§ 483.10(b)(6)); the beneficiary cannot be charged by the SNF for items or services that were not requested (§ 483.10(c)(8)(iii)(A)); a beneficiary cannot be required to request extra services as a condition of continued stay (§ 483.10(c)(8)(iii)(B)); and the SNF must inform a beneficiary that requests an item or service for which a charge will be made that there will be a charge for the item or service and what the charge will be (§ 483.10(c)(8)(iii)(C)). (See also section 6 of Medicare Coverage of Skilled Nursing Facility Care at </w:t>
      </w:r>
      <w:hyperlink r:id="rId115" w:history="1">
        <w:r>
          <w:rPr>
            <w:rFonts w:ascii="arial" w:eastAsia="arial" w:hAnsi="arial" w:cs="arial"/>
            <w:b w:val="0"/>
            <w:i/>
            <w:strike w:val="0"/>
            <w:noProof w:val="0"/>
            <w:color w:val="0077CC"/>
            <w:position w:val="0"/>
            <w:sz w:val="20"/>
            <w:u w:val="single"/>
            <w:vertAlign w:val="baseline"/>
          </w:rPr>
          <w:t>https://www.medicare.gov/Pubs/pdf/10153.pdf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discussed in the CJR final rule </w:t>
      </w:r>
      <w:hyperlink r:id="rId21" w:history="1">
        <w:r>
          <w:rPr>
            <w:rFonts w:ascii="arial" w:eastAsia="arial" w:hAnsi="arial" w:cs="arial"/>
            <w:b w:val="0"/>
            <w:i/>
            <w:strike w:val="0"/>
            <w:noProof w:val="0"/>
            <w:color w:val="0077CC"/>
            <w:position w:val="0"/>
            <w:sz w:val="20"/>
            <w:u w:val="single"/>
            <w:vertAlign w:val="baseline"/>
          </w:rPr>
          <w:t>(80 FR 73454</w:t>
        </w:r>
      </w:hyperlink>
      <w:r>
        <w:rPr>
          <w:rFonts w:ascii="arial" w:eastAsia="arial" w:hAnsi="arial" w:cs="arial"/>
          <w:b w:val="0"/>
          <w:i w:val="0"/>
          <w:strike w:val="0"/>
          <w:noProof w:val="0"/>
          <w:color w:val="000000"/>
          <w:position w:val="0"/>
          <w:sz w:val="20"/>
          <w:u w:val="none"/>
          <w:vertAlign w:val="baseline"/>
        </w:rPr>
        <w:t xml:space="preserve"> through 73460), commenters expressed concern regarding the lag between a CJR beneficiary's Medicare coverage or eligibility status change and a participant hospital's awareness of that change. There may be cases in which a SNF waiver is used by a participant hospital because the participant hospital believes that the beneficiary meets the inclusion criteria, based on the information available to the hospital and SNF at the time of the beneficiary's admission to the SNF, but in fact the beneficiary's Medicare coverage has changed and the hospital was unaware of it based on available information. We recognize that despite good faith efforts by participant hospitals and SNFs to determine a beneficiary's Medicare status for the model, it may occur that a beneficiary is not eligible to be included in the CJR model at the time the SNF waiver is used. In these cases, we will cover services furnished under the waiver when the information available to the provider at the time the services under the waiver were furnished indicated that the beneficiary was included in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publication of our final rule, we have continued to learn from implementation and refinement of the SNF 3-day waiver in other models and the Shared Savings Program. Based on these experiences, we believe there are situations where it would be appropriate to require additional beneficiary financial protections under the SNF 3-day waiver for the CJR model. Specifically, we are concerned about potential beneficiary financial liability for non-covered Part A SNF services that might be directly related to use of the SNF 3-day waiver under the CJR model. We are concerned that there could be scenarios where a beneficiary could be charged for non-covered SNF services that were a result of a participant hospital's inappropriate use of the SNF waiver. Specifically, we are concerned that a beneficiary could be charged for non-covered SNF services if a participant hospital discharges a beneficiary to a SNF that does not meet the quality requirement (3 stars or higher in 7 of the last 12 months), and payment for SNF services is denied for lack of a qualifying inpatient hospital stay. We recognize that requiring a discharge planning notice (§ 510.405) will help mitigate concerns about beneficiaries' potential financial liability for non-covered services. Nevertheless, we are concerned that in this scenario, once the claim is denied, the beneficiary may not be protected from financial liability under existing Medicare rules because the waiver would not be available, and the beneficiary would not have had a qualifying inpatient hospital stay. Thus, the CJR beneficiary could be charged by the SNF for non-covered SNF services that were a result of an inappropriate attempt to use the waiver. In this scenario, Medicare would deny payment of the SNF claim, and the beneficiary could potentially be charged by the SNF for these non-covered SNF services, potentially subjecting such beneficiaries to significant financial liability. In this circumstance, we assume the participant hospital's intent was to rely upon the SNF 3-day waiver, but the waiver requirements were not met. We believe that in this scenario, the rejection of the claim could easily have been avoided if the hospital had confirmed that the requirements for use of the SNF 3-day waiver were satisfied or if the beneficiary had been provided the discharge planning notice and elected to go to a SNF that met the quality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models have addressed similar issues in which the beneficiary may be subject to financial liability for non-covered SNF services related to the waiver. The Next Generation ACO Model generally places the risk on the SNF, where the SNF did not qualify under the waiver or otherwise knew or reasonably could be expected to have known that payment would not be made for the non-covered SNF services. In such cases, CMS makes no payment for the services, and the SNF may not charge the beneficiary for the services and must return any monies collected from the beneficiary. Additionally, under the Next Generation ACO Model, the ACO must indemnify and hold the beneficiary harmless for the services. As we stated in the proposed rule, we believe it was appropriate to propose to adopt a similar policy under the CJR model. In contrast to the Next Generation ACO Model, however, we believe it is most appropriate to hold the participant hospitals financially responsible for misusing the waiver in situations where waiver requirements are not met, because participant hospitals are required to be aware of the 3-day waiver requirements. Participant hospitals are the entities financially responsible for episode spending under the model and will make the decision as to whether it is appropriate to discharge a beneficiary without a 3-day stay. In addition, we clearly laid out the requirements for use of the SNF waiver in the CJR final rule. Participant hospitals may begin using the waiver for episodes that begin in performance year 2, and may only utilize the waiver to discharge a beneficiary to a SNF that meets the quality requirements. CMS will post on the public Web site a list of qualifying SNFs (those with a 3-star or higher rating for 7 of the last 12 months). Participant hospitals are required to consult the published list of SNFs prior to utilizing the SNF waiver. As described later in this section, we proposed that when the hospital provides the beneficiary with the discharge notice in accordance with the requirements of § 510.405(b)(4) (which elsewhere in this final rule we are renumbering as § 510.405(b)(3), and therefore will refer to this provision by its new number throughout this section), the hospital would not have financial liability for non-covered SNF services that result from inapplicability of the waiver. In other words, when the participant hospital has discharged a beneficiary to a SNF that does not qualify under the conditions of the waiver, and has not provided the required notice so that the beneficiary is aware that he or she is accepting financial liability for non-covered SNF services as a result of not having a qualifying inpatient stay, as we stated in the proposed rule, we believe it is reasonable that the ultimate responsibility and financial liability for the non-covered SNF stay should rest with the participant hospital. For this reason, we proposed to require hospitals to keep a record of discharge planning notice distribution to CJR beneficiaries. We proposed to monitor participant hospitals' use of discharge planning notices to assess the potential for their </w:t>
      </w:r>
      <w:r>
        <w:rPr>
          <w:rFonts w:ascii="arial" w:eastAsia="arial" w:hAnsi="arial" w:cs="arial"/>
          <w:b/>
          <w:i w:val="0"/>
          <w:strike w:val="0"/>
          <w:noProof w:val="0"/>
          <w:color w:val="000000"/>
          <w:position w:val="0"/>
          <w:sz w:val="20"/>
          <w:u w:val="none"/>
          <w:vertAlign w:val="baseline"/>
        </w:rPr>
        <w:t> [*558] </w:t>
      </w:r>
      <w:r>
        <w:rPr>
          <w:rFonts w:ascii="arial" w:eastAsia="arial" w:hAnsi="arial" w:cs="arial"/>
          <w:b w:val="0"/>
          <w:i w:val="0"/>
          <w:strike w:val="0"/>
          <w:noProof w:val="0"/>
          <w:color w:val="000000"/>
          <w:position w:val="0"/>
          <w:sz w:val="20"/>
          <w:u w:val="none"/>
          <w:vertAlign w:val="baseline"/>
        </w:rPr>
        <w:t xml:space="preserve"> misuse. We also considered holding the SNF responsible but decided that since hospitals, not SNFs, are the CJR model participants, they therefore should be held responsible for complying with the 3-day waiver conditions for the reasons stated previously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protect CJR beneficiaries from being charged for non-covered SNF charges in instances when the waiver was used inappropriately, we proposed to add certain beneficiary protection requirements in § 510.610. These requirements would apply for SNF services that would otherwise have been covered except for lack of a qualifying hospital stay. Specifically, we proposed that beginning with episodes that are initiated on or after January 1, 2017, when the SNF waiver is available, if a participant hospital discharged a beneficiary without a qualifying 3-day inpatient stay to a SNF that was not on the published list of SNFs that meet the CJR SNF waiver quality requirements as of the date of admission to the SNF, the hospital would be financially liable for the SNF stay if no discharge planning notice was provided to the beneficiary, alerting them of potential financial liability. If the participant hospital provides a discharge planning notice in compliance with the requirements of § 510.405(b)(3), we proposed that the participant hospital would not be financially liable for the cost of the SNF stay and the normal Medicare FFS rules for coverage of SNF services will apply. We proposed that, in cases where the participant hospital provides a discharge planning notice in compliance with the requirements of § 510.405(b)(3) and the beneficiary chooses to obtain care from a non-qualified SNF without a qualifying inpatient stay, the beneficiary assumes financial liability for services furnished (except those covered by Medicare Part B during a non-covered inpatient SNF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event a CJR beneficiary is discharged to a SNF without a qualifying 3-day inpatient stay, but the SNF is not on the qualified list as of the date of admission to the SNF, and the participant hospital has failed to provide a discharge planning notice, as specified in § 510.405(b)(3), we proposed that CMS apply the following rules:</w:t>
      </w:r>
    </w:p>
    <w:p>
      <w:pPr>
        <w:keepNext w:val="0"/>
        <w:numPr>
          <w:numId w:val="7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shall make no payment to the SNF for such services.</w:t>
      </w:r>
    </w:p>
    <w:p>
      <w:pPr>
        <w:keepNext w:val="0"/>
        <w:numPr>
          <w:numId w:val="8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SNF shall not charge the beneficiary for the expenses incurred for such services; and the SNF shall return to the beneficiary any monies collected for such services.</w:t>
      </w:r>
    </w:p>
    <w:p>
      <w:pPr>
        <w:keepNext w:val="0"/>
        <w:numPr>
          <w:numId w:val="8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hospital shall be responsible for the cost of the uncovered SNF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proposed to amend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clarify that the SNF 3-day waiver will be available in performance years 2 through 5 for those episodes beginning on or after January 1, 2017. In the CJR final rule, we discussed how the SNF 3-day waiver will be available beginning in performance year 2. We proposed to clarify that the waiver does begin in performance year 2, but only for those episodes that begin on or after January 1, 2017 when the waiver goes into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these proposals. Specifically, we sought comment on whether it is reasonable to--(1) cover services furnished under the SNF waiver based on participant hospital knowledge of beneficiary eligibility for the CJR model as determined by Medicare coverage status at the time the services under the waiver were furnished; and (2) to hold the participant hospital financially responsible for denied SNF claims if a CJR beneficiary is discharged to a SNF without a qualifying 3-day inpatient stay, but the SNF is not on the qualified list as of the date of admission to the SNF, and the participant hospital has failed to provide a discharge planning notice as specified in § 510.405(b)(3). We sought comment on whether SNFs instead of, or in addition to, the participant hospital should be held liable for such claims and under what circumstances. Finally, we sought comment on any other related issues that we should consider in connection with the proposal to protect beneficiaries from significant financial liability for non-covered SNF services related to the waiver of the SNF 3-day rule under the CJR model. We may address those issues through future notice and comment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amend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510.610 to reflect the change. We also proposed to clarify the language in § 510.610 to reflect that the CJR SNF waiver will be available for use for episodes that begin on or after January 1,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comments on similar waivers for the EPM, which we addressed in III.J of the EPM final rule. The following is a summary of the comments received on the CJR SNF 3-day waiver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requested clarification discharge planning as it relates to application and use of the SNF 3-day waiver.</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CMS requires participant hospitals to provide written notice to beneficiaries informing them of potential financial liability associated with non-covered services presented as an option as part of discharge planning, as outlined at § 510.405(b)(4) of the CJR final rule, and amended in this final rule as § 510.405(b)(3). We refer readers to the CJR final rule </w:t>
      </w:r>
      <w:hyperlink r:id="rId21" w:history="1">
        <w:r>
          <w:rPr>
            <w:rFonts w:ascii="arial" w:eastAsia="arial" w:hAnsi="arial" w:cs="arial"/>
            <w:b w:val="0"/>
            <w:i/>
            <w:strike w:val="0"/>
            <w:noProof w:val="0"/>
            <w:color w:val="0077CC"/>
            <w:position w:val="0"/>
            <w:sz w:val="20"/>
            <w:u w:val="single"/>
            <w:vertAlign w:val="baseline"/>
          </w:rPr>
          <w:t>(80 FR 73516-73521)</w:t>
        </w:r>
      </w:hyperlink>
      <w:r>
        <w:rPr>
          <w:rFonts w:ascii="arial" w:eastAsia="arial" w:hAnsi="arial" w:cs="arial"/>
          <w:b w:val="0"/>
          <w:i w:val="0"/>
          <w:strike w:val="0"/>
          <w:noProof w:val="0"/>
          <w:color w:val="000000"/>
          <w:position w:val="0"/>
          <w:sz w:val="20"/>
          <w:u w:val="none"/>
          <w:vertAlign w:val="baseline"/>
        </w:rPr>
        <w:t xml:space="preserve"> and § 510.405(b)(3) for further discussion of this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proposed that CMS modify the Bundled Payments for Care Initiative (BPCI) SNF 3-day waiver to more closely align with the CJR model's SNF 3-day waiver.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did not make any proposals in this rule with respect to BPCI.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inquired about the process if a hospital wishes to utilize the SNF 3-day waiver, but the beneficiary wishes to remain in the hospital.</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stated in </w:t>
      </w:r>
      <w:hyperlink r:id="rId21" w:history="1">
        <w:r>
          <w:rPr>
            <w:rFonts w:ascii="arial" w:eastAsia="arial" w:hAnsi="arial" w:cs="arial"/>
            <w:b w:val="0"/>
            <w:i/>
            <w:strike w:val="0"/>
            <w:noProof w:val="0"/>
            <w:color w:val="0077CC"/>
            <w:position w:val="0"/>
            <w:sz w:val="20"/>
            <w:u w:val="single"/>
            <w:vertAlign w:val="baseline"/>
          </w:rPr>
          <w:t>80 FR 73516,</w:t>
        </w:r>
      </w:hyperlink>
      <w:r>
        <w:rPr>
          <w:rFonts w:ascii="arial" w:eastAsia="arial" w:hAnsi="arial" w:cs="arial"/>
          <w:b w:val="0"/>
          <w:i w:val="0"/>
          <w:strike w:val="0"/>
          <w:noProof w:val="0"/>
          <w:color w:val="000000"/>
          <w:position w:val="0"/>
          <w:sz w:val="20"/>
          <w:u w:val="none"/>
          <w:vertAlign w:val="baseline"/>
        </w:rPr>
        <w:t xml:space="preserve"> the CJR model does not seek to limit the beneficiary's ability to choose among Medicare providers or the range of services available. Decisions about the length of an inpatient stay are not addressed in this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cover services furnished under the SNF waiver in cases where the beneficiary met the criteria at § 510.205 on the date of discharge from the anchor hospitalization, based on information available as of that date. We are also finalizing the proposal to hold the participant hospital financially responsible for denied SNF claims if a CJR beneficiary is discharged to a SNF without a qualifying 3-day inpatient stay, but the SNF is not on the qualified list as of the date of admission to the SNF, and the participant hospital has failed to provide a discharge planning notice as specified in § 510.405(b)(3). We are not finalizing the proposal to specify that the SNF waiver will be available for use for episodes that begin on or after January 1, 2017, as the change is no longer necessary given the effective date of this final rule. The final policies for financial liability for non-covered SNF services provided due to incorrect application of the SNF 3-day rule waiver are set forth in § 510.610.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 Advanced Alternative Payment Model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Overview for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MACRA created two paths for eligible clinicians to link quality to payments: The MIPS and Advanced APMs. These two paths create a flexible payment system called the Quality Payment Program as proposed by CMS in the Quality Payment Program </w:t>
      </w:r>
      <w:r>
        <w:rPr>
          <w:rFonts w:ascii="arial" w:eastAsia="arial" w:hAnsi="arial" w:cs="arial"/>
          <w:b/>
          <w:i w:val="0"/>
          <w:strike w:val="0"/>
          <w:noProof w:val="0"/>
          <w:color w:val="000000"/>
          <w:position w:val="0"/>
          <w:sz w:val="20"/>
          <w:u w:val="none"/>
          <w:vertAlign w:val="baseline"/>
        </w:rPr>
        <w:t> [*559] </w:t>
      </w:r>
      <w:r>
        <w:rPr>
          <w:rFonts w:ascii="arial" w:eastAsia="arial" w:hAnsi="arial" w:cs="arial"/>
          <w:b w:val="0"/>
          <w:i w:val="0"/>
          <w:strike w:val="0"/>
          <w:noProof w:val="0"/>
          <w:color w:val="000000"/>
          <w:position w:val="0"/>
          <w:sz w:val="20"/>
          <w:u w:val="none"/>
          <w:vertAlign w:val="baseline"/>
        </w:rPr>
        <w:t xml:space="preserve"> proposed rule </w:t>
      </w:r>
      <w:r>
        <w:rPr>
          <w:rFonts w:ascii="arial" w:eastAsia="arial" w:hAnsi="arial" w:cs="arial"/>
          <w:b w:val="0"/>
          <w:i/>
          <w:strike w:val="0"/>
          <w:noProof w:val="0"/>
          <w:color w:val="000000"/>
          <w:position w:val="0"/>
          <w:sz w:val="20"/>
          <w:u w:val="none"/>
          <w:vertAlign w:val="baseline"/>
        </w:rPr>
        <w:t>(81 FR 28161</w:t>
      </w:r>
      <w:r>
        <w:rPr>
          <w:rFonts w:ascii="arial" w:eastAsia="arial" w:hAnsi="arial" w:cs="arial"/>
          <w:b w:val="0"/>
          <w:i w:val="0"/>
          <w:strike w:val="0"/>
          <w:noProof w:val="0"/>
          <w:color w:val="000000"/>
          <w:position w:val="0"/>
          <w:sz w:val="20"/>
          <w:u w:val="none"/>
          <w:vertAlign w:val="baseline"/>
        </w:rPr>
        <w:t xml:space="preserve"> through 28586).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proposed in the Quality Payment Program proposed rule, an APM must meet three criteria to be considered an Advanced APM </w:t>
      </w:r>
      <w:hyperlink r:id="rId25" w:history="1">
        <w:r>
          <w:rPr>
            <w:rFonts w:ascii="arial" w:eastAsia="arial" w:hAnsi="arial" w:cs="arial"/>
            <w:b w:val="0"/>
            <w:i/>
            <w:strike w:val="0"/>
            <w:noProof w:val="0"/>
            <w:color w:val="0077CC"/>
            <w:position w:val="0"/>
            <w:sz w:val="20"/>
            <w:u w:val="single"/>
            <w:vertAlign w:val="baseline"/>
          </w:rPr>
          <w:t>(81 FR 28298).</w:t>
        </w:r>
      </w:hyperlink>
      <w:r>
        <w:rPr>
          <w:rFonts w:ascii="arial" w:eastAsia="arial" w:hAnsi="arial" w:cs="arial"/>
          <w:b w:val="0"/>
          <w:i w:val="0"/>
          <w:strike w:val="0"/>
          <w:noProof w:val="0"/>
          <w:color w:val="000000"/>
          <w:position w:val="0"/>
          <w:sz w:val="20"/>
          <w:u w:val="none"/>
          <w:vertAlign w:val="baseline"/>
        </w:rPr>
        <w:t xml:space="preserve"> First, the APM must provide for payment for covered professional services based on quality measures comparable to measures described under the performance category described in section 1848(q)(2)(B)(i) of the Act, which is the MIPS quality performance category. We refer to the discussion following our proposals for the final criteria required for the APM to be an Advanced APM. Under the Quality Payment Program proposed rule, we proposed that the quality measures on which the Advanced APM bases payment for covered professional services (as that term is defined in section 1848(k)(3)(A) of the Act) must include at least one of the following types of measures, provided that they have an evidence-based focus and are reliable and valid </w:t>
      </w:r>
      <w:hyperlink r:id="rId25" w:history="1">
        <w:r>
          <w:rPr>
            <w:rFonts w:ascii="arial" w:eastAsia="arial" w:hAnsi="arial" w:cs="arial"/>
            <w:b w:val="0"/>
            <w:i/>
            <w:strike w:val="0"/>
            <w:noProof w:val="0"/>
            <w:color w:val="0077CC"/>
            <w:position w:val="0"/>
            <w:sz w:val="20"/>
            <w:u w:val="single"/>
            <w:vertAlign w:val="baseline"/>
          </w:rPr>
          <w:t>(81 FR 28302):</w:t>
        </w:r>
      </w:hyperlink>
    </w:p>
    <w:p>
      <w:pPr>
        <w:keepNext w:val="0"/>
        <w:numPr>
          <w:numId w:val="8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of the quality measures included on the proposed annual list of MIPS quality measures.</w:t>
      </w:r>
    </w:p>
    <w:p>
      <w:pPr>
        <w:keepNext w:val="0"/>
        <w:numPr>
          <w:numId w:val="8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measures that are endorsed by a consensus-based entity.</w:t>
      </w:r>
    </w:p>
    <w:p>
      <w:pPr>
        <w:keepNext w:val="0"/>
        <w:numPr>
          <w:numId w:val="8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measures developed under section 1848(s) of the Act.</w:t>
      </w:r>
    </w:p>
    <w:p>
      <w:pPr>
        <w:keepNext w:val="0"/>
        <w:numPr>
          <w:numId w:val="8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measures submitted in response to the MIPS Call for Quality Measures under section 1848(q)(2)(D)(ii) of the Act.</w:t>
      </w:r>
    </w:p>
    <w:p>
      <w:pPr>
        <w:keepNext w:val="0"/>
        <w:numPr>
          <w:numId w:val="8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quality measures that CMS determines to have an evidence-based focus and be reliable and valid.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discussed in the Quality Payment Program proposed rule, because the statute identifies outcome measures as a priority measure type and we wanted to encourage the use of outcome measures for quality performance assessment in APMs, we further proposed in that rule, that in addition to the general quality measure requirements, an Advanced APM must include at least one outcome measure if an appropriate measure is available on the MIPS list of measures for that specific QP Performance Period, determined at the time when the APM is first established </w:t>
      </w:r>
      <w:hyperlink r:id="rId25" w:history="1">
        <w:r>
          <w:rPr>
            <w:rFonts w:ascii="arial" w:eastAsia="arial" w:hAnsi="arial" w:cs="arial"/>
            <w:b w:val="0"/>
            <w:i/>
            <w:strike w:val="0"/>
            <w:noProof w:val="0"/>
            <w:color w:val="0077CC"/>
            <w:position w:val="0"/>
            <w:sz w:val="20"/>
            <w:u w:val="single"/>
            <w:vertAlign w:val="baseline"/>
          </w:rPr>
          <w:t>(81 FR 28302</w:t>
        </w:r>
      </w:hyperlink>
      <w:r>
        <w:rPr>
          <w:rFonts w:ascii="arial" w:eastAsia="arial" w:hAnsi="arial" w:cs="arial"/>
          <w:b w:val="0"/>
          <w:i w:val="0"/>
          <w:strike w:val="0"/>
          <w:noProof w:val="0"/>
          <w:color w:val="000000"/>
          <w:position w:val="0"/>
          <w:sz w:val="20"/>
          <w:u w:val="none"/>
          <w:vertAlign w:val="baseline"/>
        </w:rPr>
        <w:t xml:space="preserve"> through 28303).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the APM must either require that participating APM Entities bear risk for monetary losses of a more than nominal amount under the APM or be a Medical Home Model expanded under section 1115A(c) of the Act. Except for Medical Home Models, we proposed in the Quality Payment Program proposed rule that, for an Advanced APM to meet the nominal amount standard, the specific level of marginal risk must be at least 30 percent of losses in excess of expected expenditures; a minimum loss rate, to the extent applicable, must be no greater than 4 percent of expected expenditures; and total potential risk must be at least 4 percent of expected expenditures </w:t>
      </w:r>
      <w:hyperlink r:id="rId25" w:history="1">
        <w:r>
          <w:rPr>
            <w:rFonts w:ascii="arial" w:eastAsia="arial" w:hAnsi="arial" w:cs="arial"/>
            <w:b w:val="0"/>
            <w:i/>
            <w:strike w:val="0"/>
            <w:noProof w:val="0"/>
            <w:color w:val="0077CC"/>
            <w:position w:val="0"/>
            <w:sz w:val="20"/>
            <w:u w:val="single"/>
            <w:vertAlign w:val="baseline"/>
          </w:rPr>
          <w:t>(81 FR 28306).</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the APM must require participants to use CEHRT (as defined in section 1848(o)(4) of the Act), as specified in section 1833(z)(3)(D)(i)(I) of the Act, to document and communicate clinical care with patients and other health care professionals. Specifically, where the APM participants are hospitals, the APM must require each hospital to use CEHRT </w:t>
      </w:r>
      <w:hyperlink r:id="rId25" w:history="1">
        <w:r>
          <w:rPr>
            <w:rFonts w:ascii="arial" w:eastAsia="arial" w:hAnsi="arial" w:cs="arial"/>
            <w:b w:val="0"/>
            <w:i/>
            <w:strike w:val="0"/>
            <w:noProof w:val="0"/>
            <w:color w:val="0077CC"/>
            <w:position w:val="0"/>
            <w:sz w:val="20"/>
            <w:u w:val="single"/>
            <w:vertAlign w:val="baseline"/>
          </w:rPr>
          <w:t>(81 FR 28298</w:t>
        </w:r>
      </w:hyperlink>
      <w:r>
        <w:rPr>
          <w:rFonts w:ascii="arial" w:eastAsia="arial" w:hAnsi="arial" w:cs="arial"/>
          <w:b w:val="0"/>
          <w:i w:val="0"/>
          <w:strike w:val="0"/>
          <w:noProof w:val="0"/>
          <w:color w:val="000000"/>
          <w:position w:val="0"/>
          <w:sz w:val="20"/>
          <w:u w:val="none"/>
          <w:vertAlign w:val="baseline"/>
        </w:rPr>
        <w:t xml:space="preserve"> through 28299).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t>
      </w:r>
      <w:hyperlink r:id="rId9" w:history="1">
        <w:r>
          <w:rPr>
            <w:rFonts w:ascii="arial" w:eastAsia="arial" w:hAnsi="arial" w:cs="arial"/>
            <w:b w:val="0"/>
            <w:i/>
            <w:strike w:val="0"/>
            <w:noProof w:val="0"/>
            <w:color w:val="0077CC"/>
            <w:position w:val="0"/>
            <w:sz w:val="20"/>
            <w:u w:val="single"/>
            <w:vertAlign w:val="baseline"/>
          </w:rPr>
          <w:t>(81 FR 50794),</w:t>
        </w:r>
      </w:hyperlink>
      <w:r>
        <w:rPr>
          <w:rFonts w:ascii="arial" w:eastAsia="arial" w:hAnsi="arial" w:cs="arial"/>
          <w:b w:val="0"/>
          <w:i w:val="0"/>
          <w:strike w:val="0"/>
          <w:noProof w:val="0"/>
          <w:color w:val="000000"/>
          <w:position w:val="0"/>
          <w:sz w:val="20"/>
          <w:u w:val="none"/>
          <w:vertAlign w:val="baseline"/>
        </w:rPr>
        <w:t xml:space="preserve"> we proposed to adopt two different tracks for CJR--Track 1 in which CJR and its participant hospitals would meet the criteria for Advanced APMs as proposed in the Quality Payment Program proposed rule, and Track 2 in which CJR and its participant hospitals would not meet those proposed criteria. We refer to the discussion following our proposals for the final criteria required for the APM to be an Advanced APM. The CJR model incorporates a pay-for-performance methodology including quality measures that we believe would meet the proposed Advanced APM quality measure requirements in the Quality Payment Program proposed rule. Both of the required quality measures in the CJR model are NQF-endorsed, have an evidence-based focus, and are reliable and valid. We believe they would meet the proposed Advanced APM general quality measure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CJR pay-for-performance methodology includes one outcome measure that is NQF-endorsed, has an evidence-based focus, and is reliable and valid. The pay-for-performance methodology incorporates the Hospital-level RSCR following elective primary THA and/or TKA (NQF #1550) (Hip/Knee Complications) outcome measure. Thus, we believe the CJR model would meet the requirement proposed for Advanced APMs in the Quality Payment Program proposed rule for use of an outcome measure that also meets the general quality measure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the proposed nominal risk criteria for Advanced APMs, beginning in performance year 2 for episodes ending between January 1, 2017 and December 31, 2017, participant hospitals would begin to bear downside risk for excess actual CJR episode spending above the quality-adjusted target price. The marginal risk for excess actual CJR episode spending above the quality-adjusted target price would be 100 percent over the range of spending up to the stop-loss limit, which would exceed 30 percent marginal risk, and there would be no minimum loss rate. As a result, we believe the CJR model would meet the marginal risk and minimum loss rate elements of the nominal risk criteria for Advanced APMs proposed in the Quality Payment Program proposed rule. Total potential risk for most CJR participant hospitals is 5 percent of expected expenditures in performance year 2, and increasing in subsequent performance years. Therefore, we believe the total potential risk applicable to most participant hospitals, with the lowest total potential risk being 5 percent for CJR episodes ending on or after January 1, 2017 in performance year 2, would meet the total potential risk element of the nominal risk amount standard for Advanced APMs proposed in the Quality Payment Program proposed rule because it is greater than the value of at least 4 percent of expected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participant hospitals that are rural hospitals, sole community hospitals (SCHs), Medicare Dependent Hospitals (MDHs) and Rural Referral Centers (RRCs) will have a stop-loss limit of 3 percent in performance year 2. Because 3 percent is less than the proposed threshold of at least 4 percent of expected expenditures for total potential risk proposed for Advanced APMs in the Quality Payment Program proposed rule, those rural hospitals, SCHs, MDHs, and RRCs that are CJR participant hospitals subject to special protections would be in Track 2 of the CJR model and would not meet the proposed nominal risk standard for Advanced APMs for performance year 2. We recognize that the proposal might initially limit the ability of rural hospitals, SCHs, MDHs, and RRCs to be in an Advanced APM for performance year 2. We believe this potential limitation on rural hospitals, SCHs, MDHs, and RRCs is appropriate for the following reasons: (1) Greater risk protections for these hospitals under the CJR model beginning in performance year 2 and subsequent performance years compared to other participant hospitals are necessary, regardless of their implications regarding Advanced APMs based on the nominal risk standard proposed in the Quality Payment Program proposed rule, because these hospitals have unique challenges that do not exist for most other hospitals, such as being the only source of health care services for beneficiaries or certain beneficiaries living in rural areas or being located in </w:t>
      </w:r>
      <w:r>
        <w:rPr>
          <w:rFonts w:ascii="arial" w:eastAsia="arial" w:hAnsi="arial" w:cs="arial"/>
          <w:b/>
          <w:i w:val="0"/>
          <w:strike w:val="0"/>
          <w:noProof w:val="0"/>
          <w:color w:val="000000"/>
          <w:position w:val="0"/>
          <w:sz w:val="20"/>
          <w:u w:val="none"/>
          <w:vertAlign w:val="baseline"/>
        </w:rPr>
        <w:t> [*560] </w:t>
      </w:r>
      <w:r>
        <w:rPr>
          <w:rFonts w:ascii="arial" w:eastAsia="arial" w:hAnsi="arial" w:cs="arial"/>
          <w:b w:val="0"/>
          <w:i w:val="0"/>
          <w:strike w:val="0"/>
          <w:noProof w:val="0"/>
          <w:color w:val="000000"/>
          <w:position w:val="0"/>
          <w:sz w:val="20"/>
          <w:u w:val="none"/>
          <w:vertAlign w:val="baseline"/>
        </w:rPr>
        <w:t xml:space="preserve"> areas with fewer providers, including fewer physicians and post-acute care facilities; and (2) under the CJR risk arrangements, these hospitals would not bear an amount of risk in performance year 2 that we determined to be more than nominal in the Quality Payment Program proposed rule. However, we sought comment on whether we should allow participant hospitals that are rural hospitals, SCHs, MDHs, or RRCs to elect a higher stop-loss limit for performance year 2 where downside risk applies in order to permit these hospitals to be in Track 1 of the CJR model for performance year 2. We noted that by performance year 3, the stop-loss limit for these hospitals with special protections under the CJR model would increase to 5 percent under our proposal, so the hospitals could be in Track 1 based on the nominal risk standard proposed in the Quality Payment Program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addressed in the Quality Payment Program proposed rule, it is necessary for an APM to require the use of CEHRT in order to meet the criteria to be considered to be an Advanced APM. Therefore, according to the requirements proposed in the Quality Payment Program proposed rule, so that the CJR model may meet the proposed criteria to be an Advanced APM, we proposed to require participant hospitals to use CEHRT (as defined in section 1848(o)(4) of the Act) to participate in Track 1 of the CJR model. We proposed that Track 1 participant hospitals must use certified health IT functions, in accordance with the definition of CEHRT under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w:t>
      </w:r>
      <w:hyperlink r:id="rId16" w:history="1">
        <w:r>
          <w:rPr>
            <w:rFonts w:ascii="arial" w:eastAsia="arial" w:hAnsi="arial" w:cs="arial"/>
            <w:b w:val="0"/>
            <w:i/>
            <w:strike w:val="0"/>
            <w:noProof w:val="0"/>
            <w:color w:val="0077CC"/>
            <w:position w:val="0"/>
            <w:sz w:val="20"/>
            <w:u w:val="single"/>
            <w:vertAlign w:val="baseline"/>
          </w:rPr>
          <w:t>42 CFR 414.1305</w:t>
        </w:r>
      </w:hyperlink>
      <w:r>
        <w:rPr>
          <w:rFonts w:ascii="arial" w:eastAsia="arial" w:hAnsi="arial" w:cs="arial"/>
          <w:b w:val="0"/>
          <w:i w:val="0"/>
          <w:strike w:val="0"/>
          <w:noProof w:val="0"/>
          <w:color w:val="000000"/>
          <w:position w:val="0"/>
          <w:sz w:val="20"/>
          <w:u w:val="none"/>
          <w:vertAlign w:val="baseline"/>
        </w:rPr>
        <w:t xml:space="preserve">, to document and communicate clinical care with patients and other health care professionals as proposed in the Quality Payment Program proposed rule </w:t>
      </w:r>
      <w:hyperlink r:id="rId25" w:history="1">
        <w:r>
          <w:rPr>
            <w:rFonts w:ascii="arial" w:eastAsia="arial" w:hAnsi="arial" w:cs="arial"/>
            <w:b w:val="0"/>
            <w:i/>
            <w:strike w:val="0"/>
            <w:noProof w:val="0"/>
            <w:color w:val="0077CC"/>
            <w:position w:val="0"/>
            <w:sz w:val="20"/>
            <w:u w:val="single"/>
            <w:vertAlign w:val="baseline"/>
          </w:rPr>
          <w:t>(81 FR 28299).</w:t>
        </w:r>
      </w:hyperlink>
      <w:r>
        <w:rPr>
          <w:rFonts w:ascii="arial" w:eastAsia="arial" w:hAnsi="arial" w:cs="arial"/>
          <w:b w:val="0"/>
          <w:i w:val="0"/>
          <w:strike w:val="0"/>
          <w:noProof w:val="0"/>
          <w:color w:val="000000"/>
          <w:position w:val="0"/>
          <w:sz w:val="20"/>
          <w:u w:val="none"/>
          <w:vertAlign w:val="baseline"/>
        </w:rPr>
        <w:t xml:space="preserve"> We believe the proposal would allow Track 1 of CJR to be able to meet the proposed criteria to be an Advanced APM.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Without the collection of identifying information on eligible clinicians (physicians, non-physician practitioners, physical and occupational therapists, and qualified speech-language pathologists) who would be considered affiliated practitioners as proposed in the Quality Payment program proposed rule under the CJR model, CMS would not be able to consider participation in the model in making determinations as to whom could be considered a QP </w:t>
      </w:r>
      <w:hyperlink r:id="rId25" w:history="1">
        <w:r>
          <w:rPr>
            <w:rFonts w:ascii="arial" w:eastAsia="arial" w:hAnsi="arial" w:cs="arial"/>
            <w:b w:val="0"/>
            <w:i/>
            <w:strike w:val="0"/>
            <w:noProof w:val="0"/>
            <w:color w:val="0077CC"/>
            <w:position w:val="0"/>
            <w:sz w:val="20"/>
            <w:u w:val="single"/>
            <w:vertAlign w:val="baseline"/>
          </w:rPr>
          <w:t>(81 FR 28320).</w:t>
        </w:r>
      </w:hyperlink>
      <w:r>
        <w:rPr>
          <w:rFonts w:ascii="arial" w:eastAsia="arial" w:hAnsi="arial" w:cs="arial"/>
          <w:b w:val="0"/>
          <w:i w:val="0"/>
          <w:strike w:val="0"/>
          <w:noProof w:val="0"/>
          <w:color w:val="000000"/>
          <w:position w:val="0"/>
          <w:sz w:val="20"/>
          <w:u w:val="none"/>
          <w:vertAlign w:val="baseline"/>
        </w:rPr>
        <w:t xml:space="preserve"> As detailed in the Quality Payment Program proposed rule, these determinations are based on the whether the eligible clinician meets the QP threshold under either the Medicare Option starting in payment year 2019 or the All-Payer Combination Option, which is available starting in payment year 2021 </w:t>
      </w:r>
      <w:hyperlink r:id="rId25" w:history="1">
        <w:r>
          <w:rPr>
            <w:rFonts w:ascii="arial" w:eastAsia="arial" w:hAnsi="arial" w:cs="arial"/>
            <w:b w:val="0"/>
            <w:i/>
            <w:strike w:val="0"/>
            <w:noProof w:val="0"/>
            <w:color w:val="0077CC"/>
            <w:position w:val="0"/>
            <w:sz w:val="20"/>
            <w:u w:val="single"/>
            <w:vertAlign w:val="baseline"/>
          </w:rPr>
          <w:t>(81 FR 28165).</w:t>
        </w:r>
      </w:hyperlink>
      <w:r>
        <w:rPr>
          <w:rFonts w:ascii="arial" w:eastAsia="arial" w:hAnsi="arial" w:cs="arial"/>
          <w:b w:val="0"/>
          <w:i w:val="0"/>
          <w:strike w:val="0"/>
          <w:noProof w:val="0"/>
          <w:color w:val="000000"/>
          <w:position w:val="0"/>
          <w:sz w:val="20"/>
          <w:u w:val="none"/>
          <w:vertAlign w:val="baseline"/>
        </w:rPr>
        <w:t xml:space="preserve"> Thus, we made proposals in subsequent sections to specifically address these issues that might otherwise preclude the CJR model from being considered an Advanced APM, or prevent us from operationalizing it as an Advanced APM. Based on the proposals for Advanced APM criteria in the Quality Payment Program proposed rule, we sought to align the design of the CJR model with the proposed Advanced APM criteria and enable CMS to have the necessary information on eligible clinicians to make the requisite QP determinations.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proposals for Advanced APM criteria in the Quality Payment Program proposed rule </w:t>
      </w:r>
      <w:r>
        <w:rPr>
          <w:rFonts w:ascii="arial" w:eastAsia="arial" w:hAnsi="arial" w:cs="arial"/>
          <w:b w:val="0"/>
          <w:i/>
          <w:strike w:val="0"/>
          <w:noProof w:val="0"/>
          <w:color w:val="000000"/>
          <w:position w:val="0"/>
          <w:sz w:val="20"/>
          <w:u w:val="none"/>
          <w:vertAlign w:val="baseline"/>
        </w:rPr>
        <w:t>(81 FR 28161),</w:t>
      </w:r>
      <w:r>
        <w:rPr>
          <w:rFonts w:ascii="arial" w:eastAsia="arial" w:hAnsi="arial" w:cs="arial"/>
          <w:b w:val="0"/>
          <w:i w:val="0"/>
          <w:strike w:val="0"/>
          <w:noProof w:val="0"/>
          <w:color w:val="000000"/>
          <w:position w:val="0"/>
          <w:sz w:val="20"/>
          <w:u w:val="none"/>
          <w:vertAlign w:val="baseline"/>
        </w:rPr>
        <w:t xml:space="preserve"> we sought to align the design of the CJR model Advanced APM track with the proposed Advanced APM criteria and enable CMS to have the necessary information on Eligible Clinicians to make the requisite QP determinations. As detailed in the Quality Payment Program final rule with comment period, QP determinations are based on whether the Eligible Clinician meets the QP threshold under either the Medicare Option starting in payment year 2019 or the All-Payer Combination Option, which is available starting in payment year 2021 </w:t>
      </w:r>
      <w:hyperlink r:id="rId15" w:history="1">
        <w:r>
          <w:rPr>
            <w:rFonts w:ascii="arial" w:eastAsia="arial" w:hAnsi="arial" w:cs="arial"/>
            <w:b w:val="0"/>
            <w:i/>
            <w:strike w:val="0"/>
            <w:noProof w:val="0"/>
            <w:color w:val="0077CC"/>
            <w:position w:val="0"/>
            <w:sz w:val="20"/>
            <w:u w:val="single"/>
            <w:vertAlign w:val="baseline"/>
          </w:rPr>
          <w:t>(81 FR 77013).</w:t>
        </w:r>
      </w:hyperlink>
      <w:r>
        <w:rPr>
          <w:rFonts w:ascii="arial" w:eastAsia="arial" w:hAnsi="arial" w:cs="arial"/>
          <w:b w:val="0"/>
          <w:i w:val="0"/>
          <w:strike w:val="0"/>
          <w:noProof w:val="0"/>
          <w:color w:val="000000"/>
          <w:position w:val="0"/>
          <w:sz w:val="20"/>
          <w:u w:val="none"/>
          <w:vertAlign w:val="baseline"/>
        </w:rPr>
        <w:t xml:space="preserve"> The three criteria for an Advanced APM were finalized in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77008),</w:t>
        </w:r>
      </w:hyperlink>
      <w:r>
        <w:rPr>
          <w:rFonts w:ascii="arial" w:eastAsia="arial" w:hAnsi="arial" w:cs="arial"/>
          <w:b w:val="0"/>
          <w:i w:val="0"/>
          <w:strike w:val="0"/>
          <w:noProof w:val="0"/>
          <w:color w:val="000000"/>
          <w:position w:val="0"/>
          <w:sz w:val="20"/>
          <w:u w:val="none"/>
          <w:vertAlign w:val="baseline"/>
        </w:rPr>
        <w:t xml:space="preserve"> and we continue to align the design of the CJR model Advanced APM track with the finalized Advanced APM criteria so that the CJR track that meets such criteria may be an Advanced APM. To be determined to be an Advanced APM, an APM must meet three Advanced APM criteria identified in § 414.1415 and discussed specifically later in this section.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the APM must require participants to use CEHRT (as defined in section 1848(o)(4) of the Act), as specified in section 1833(z)(3)(D)(i)(I) of the Act, to document and communicate clinical care with patients and other health care professionals </w:t>
      </w:r>
      <w:hyperlink r:id="rId15" w:history="1">
        <w:r>
          <w:rPr>
            <w:rFonts w:ascii="arial" w:eastAsia="arial" w:hAnsi="arial" w:cs="arial"/>
            <w:b w:val="0"/>
            <w:i/>
            <w:strike w:val="0"/>
            <w:noProof w:val="0"/>
            <w:color w:val="0077CC"/>
            <w:position w:val="0"/>
            <w:sz w:val="20"/>
            <w:u w:val="single"/>
            <w:vertAlign w:val="baseline"/>
          </w:rPr>
          <w:t>(81 FR 77406).</w:t>
        </w:r>
      </w:hyperlink>
      <w:r>
        <w:rPr>
          <w:rFonts w:ascii="arial" w:eastAsia="arial" w:hAnsi="arial" w:cs="arial"/>
          <w:b w:val="0"/>
          <w:i w:val="0"/>
          <w:strike w:val="0"/>
          <w:noProof w:val="0"/>
          <w:color w:val="000000"/>
          <w:position w:val="0"/>
          <w:sz w:val="20"/>
          <w:u w:val="none"/>
          <w:vertAlign w:val="baseline"/>
        </w:rPr>
        <w:t xml:space="preserve"> Specifically, where the APM participants are hospitals, the APM must require each hospital to use CEHRT. As addressed in the Quality Payment Program final rule with comment period, it is necessary for an APM to require the use of CEHRT in order to meet the criteria to be considered to be an Advanced APM. Therefore, according to the requirements now finalized in the Quality Payment Program final rule with comment period, so that a track of the CJR model may meet the finalized criteria to be an Advanced APM, we proposed that those CJR participant hospitals who choose to participate in Track 1 of the CJR model must use certified health IT functions, in accordance with the definition of CEHRT under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w:t>
      </w:r>
      <w:hyperlink r:id="rId16" w:history="1">
        <w:r>
          <w:rPr>
            <w:rFonts w:ascii="arial" w:eastAsia="arial" w:hAnsi="arial" w:cs="arial"/>
            <w:b w:val="0"/>
            <w:i/>
            <w:strike w:val="0"/>
            <w:noProof w:val="0"/>
            <w:color w:val="0077CC"/>
            <w:position w:val="0"/>
            <w:sz w:val="20"/>
            <w:u w:val="single"/>
            <w:vertAlign w:val="baseline"/>
          </w:rPr>
          <w:t>42 CFR 414.1305</w:t>
        </w:r>
      </w:hyperlink>
      <w:r>
        <w:rPr>
          <w:rFonts w:ascii="arial" w:eastAsia="arial" w:hAnsi="arial" w:cs="arial"/>
          <w:b w:val="0"/>
          <w:i w:val="0"/>
          <w:strike w:val="0"/>
          <w:noProof w:val="0"/>
          <w:color w:val="000000"/>
          <w:position w:val="0"/>
          <w:sz w:val="20"/>
          <w:u w:val="none"/>
          <w:vertAlign w:val="baseline"/>
        </w:rPr>
        <w:t>, to document and communicate clinical care with patients and other health care professionals. We believe that this proposal set forth in the EPM proposed rule would allow CJR participant hospitals who use and attest to use of CEHRT to be in an APM that meets the first finalized Advanced APM criterion.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the APM must provide for payment to participants based on quality measures comparable to measures described under the performance category described in section 1848(q)(2)(B)(i) of the Act, which is the MIPS quality performance category. We interpret this criterion to require the APM to incorporate quality measure results as a factor when determining payment to participants under the terms of the APM as described in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77414).</w:t>
        </w:r>
      </w:hyperlink>
      <w:r>
        <w:rPr>
          <w:rFonts w:ascii="arial" w:eastAsia="arial" w:hAnsi="arial" w:cs="arial"/>
          <w:b w:val="0"/>
          <w:i w:val="0"/>
          <w:strike w:val="0"/>
          <w:noProof w:val="0"/>
          <w:color w:val="000000"/>
          <w:position w:val="0"/>
          <w:sz w:val="20"/>
          <w:u w:val="none"/>
          <w:vertAlign w:val="baseline"/>
        </w:rPr>
        <w:t xml:space="preserve"> In order to align the CJR model Advanced APM track with the Quality Payment Program final rule with comment period, the quality measures on which the Advanced APM bases payment to participants must include at least one of the following types of measures, provided that they have an evidence-based focus and are reliable and valid </w:t>
      </w:r>
      <w:hyperlink r:id="rId15" w:history="1">
        <w:r>
          <w:rPr>
            <w:rFonts w:ascii="arial" w:eastAsia="arial" w:hAnsi="arial" w:cs="arial"/>
            <w:b w:val="0"/>
            <w:i/>
            <w:strike w:val="0"/>
            <w:noProof w:val="0"/>
            <w:color w:val="0077CC"/>
            <w:position w:val="0"/>
            <w:sz w:val="20"/>
            <w:u w:val="single"/>
            <w:vertAlign w:val="baseline"/>
          </w:rPr>
          <w:t>(81 FR 77418):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of the quality measures included on the proposed annual list of MIPS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Quality measures that are endorsed by a consensus-based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Quality measures developed under section 1848(s)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Quality measures submitted in response to the MIPS Call for Quality Measures under section 1848(q)(2)(D)(ii)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other quality measures that CMS determines to have an evidence-based focus and be reliable and valid.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discussed in the Quality Payment Program final rule with comment period, because the statute identifies outcome measures as a priority measure type and we want to encourage the use of outcome measures for quality performance assessment in APMs, we further finalized in that rule that, in addition to the general quality measure requirements, an Advanced APM must include at least one outcome measure if an appropriate measure is available on the MIPS list of measures </w:t>
      </w:r>
      <w:r>
        <w:rPr>
          <w:rFonts w:ascii="arial" w:eastAsia="arial" w:hAnsi="arial" w:cs="arial"/>
          <w:b/>
          <w:i w:val="0"/>
          <w:strike w:val="0"/>
          <w:noProof w:val="0"/>
          <w:color w:val="000000"/>
          <w:position w:val="0"/>
          <w:sz w:val="20"/>
          <w:u w:val="none"/>
          <w:vertAlign w:val="baseline"/>
        </w:rPr>
        <w:t> [*561] </w:t>
      </w:r>
      <w:r>
        <w:rPr>
          <w:rFonts w:ascii="arial" w:eastAsia="arial" w:hAnsi="arial" w:cs="arial"/>
          <w:b w:val="0"/>
          <w:i w:val="0"/>
          <w:strike w:val="0"/>
          <w:noProof w:val="0"/>
          <w:color w:val="000000"/>
          <w:position w:val="0"/>
          <w:sz w:val="20"/>
          <w:u w:val="none"/>
          <w:vertAlign w:val="baseline"/>
        </w:rPr>
        <w:t xml:space="preserve"> for that specific QP Performance Period, determined at the time when the APM is first established </w:t>
      </w:r>
      <w:hyperlink r:id="rId15" w:history="1">
        <w:r>
          <w:rPr>
            <w:rFonts w:ascii="arial" w:eastAsia="arial" w:hAnsi="arial" w:cs="arial"/>
            <w:b w:val="0"/>
            <w:i/>
            <w:strike w:val="0"/>
            <w:noProof w:val="0"/>
            <w:color w:val="0077CC"/>
            <w:position w:val="0"/>
            <w:sz w:val="20"/>
            <w:u w:val="single"/>
            <w:vertAlign w:val="baseline"/>
          </w:rPr>
          <w:t>(81 FR 77418).</w:t>
        </w:r>
      </w:hyperlink>
      <w:r>
        <w:rPr>
          <w:rFonts w:ascii="arial" w:eastAsia="arial" w:hAnsi="arial" w:cs="arial"/>
          <w:b w:val="0"/>
          <w:i w:val="0"/>
          <w:strike w:val="0"/>
          <w:noProof w:val="0"/>
          <w:color w:val="000000"/>
          <w:position w:val="0"/>
          <w:sz w:val="20"/>
          <w:u w:val="none"/>
          <w:vertAlign w:val="baseline"/>
        </w:rPr>
        <w:t xml:space="preserve"> Therefore, according to the requirements finalized in the Quality Payment Program final rule with comment period and the quality measures adopted for the CJR model in the CJR Final Rule </w:t>
      </w:r>
      <w:hyperlink r:id="rId21" w:history="1">
        <w:r>
          <w:rPr>
            <w:rFonts w:ascii="arial" w:eastAsia="arial" w:hAnsi="arial" w:cs="arial"/>
            <w:b w:val="0"/>
            <w:i/>
            <w:strike w:val="0"/>
            <w:noProof w:val="0"/>
            <w:color w:val="0077CC"/>
            <w:position w:val="0"/>
            <w:sz w:val="20"/>
            <w:u w:val="single"/>
            <w:vertAlign w:val="baseline"/>
          </w:rPr>
          <w:t>(80 FR 73375),</w:t>
        </w:r>
      </w:hyperlink>
      <w:r>
        <w:rPr>
          <w:rFonts w:ascii="arial" w:eastAsia="arial" w:hAnsi="arial" w:cs="arial"/>
          <w:b w:val="0"/>
          <w:i w:val="0"/>
          <w:strike w:val="0"/>
          <w:noProof w:val="0"/>
          <w:color w:val="000000"/>
          <w:position w:val="0"/>
          <w:sz w:val="20"/>
          <w:u w:val="none"/>
          <w:vertAlign w:val="baseline"/>
        </w:rPr>
        <w:t xml:space="preserve"> the CJR model will meet the second finalized criterion of the Advanced APM criteria.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the Quality Payment Program final rule with comment period requires that for an APM to meet the Advanced APM criteria, the APM must either require that participating APM Entities bear risk for monetary losses of a more than nominal amount under the APM or be a Medical Home Model expanded under section 1115A(c) of the Act. For the purposes of the EPM, the generally applicable nominal amount standard for an Advanced APM in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77425)</w:t>
        </w:r>
      </w:hyperlink>
      <w:r>
        <w:rPr>
          <w:rFonts w:ascii="arial" w:eastAsia="arial" w:hAnsi="arial" w:cs="arial"/>
          <w:b w:val="0"/>
          <w:i w:val="0"/>
          <w:strike w:val="0"/>
          <w:noProof w:val="0"/>
          <w:color w:val="000000"/>
          <w:position w:val="0"/>
          <w:sz w:val="20"/>
          <w:u w:val="none"/>
          <w:vertAlign w:val="baseline"/>
        </w:rPr>
        <w:t xml:space="preserve"> means the total amount an APM Entity potentially owes CMS or foregoes under an APM must be at least equal to 3 percent of the expected expenditures for which an APM Entity is responsible under the APM. The generally applicable financial risk standard </w:t>
      </w:r>
      <w:hyperlink r:id="rId15" w:history="1">
        <w:r>
          <w:rPr>
            <w:rFonts w:ascii="arial" w:eastAsia="arial" w:hAnsi="arial" w:cs="arial"/>
            <w:b w:val="0"/>
            <w:i/>
            <w:strike w:val="0"/>
            <w:noProof w:val="0"/>
            <w:color w:val="0077CC"/>
            <w:position w:val="0"/>
            <w:sz w:val="20"/>
            <w:u w:val="single"/>
            <w:vertAlign w:val="baseline"/>
          </w:rPr>
          <w:t>(81 FR 77422)</w:t>
        </w:r>
      </w:hyperlink>
      <w:r>
        <w:rPr>
          <w:rFonts w:ascii="arial" w:eastAsia="arial" w:hAnsi="arial" w:cs="arial"/>
          <w:b w:val="0"/>
          <w:i w:val="0"/>
          <w:strike w:val="0"/>
          <w:noProof w:val="0"/>
          <w:color w:val="000000"/>
          <w:position w:val="0"/>
          <w:sz w:val="20"/>
          <w:u w:val="none"/>
          <w:vertAlign w:val="baseline"/>
        </w:rPr>
        <w:t xml:space="preserve"> means when an APM Entity's actual expenditures for which the APM Entity is responsible under the APM exceed expected expenditures during a specified QP Performance Period, the APM Entity is required to owe payment(s) to CMS. We refer to the Quality Payment Program final rule with comment period for a discussion regarding why we did not finalize the specific level of marginal risk or minimum loss rate </w:t>
      </w:r>
      <w:hyperlink r:id="rId15" w:history="1">
        <w:r>
          <w:rPr>
            <w:rFonts w:ascii="arial" w:eastAsia="arial" w:hAnsi="arial" w:cs="arial"/>
            <w:b w:val="0"/>
            <w:i/>
            <w:strike w:val="0"/>
            <w:noProof w:val="0"/>
            <w:color w:val="0077CC"/>
            <w:position w:val="0"/>
            <w:sz w:val="20"/>
            <w:u w:val="single"/>
            <w:vertAlign w:val="baseline"/>
          </w:rPr>
          <w:t>(81 FR 77426).</w:t>
        </w:r>
      </w:hyperlink>
      <w:r>
        <w:rPr>
          <w:rFonts w:ascii="arial" w:eastAsia="arial" w:hAnsi="arial" w:cs="arial"/>
          <w:b w:val="0"/>
          <w:i w:val="0"/>
          <w:strike w:val="0"/>
          <w:noProof w:val="0"/>
          <w:color w:val="000000"/>
          <w:position w:val="0"/>
          <w:sz w:val="20"/>
          <w:u w:val="none"/>
          <w:vertAlign w:val="baseline"/>
        </w:rPr>
        <w:t xml:space="preserve"> However, consistent with the commitments we made to adhere to the proposed marginal risk and minimum loss rate requirements in the Quality Payment Program proposed rule, we note that the financial risk in this final rule when the EPMs involve downside risk exceeds the proposed marginal risk and minimum loss rate requirements proposed for the Quality Payment Program. As discussed in section III.C. of the CJR Final Rule </w:t>
      </w:r>
      <w:hyperlink r:id="rId21" w:history="1">
        <w:r>
          <w:rPr>
            <w:rFonts w:ascii="arial" w:eastAsia="arial" w:hAnsi="arial" w:cs="arial"/>
            <w:b w:val="0"/>
            <w:i/>
            <w:strike w:val="0"/>
            <w:noProof w:val="0"/>
            <w:color w:val="0077CC"/>
            <w:position w:val="0"/>
            <w:sz w:val="20"/>
            <w:u w:val="single"/>
            <w:vertAlign w:val="baseline"/>
          </w:rPr>
          <w:t>(80 FR 73324</w:t>
        </w:r>
      </w:hyperlink>
      <w:r>
        <w:rPr>
          <w:rFonts w:ascii="arial" w:eastAsia="arial" w:hAnsi="arial" w:cs="arial"/>
          <w:b w:val="0"/>
          <w:i w:val="0"/>
          <w:strike w:val="0"/>
          <w:noProof w:val="0"/>
          <w:color w:val="000000"/>
          <w:position w:val="0"/>
          <w:sz w:val="20"/>
          <w:u w:val="none"/>
          <w:vertAlign w:val="baseline"/>
        </w:rPr>
        <w:t xml:space="preserve"> through 73358), the final total initial risk of expected expenditures for EPM participants of 5 percent, except for rural hospitals, SCHs, MDHs, and RRCs subject to special protections at 3 percent, beginning in performance year 2 when downside risk first applies to all participants would meet the total potential risk element of the nominal risk amount standard for Advanced APMs finalized in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77427)</w:t>
        </w:r>
      </w:hyperlink>
      <w:r>
        <w:rPr>
          <w:rFonts w:ascii="arial" w:eastAsia="arial" w:hAnsi="arial" w:cs="arial"/>
          <w:b w:val="0"/>
          <w:i w:val="0"/>
          <w:strike w:val="0"/>
          <w:noProof w:val="0"/>
          <w:color w:val="000000"/>
          <w:position w:val="0"/>
          <w:sz w:val="20"/>
          <w:u w:val="none"/>
          <w:vertAlign w:val="baseline"/>
        </w:rPr>
        <w:t xml:space="preserve"> because it is greater than the value of at least 3 percent of expected expenditures. Therefore, according to the requirements finalized in the Quality Payment Program final rule with comment period and the payment methodology for CJR participant hospitals finalized in the CJR Final Rule </w:t>
      </w:r>
      <w:hyperlink r:id="rId21" w:history="1">
        <w:r>
          <w:rPr>
            <w:rFonts w:ascii="arial" w:eastAsia="arial" w:hAnsi="arial" w:cs="arial"/>
            <w:b w:val="0"/>
            <w:i/>
            <w:strike w:val="0"/>
            <w:noProof w:val="0"/>
            <w:color w:val="0077CC"/>
            <w:position w:val="0"/>
            <w:sz w:val="20"/>
            <w:u w:val="single"/>
            <w:vertAlign w:val="baseline"/>
          </w:rPr>
          <w:t>(80 FR 73324</w:t>
        </w:r>
      </w:hyperlink>
      <w:r>
        <w:rPr>
          <w:rFonts w:ascii="arial" w:eastAsia="arial" w:hAnsi="arial" w:cs="arial"/>
          <w:b w:val="0"/>
          <w:i w:val="0"/>
          <w:strike w:val="0"/>
          <w:noProof w:val="0"/>
          <w:color w:val="000000"/>
          <w:position w:val="0"/>
          <w:sz w:val="20"/>
          <w:u w:val="none"/>
          <w:vertAlign w:val="baseline"/>
        </w:rPr>
        <w:t xml:space="preserve"> through 73358), all CJR participant hospitals in performance year 2 will be in an APM that meets the third finalized criterion of the Advanced APM criteria.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finalized in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77442)</w:t>
        </w:r>
      </w:hyperlink>
      <w:r>
        <w:rPr>
          <w:rFonts w:ascii="arial" w:eastAsia="arial" w:hAnsi="arial" w:cs="arial"/>
          <w:b w:val="0"/>
          <w:i w:val="0"/>
          <w:strike w:val="0"/>
          <w:noProof w:val="0"/>
          <w:color w:val="000000"/>
          <w:position w:val="0"/>
          <w:sz w:val="20"/>
          <w:u w:val="none"/>
          <w:vertAlign w:val="baseline"/>
        </w:rPr>
        <w:t xml:space="preserve"> that for Advanced APMs, such as episode payment models, in which there are some Advanced APM Entities that include Eligible Clinicians on a Participation List and other Advanced APM Entities that identify Eligible Clinicians only on an Affiliated Practitioner List, we will identify Eligible Clinicians for QP determinations based on the composition of the Advanced APM Entity. In the scenario that applies to the CJR model, which includes only hospitals as Advanced APM Entities on the Participation List, for those Advanced APM Entities where there is an Affiliated Practitioner List that identifies Eligible Clinicians, that Affiliated Practitioner List will be used to identify the Eligible Clinicians for purposes of QP determinations, and those Eligible Clinicians will be assessed individually. Thus, to operationalize the CJR model as an Advanced APM, our proposal for the CJR model to identify Eligible Clinicians on a clinician financial arrangements list to construct the Affiliated Practitioner list would identify those Eligible Clinicians for purposes of QP determination, consistent with the policies finalized in the Quality Payment Program final rule with comment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CJR Participant Hospital Tracks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 considered an Advanced APM, the APM must require participants to use CEHRT (as defined in section 1848(o)(4) of the Act), as specified in section 1833(z)(3)(D)(i)(I) of the Act. We proposed that all participant hospitals must choose whether to meet the CEHRT use requirement. Participant hospitals that do not meet and attest to the CEHRT use requirement would be in Track 2 of the CJR model. Participant hospitals selecting to meet the CEHRT use requirement would be in Track 1 of the CJR model and would be required to attest in a form and manner specified by CMS to their use of CEHRT that meets the definition in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section 414.1305 to document and communicate clinical care with patients and other health professionals, consistent with the proposal in the Quality Payment Program proposed rule for the CEHRT requirement for Advanced APMs </w:t>
      </w:r>
      <w:hyperlink r:id="rId25" w:history="1">
        <w:r>
          <w:rPr>
            <w:rFonts w:ascii="arial" w:eastAsia="arial" w:hAnsi="arial" w:cs="arial"/>
            <w:b w:val="0"/>
            <w:i/>
            <w:strike w:val="0"/>
            <w:noProof w:val="0"/>
            <w:color w:val="0077CC"/>
            <w:position w:val="0"/>
            <w:sz w:val="20"/>
            <w:u w:val="single"/>
            <w:vertAlign w:val="baseline"/>
          </w:rPr>
          <w:t>(81 FR 28299).</w:t>
        </w:r>
      </w:hyperlink>
      <w:r>
        <w:rPr>
          <w:rFonts w:ascii="arial" w:eastAsia="arial" w:hAnsi="arial" w:cs="arial"/>
          <w:b w:val="0"/>
          <w:i w:val="0"/>
          <w:strike w:val="0"/>
          <w:noProof w:val="0"/>
          <w:color w:val="000000"/>
          <w:position w:val="0"/>
          <w:sz w:val="20"/>
          <w:u w:val="none"/>
          <w:vertAlign w:val="baseline"/>
        </w:rPr>
        <w:t xml:space="preserve"> Participant hospitals choosing not to meet and attest to the CEHRT use requirement would not be required to submit an attestation.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 selection by the participant hospital to meet and attest to the CEHRT use requirement would create no significant additional administrative burden on participant hospitals. Moreover, the choice of whether to meet and attest to the CEHRT use requirement would not otherwise change any participant hospital's requirements or opportunity under the CJR model. However, to the extent the eligible clinicians who enter into financial arrangements related to Track 1 CJR participant hospitals are considered to furnish services through an Advanced APM, those services could be considered for purposes of determining whether the eligible clinicians are QPs.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CEHRT use and attestation for participant hospitals are included in § 510.120(a). We sought comment on our proposals for CJR tracks and participant hospital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a number of comments on our proposals in this section that applied to both the EPMs and the CJR model, and no comments unique to the CJR model. We refer to sections III.A.2.a. and b. of this final rule for a summary of the comments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 modification to use the term "specified" for consistency with CEHRT attestation in other CMS programs, to include in § 510.120(a) the CEHRT use and attestation for CJR participant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performance year 2 through 5, CJR participant hospitals choose either of the following:</w:t>
      </w:r>
    </w:p>
    <w:p>
      <w:pPr>
        <w:keepNext w:val="0"/>
        <w:numPr>
          <w:numId w:val="8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CEHRT use. Participant hospitals attest in a form and manner specified by CMS to their use of CEHRT as defined in § 414.1305 of this chapter to document and communicate clinical care with patients and other health professionals.</w:t>
      </w:r>
    </w:p>
    <w:p>
      <w:pPr>
        <w:keepNext w:val="0"/>
        <w:numPr>
          <w:numId w:val="8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No CEHRT use. Participant hospitals do not attest in a form and manner specified by CMS to their use of CEHRT as defined in § 414.1305 of this chapter to document and communicate clinical care with patients and other health professionals. </w:t>
      </w:r>
      <w:r>
        <w:rPr>
          <w:rFonts w:ascii="arial" w:eastAsia="arial" w:hAnsi="arial" w:cs="arial"/>
          <w:b/>
          <w:i w:val="0"/>
          <w:strike w:val="0"/>
          <w:noProof w:val="0"/>
          <w:color w:val="000000"/>
          <w:position w:val="0"/>
          <w:sz w:val="20"/>
          <w:u w:val="none"/>
          <w:vertAlign w:val="baseline"/>
        </w:rPr>
        <w:t> [*562]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Clinician Financial Arrangements Lists Under the CJR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for CMS to make determinations as to eligible clinicians who could be considered QPs based on services furnished under the CJR model (to the extent the model is determined to be an Advanced APM), we require accurate information about eligible clinicians who enter into financial arrangements under Track 1 of CJR under which the Affiliated Practitioners support the participant hospitals' cost or quality goals as discussed in section V.J. of this final rule. We note that eligible clinicians could be CJR collaborators engaged in sharing arrangements with a CJR participant hospital; PGP members who are collaboration agents engaged in distribution arrangements with a PGP that is a CJR collaborator; or PGP members who are downstream collaboration agents engaged in downstream distribution arrangements with a PGP that is also an ACO participant in an ACO that is a CJR collaborator. These terms as they apply to individuals and entities with financial arrangements under CJR are discussed in section V.J. of this final rule. A list of physicians and nonphysician practitioners in one of these three types of arrangements could be considered an Affiliated Practitioner List of eligible clinicians who are affiliated with and support the Advanced APM Entity in its participation in the Advanced APM as proposed in the Quality Payment Program proposed rule. Therefore, this list could be used to make determinations of who would be considered for a QP determination based on services furnished under the CJR model </w:t>
      </w:r>
      <w:hyperlink r:id="rId25" w:history="1">
        <w:r>
          <w:rPr>
            <w:rFonts w:ascii="arial" w:eastAsia="arial" w:hAnsi="arial" w:cs="arial"/>
            <w:b w:val="0"/>
            <w:i/>
            <w:strike w:val="0"/>
            <w:noProof w:val="0"/>
            <w:color w:val="0077CC"/>
            <w:position w:val="0"/>
            <w:sz w:val="20"/>
            <w:u w:val="single"/>
            <w:vertAlign w:val="baseline"/>
          </w:rPr>
          <w:t>(81 FR 28320).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we proposed that each participant hospital that chooses to meet and attest to the CEHRT use requirement must submit to CMS a clinician financial arrangements list in a form and manner specified by CMS on a no more than quarterly basis. The list must include the following information for the period of the CJR performance year specified by CMS:</w:t>
      </w:r>
    </w:p>
    <w:p>
      <w:pPr>
        <w:keepNext w:val="0"/>
        <w:numPr>
          <w:numId w:val="8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CJR collaborator who is a physician, nonphysician practitioner, or provider of outpatient therapy services during the period of the CJR performance year specified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name, tax identification number (TIN), and national provider identifier (NPI) of the CJR collaborator;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start date and, if applicable, end date, for the sharing arrangement between the CJR participant hospital and the CJR collaborator.</w:t>
      </w:r>
    </w:p>
    <w:p>
      <w:pPr>
        <w:keepNext w:val="0"/>
        <w:numPr>
          <w:numId w:val="8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collaboration agent who is a physician or nonphysician practitioner of a PGP that is a CJR collaborator during the period of the CJR performance year specified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TIN of the PGP that is the CJR collaborator, and the name and NPI of the physician or nonphysician practitioner;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start date and, if applicable, end date, for the distribution arrangement between the CJR collaborator that is a PGP and the physician or nonphysician practitioner who is a PGP member.</w:t>
      </w:r>
    </w:p>
    <w:p>
      <w:pPr>
        <w:keepNext w:val="0"/>
        <w:numPr>
          <w:numId w:val="8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downstream collaboration agent who is a physician or nonphysician practitioner member of a PGP that is also an ACO participant in an ACO that is a CJR collaborator during the period of the CJR performance year specified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TIN of the PGP that is the ACO participant, and the name and NPI of the physician or nonphysician practitioner;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start date and, if applicable, end date, for the downstream distribution arrangement between the collaboration agent that is both PGP and an ACO participant and the physician or nonphysician practitioner who is a PGP member.</w:t>
      </w:r>
    </w:p>
    <w:p>
      <w:pPr>
        <w:keepNext w:val="0"/>
        <w:numPr>
          <w:numId w:val="8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there are no individuals that meet the requirements to be reported as CJR collaborators, collaboration agents, or downstream collaboration agents, the participant hospital must attest in a form and manner required by CMS that there are no individuals to report on the clinician financial arrangements list.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Quality Payment program proposed rule, those physicians or nonphysician practitioners who are included on the Affiliated Practitioner List as of December 31 of a performance period would be assessed to determine whether they qualify for APM Incentive Payments </w:t>
      </w:r>
      <w:hyperlink r:id="rId25" w:history="1">
        <w:r>
          <w:rPr>
            <w:rFonts w:ascii="arial" w:eastAsia="arial" w:hAnsi="arial" w:cs="arial"/>
            <w:b w:val="0"/>
            <w:i/>
            <w:strike w:val="0"/>
            <w:noProof w:val="0"/>
            <w:color w:val="0077CC"/>
            <w:position w:val="0"/>
            <w:sz w:val="20"/>
            <w:u w:val="single"/>
            <w:vertAlign w:val="baseline"/>
          </w:rPr>
          <w:t>(81 FR 28320).</w:t>
        </w:r>
      </w:hyperlink>
      <w:r>
        <w:rPr>
          <w:rFonts w:ascii="arial" w:eastAsia="arial" w:hAnsi="arial" w:cs="arial"/>
          <w:b w:val="0"/>
          <w:i w:val="0"/>
          <w:strike w:val="0"/>
          <w:noProof w:val="0"/>
          <w:color w:val="000000"/>
          <w:position w:val="0"/>
          <w:sz w:val="20"/>
          <w:u w:val="none"/>
          <w:vertAlign w:val="baseline"/>
        </w:rPr>
        <w:t xml:space="preserve"> The Quality Payment Program final rule with comment period </w:t>
      </w:r>
      <w:hyperlink r:id="rId15" w:history="1">
        <w:r>
          <w:rPr>
            <w:rFonts w:ascii="arial" w:eastAsia="arial" w:hAnsi="arial" w:cs="arial"/>
            <w:b w:val="0"/>
            <w:i/>
            <w:strike w:val="0"/>
            <w:noProof w:val="0"/>
            <w:color w:val="0077CC"/>
            <w:position w:val="0"/>
            <w:sz w:val="20"/>
            <w:u w:val="single"/>
            <w:vertAlign w:val="baseline"/>
          </w:rPr>
          <w:t>(81 FR 77444)</w:t>
        </w:r>
      </w:hyperlink>
      <w:r>
        <w:rPr>
          <w:rFonts w:ascii="arial" w:eastAsia="arial" w:hAnsi="arial" w:cs="arial"/>
          <w:b w:val="0"/>
          <w:i w:val="0"/>
          <w:strike w:val="0"/>
          <w:noProof w:val="0"/>
          <w:color w:val="000000"/>
          <w:position w:val="0"/>
          <w:sz w:val="20"/>
          <w:u w:val="none"/>
          <w:vertAlign w:val="baseline"/>
        </w:rPr>
        <w:t xml:space="preserve"> modified this process to identify eligible clinicians on the Affiliated Practitioner List for QP determinations at any one of three snapshots. The first snapshot will be on March 31 of the QP Performance Period, the second snapshot will be on June 30 of the QP Performance Period, and the third snapshot will be on August 31, which will be the last day of the QP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submission of this required information may create some additional administrative requirements for certain participant hospitals, we expect that Track 1 participant hospitals could modify their contractual relationships with their CJR collaborators and, correspondingly, require those collaborators to include similar requirements in their contracts with collaboration agents and in the contracts of collaboration agents with downstream collaboration agents.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the submission of a clinician financial arrangements list by participant hospitals that meet and attest to the CEHRT use requirements for the CJR model is included in § 510.120(b). We sought comments on the proposal for submission of this information. We noted that we were especially interested in comments about approaches to information submission, including the periodicity and method of submission to CMS that would minimize the reporting burden on participant hospitals while providing CMS with sufficient information about eligible clinicians in order to facilitate QP determinations to the extent the CJR model is considered to be an Advanced APM.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a number of comments on our proposals in this section that applied to both the EPMs and the CJR model and no comments unique to the CJR model. We refer to section III.A.2.c. of this final rule for a summary of the comments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in § 510.120(b), with modification to include on the clinician financial arrangements list all individuals with financial arrangements under the CJR model in 2017 through June 30, 2017 under the existing definitions and provisions of Part 510 and from July 1, 2017 and thereafter under the provisions effective July 1, 2017 as finalized in section V.J. of this final rule, and for CJR participant hospitals that meet and attest to the CEHRT use requirement to also submit on a no more than quarterly basis a clinician financial arrangements list. While we are finalizing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generally as proposed, effective with the effective date of this final rule, we are delaying until July 1, 2017 the effective date of certain provisions that refer to individuals with financial arrangements for which the financial arrangements provisions take effect July 1, 2017. The implementation of the reporting requirements for the clinician financial arrangements list in two stages in 2017 will ensure that all physicians, nonphysician practitioners, and therapists with financial arrangements in association with CJR hospital participants that attest to CEHRT use can be reported on the clinician financial arrangements lists during the snapshots in 2017 for the Quality Payment Program, regardless of the </w:t>
      </w:r>
      <w:r>
        <w:rPr>
          <w:rFonts w:ascii="arial" w:eastAsia="arial" w:hAnsi="arial" w:cs="arial"/>
          <w:b/>
          <w:i w:val="0"/>
          <w:strike w:val="0"/>
          <w:noProof w:val="0"/>
          <w:color w:val="000000"/>
          <w:position w:val="0"/>
          <w:sz w:val="20"/>
          <w:u w:val="none"/>
          <w:vertAlign w:val="baseline"/>
        </w:rPr>
        <w:t> [*563] </w:t>
      </w:r>
      <w:r>
        <w:rPr>
          <w:rFonts w:ascii="arial" w:eastAsia="arial" w:hAnsi="arial" w:cs="arial"/>
          <w:b w:val="0"/>
          <w:i w:val="0"/>
          <w:strike w:val="0"/>
          <w:noProof w:val="0"/>
          <w:color w:val="000000"/>
          <w:position w:val="0"/>
          <w:sz w:val="20"/>
          <w:u w:val="none"/>
          <w:vertAlign w:val="baseline"/>
        </w:rPr>
        <w:t xml:space="preserve"> changes to the definitions and types of collaborators under the CJR model effective July 1,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with the effective date of this final rule, each participant hospital that chooses CEHRT use must submit to CMS a clinician financial arrangements list in a form and manner specified by CMS on a no more than quarterly basis. The list must include the following information on individuals and entities for the period of the CJR performance year specified by CMS:</w:t>
      </w:r>
    </w:p>
    <w:p>
      <w:pPr>
        <w:keepNext w:val="0"/>
        <w:numPr>
          <w:numId w:val="8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CJR collaborators. For each CJR collaborator who is a physician, nonphysician practitioner, or therapist in private practice during the period of the CJR performance year specified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name, TIN, and NPI of the CJR collaborator.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start date and, if applicable, end date, for the sharing arrangement between the CJR participant hospital and the CJR collaborator.</w:t>
      </w:r>
    </w:p>
    <w:p>
      <w:pPr>
        <w:keepNext w:val="0"/>
        <w:numPr>
          <w:numId w:val="8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Practice collaboration agents. For each physician, nonphysician practitioner, or therapist who is a CJR practice collaboration agent during the period of the CJR performance year specified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name and TIN of the CJR collaborator and the name, TIN, and NPI of the practice collaboration agent.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start date and, if applicable, end date, for the distribution arrangement between the CJR collaborator and the practice collaboration agent.</w:t>
      </w:r>
    </w:p>
    <w:p>
      <w:pPr>
        <w:keepNext w:val="0"/>
        <w:numPr>
          <w:numId w:val="8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Attestation to no individuals. If there are no individuals that meet the requirements to be reported, the participant hospital must attest in a form and manner required by CMS that there are no individuals to report on the clinician financial arrangements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July 1, 2017, the provisions for practice collaboration agents on the clinician financial arrangements list will be revised to use the term collaboration agent instead, stating:</w:t>
      </w:r>
    </w:p>
    <w:p>
      <w:pPr>
        <w:keepNext w:val="0"/>
        <w:numPr>
          <w:numId w:val="8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Collaboration agents. For each physician, nonphysician practitioner, or therapist who is a collaboration agent during the period of the CJR performance year specified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name and TIN of the CJR collaborator and the name, TIN, and NPI of the collaboration agent.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start date and, if applicable, end date, for the distribution arrangement between the CJR collaborator and the collaboration agent.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July 1, 2017, new provisions for downstream collaboration agents on the clinician financial arrangements list will be added, stating:</w:t>
      </w:r>
    </w:p>
    <w:p>
      <w:pPr>
        <w:keepNext w:val="0"/>
        <w:numPr>
          <w:numId w:val="8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Downstream collaboration agents. For each physician, nonphysician practitioner, or therapist who is a downstream collaboration agent during the period of the CJR performance year specified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name and TIN of the CJR collaborator and the name and TIN of the collaboration agent and the name, TIN, and NPI of the downstream collaboration agent.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start date and, if applicable, end date, for the downstream distribution arrangement between the collaboration agent and the downstream collaboration agent.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Documentation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each participant hospital that chooses to meet and attest to CEHRT use, we proposed that the participant hospital must maintain documentation of its attestation to CEHRT use and clinician financial arrangements lists submitted to CMS. These documents would be necessary to assess the completeness and accuracy of materials submitted by a participant hospital in Track 1 of CJR and to facilitate monitoring and audits. For the same reason, we further proposed that the participant hospital must retain and provide access to the required documentation in accordance with § 510.110.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documentation of attestation to CEHRT use and clinician financial arrangements lists submitted to CMS is included in § 510.120(c). We sought comment on this proposal for required documentation.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did not receive comments pertaining to § 510.120(c). Therefore, we are finalizing the proposal for CJR participant hospital documentation of attestation to CEHRT use and clinician financial arrangements lists submitted to CMS, with modification to implement the documentation provisions in two stages.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documentation requirements apply to CJR participant hospitals choosing CEHRT use. We note that while the requirement for CJR participant hospitals to maintain documentation of attestation to CEHRT use and clinician financial arrangements lists will be effective on the effective date of this final rule, the effective date of the provision for retention and the provision of access to the required documentation will delayed until July 1, 2017 to correspond to the similar delay in the effective date of § 510.110 to July 1, 2017, for reasons described elsewhere in this final rule.</w:t>
      </w:r>
    </w:p>
    <w:p>
      <w:pPr>
        <w:keepNext w:val="0"/>
        <w:numPr>
          <w:numId w:val="8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participant hospital that chooses CEHRT use must maintain documentation of their attestation to CEHRT use and clinician financial arrangements lists.</w:t>
      </w:r>
    </w:p>
    <w:p>
      <w:pPr>
        <w:keepNext w:val="0"/>
        <w:numPr>
          <w:numId w:val="8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retain and provide access to the required documentation in accordance with § 510.110.</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Cardiac Rehabilitation Incentive Payment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patients with coronary and other atherosclerotic vascular disease, the American Heart Association and the American College of Cardiology Foundation's 2011 practice guideline for secondary prevention and risk reduction therapy specifically highlights health care treatment strategies following AMI or CABG. n137 These strategies include smoking cessation, close monitoring of blood pressure and cholesterol, and the use of certain medications.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n137 Smith SC et al. AHA/ACCF secondary prevention and risk reduction therapy for patients with coronary and other atherosclerotic vascular disease: 2011 update: A guideline from the American Heart Association and American College of Cardiology Foundation endorsed by the World Heart Federation and the Preventive Cardiovascular Nurses Association. J Am Coll Cardiol. 2011;58(23):2432-2446.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medical literature further indicates that cardiac rehabilitation (CR) and intensive cardiac rehabilitation (ICR) services, which incorporate the strategies discussed previously, are capable of achieving significant improvements in long-term patient outcomes. A January 2016 Cochrane Database of Systematic Reviews article reviewed 63 trials randomizing almost 15,000 patients and found that in long-term follow up (median 12 months), exercise-based CR services reduced cardiovascular mortality (but not total mortality), improved health-related quality of life, and reduced the risk of hospital admission. n138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n138 Anderson L et al. Exercise-based cardiac rehabilitation for coronary heart disease. Cochrane Database Syst Rev. 2016 Jan 5;1:CD001800.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evidence from multiple studies that CR services improve health outcomes, the literature also indicates that these services are underutilized, estimating that only about 35 percent of AMI patients receive this indicated treatment. n139 Recent analysis confirms a similar pattern of underutilization for Medicare beneficiaries who are eligible for and could benefit from CR. This pattern is virtually unchanged over the past 2 decades, despite clinical practice guidelines for CR that were published in 1995 and subsequently endorsed by a number of professional associations and </w:t>
      </w:r>
      <w:r>
        <w:rPr>
          <w:rFonts w:ascii="arial" w:eastAsia="arial" w:hAnsi="arial" w:cs="arial"/>
          <w:b/>
          <w:i w:val="0"/>
          <w:strike w:val="0"/>
          <w:noProof w:val="0"/>
          <w:color w:val="000000"/>
          <w:position w:val="0"/>
          <w:sz w:val="20"/>
          <w:u w:val="none"/>
          <w:vertAlign w:val="baseline"/>
        </w:rPr>
        <w:t> [*564] </w:t>
      </w:r>
      <w:r>
        <w:rPr>
          <w:rFonts w:ascii="arial" w:eastAsia="arial" w:hAnsi="arial" w:cs="arial"/>
          <w:b w:val="0"/>
          <w:i w:val="0"/>
          <w:strike w:val="0"/>
          <w:noProof w:val="0"/>
          <w:color w:val="000000"/>
          <w:position w:val="0"/>
          <w:sz w:val="20"/>
          <w:u w:val="none"/>
          <w:vertAlign w:val="baseline"/>
        </w:rPr>
        <w:t xml:space="preserve"> CMS. n140 n141 n142 Among beneficiaries hospitalized with a diagnosis of AMI in 2013, only about 15 percent had at least one claim for CR services, and of those who received CR services, slightly more than half received 25 or more CR sessions. Among beneficiaries hospitalized with an ICD-9-CM procedure code for percutaneous transluminal coronary angioplasty or coronary stenting in 2013, the findings on CR use were similar to those for AMI beneficiaries, with only about 23 percent having at least one claim for CR services, and of those who received CR services, slightly more than half received 25 or more CR sessions. Finally, among beneficiaries hospitalized in 2013 with ICD-9-CM procedure codes for coronary artery bypass surgery, about 45 percent had at least one claim for CR services, and slightly over 60 percent of those beneficiaries received 25 CR sessions or more, indicating slightly higher rates for utilization for these beneficiaries. n143 Barriers to CR utilization include low beneficiary referral rates (particularly of women, older adults, and ethnic minorities); lack of strong physician endorsement of CR to their patients; lack of awareness of CR; the financial burden on beneficiaries due to coinsurance and lost work; lack of accessibility of CR program sites; the Medicare requirement for physician supervision of CR; and inadequate insurance payment. n144 n145 n146 n147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n139 Receipt of outpatient cardiac rehabilitation among heart attack survivors--United States, 2005. MMWR Morbidity and mortality weekly report. 2008 Feb 1;57(4):89-94.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n140 Suaya, J.A., Shepard, D.S., Normand, S.L., Ades, P.A., Prottas, J., Stason, W.B.. Use of cardiac rehabilitation by Medicare beneficiaries after myocardial infarction or coronary bypass surgery. Circulation. 2007;116:1653-1662.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n141 Wenger, N., Froelicher, E., Smith, L., Wenger, N., Froelicher, E., Smith, L., Ades, P., Berra, K., Blumenthal, J., Certo, C., Dattilo, A., Davis, D., DeBusk, R., Drozda, J., Fletcher, B., Franklin, B., Gaston, H., Greenland, P., McBride, P., McGregor, C., Oldridge, N., Piscatella, J., Rogers, F. Cardiac Rehabilitation as Secondary Prevention: Clinical Practice Guideline, No. 17. Rockville, Md: U.S. Dept of Health and Human Services, Public Health Service, Agency for Health Care Policy and Research and National Heart, Lung, and Blood Institute; 1995. Publication AHCPR 96-0673.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n142 Centers for Medicare and Medicaid Services (CMS). Cardiac rehabilitation programs. In: Medicare National Coverage Determinations Manual, chapter 1, part 1, section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n143 Medicare Part A and B claims from 2013 through 12 month follow-up, Chronic Conditions Warehouse.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n144 Balady, G.J., Ades, P.A., Bittner, V.A., et al; Referral, enrollment, and delivery of cardiac rehabilitation/secondary prevention programs at clinical centers and beyond: A presidential advisory from the American Heart Association. Circulation. 2011;124: 2951-2960.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n145 Suaya, J.A., Shepard, D.S., Normand, S.L., Ades, P.A., Prottas, J., Stason, W.B. Use of cardiac rehabilitation by Medicare beneficiaries after myocardial infarction or coronary bypass surgery. Circulation. 2007;116:1653-1662.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n146 Wenger, N.K. Current State of Cardiac Rehabilitation. J Am Coll Cardiol 2008;51:1619-31.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n147 Arena, R., et al. Increasing Referral and Participation Rates to Outpatient Cardiac Rehabilitation: The Valuable Role of Healthcare Professionals in the Inpatient and Home Health Settings. AHA Scientific Advisory. 2012;125:1321-1329.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beneficiaries with CAD often receive care in many different settings from multiple providers and suppliers over the long-term and subsequently commonly experience care that is fragmented and uncoordinated. For example, inpatient hospitals, physicians, and CR programs currently are paid separately for the services they provide, with limited financial incentives for providing care management and preventive services, limiting overuse of tests and procedures, and coordinating across care settings. Lack of coordination, of both care and financial incentives, across the continuum of CAD care, results in higher than necessary rates of adverse drug events, hospital readmissions, diagnostic errors, and other adverse outcomes, as well as lower than appropriate utilization of evidence-based treatments.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Medicare Part B generally covers CR/ICR services for all Medicare beneficiaries who are referred by their physician after having an AMI or CABG. n148 As specified in section 1861(eee) of the Act, CR/ICR programs must include all of the following: (1) Physician-prescribed exercise; (2) cardiac risk factor modification, including education, counseling, and behavioral intervention, tailored to the patient's individual needs; (3) psychosocial assessment; (4) outcomes assessment; and (5) an individualized treatment plan established, reviewed, and signed by a physician every 30 days that details how components are utilized for each patient. The CR/ICR services must be provided in a physician's office or a hospital outpatient setting, and a physician must be immediately available and accessible to furnish assistance and direction at all times when cardiac rehabilitation services are being furnished under the program. n149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n148 </w:t>
      </w:r>
      <w:hyperlink r:id="rId133" w:history="1">
        <w:r>
          <w:rPr>
            <w:rFonts w:ascii="arial" w:eastAsia="arial" w:hAnsi="arial" w:cs="arial"/>
            <w:b w:val="0"/>
            <w:i/>
            <w:strike w:val="0"/>
            <w:noProof w:val="0"/>
            <w:color w:val="0077CC"/>
            <w:position w:val="0"/>
            <w:sz w:val="20"/>
            <w:u w:val="single"/>
            <w:vertAlign w:val="baseline"/>
          </w:rPr>
          <w:t>https://www.medicare.gov/coverage/cardiac-rehab-programs.html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n149 Section 1861(eee)(1)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CR program sessions are limited to a maximum of 2 one-hour sessions per day for up to 36 sessions over up to 36 weeks with the option for an additional 36 sessions over an extended period of time if approved by the Medicare Administrative Contractor under section 1862(a)(1)(A) of the Act. n150 ICR program sessions are limited to 72 one-hour sessions, up to 6 sessions per day, over a period of up to 18 weeks. n151 To be approved as an ICR program, a program must demonstrate through peer-reviewed published research that it has accomplished at least one of the following: (1) Positively affecting the progression of coronary heart disease; (2) reducing the need for coronary bypass surgery; or (3) reducing the need for PCI. n152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n150 </w:t>
      </w:r>
      <w:hyperlink r:id="rId134" w:history="1">
        <w:r>
          <w:rPr>
            <w:rFonts w:ascii="arial" w:eastAsia="arial" w:hAnsi="arial" w:cs="arial"/>
            <w:b w:val="0"/>
            <w:i/>
            <w:strike w:val="0"/>
            <w:noProof w:val="0"/>
            <w:color w:val="0077CC"/>
            <w:position w:val="0"/>
            <w:sz w:val="20"/>
            <w:u w:val="single"/>
            <w:vertAlign w:val="baseline"/>
          </w:rPr>
          <w:t>42 CFR 410.49(b)(1)(vii)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n151 Section 1861(eee)(1) of the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n152 A list of ICR programs, approved through the national coverage determination process, is posted to the CMS Web site at </w:t>
      </w:r>
      <w:hyperlink r:id="rId135" w:history="1">
        <w:r>
          <w:rPr>
            <w:rFonts w:ascii="arial" w:eastAsia="arial" w:hAnsi="arial" w:cs="arial"/>
            <w:b w:val="0"/>
            <w:i/>
            <w:strike w:val="0"/>
            <w:noProof w:val="0"/>
            <w:color w:val="0077CC"/>
            <w:position w:val="0"/>
            <w:sz w:val="20"/>
            <w:u w:val="single"/>
            <w:vertAlign w:val="baseline"/>
          </w:rPr>
          <w:t>https://www.cms.gov/Medicare/Medicare-General-Information/MedicareApprovedFacilitie/ICR.html</w:t>
        </w:r>
      </w:hyperlink>
      <w:r>
        <w:rPr>
          <w:rFonts w:ascii="arial" w:eastAsia="arial" w:hAnsi="arial" w:cs="arial"/>
          <w:b w:val="0"/>
          <w:i w:val="0"/>
          <w:strike w:val="0"/>
          <w:noProof w:val="0"/>
          <w:color w:val="000000"/>
          <w:position w:val="0"/>
          <w:sz w:val="20"/>
          <w:u w:val="none"/>
          <w:vertAlign w:val="baseline"/>
        </w:rPr>
        <w:t xml:space="preserve"> and listed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at </w:t>
      </w:r>
      <w:hyperlink r:id="rId134" w:history="1">
        <w:r>
          <w:rPr>
            <w:rFonts w:ascii="arial" w:eastAsia="arial" w:hAnsi="arial" w:cs="arial"/>
            <w:b w:val="0"/>
            <w:i/>
            <w:strike w:val="0"/>
            <w:noProof w:val="0"/>
            <w:color w:val="0077CC"/>
            <w:position w:val="0"/>
            <w:sz w:val="20"/>
            <w:u w:val="single"/>
            <w:vertAlign w:val="baseline"/>
          </w:rPr>
          <w:t>42 CFR 410.49(c)(3)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Overview of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Rationale for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evidence demonstrating that CR/ICR services improve long-term patient outcomes, the room for improvement in CR/ICR service utilization for beneficiaries eligible for this benefit, and the need for ongoing, chronic treatment for underlying CAD among beneficiaries that have had an AMI or a CABG, we believe that there is a need for improved long-term care management and care coordination for beneficiaries that have had an AMI or a CABG and that incentivizing the use of CR/ICR services is an important component of meeting this need. We want to reduce barriers to high-value care by testing a financial incentive for hospitals that encourages the management of beneficiaries that have had an AMI or a CABG in ways that may contribute to long-term improvements in quality and reductions in Medicare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believed that there were important advantages to proposing such an incentive in conjunction with the proposed EPMs that are also discussed in this final rule. First, we wish to understand whether and how the effects of a financial incentive for the use of CR/ICR services differ depending upon whether a beneficiary's care is covered under an EPM or the Medicare FFS program. The proposed AMI and CABG models could be effective to provide the foundation for beneficiaries to receive improved coordination, care management, and secondary risk reduction during the model episodes through greater use of medically necessary CR/ICR services, even if accountability for beneficiary care ultimately transitions to other entities, such as ACOs or PCMHs, after the AMI or CABG model episode ends. Therefore, the AMI and CABG models </w:t>
      </w:r>
      <w:r>
        <w:rPr>
          <w:rFonts w:ascii="arial" w:eastAsia="arial" w:hAnsi="arial" w:cs="arial"/>
          <w:b/>
          <w:i w:val="0"/>
          <w:strike w:val="0"/>
          <w:noProof w:val="0"/>
          <w:color w:val="000000"/>
          <w:position w:val="0"/>
          <w:sz w:val="20"/>
          <w:u w:val="none"/>
          <w:vertAlign w:val="baseline"/>
        </w:rPr>
        <w:t> [*565] </w:t>
      </w:r>
      <w:r>
        <w:rPr>
          <w:rFonts w:ascii="arial" w:eastAsia="arial" w:hAnsi="arial" w:cs="arial"/>
          <w:b w:val="0"/>
          <w:i w:val="0"/>
          <w:strike w:val="0"/>
          <w:noProof w:val="0"/>
          <w:color w:val="000000"/>
          <w:position w:val="0"/>
          <w:sz w:val="20"/>
          <w:u w:val="none"/>
          <w:vertAlign w:val="baseline"/>
        </w:rPr>
        <w:t xml:space="preserve"> could make the proposed CR incentive payment more effective (if it is amplified by the broader care coordination infrastructure encouraged by the EPM in comparison with its effect in the Medicare FFS payment methodology) or less effective (if the care coordination infrastructure encouraged by the EPM is itself sufficient to ensure appropriate use of CR/ICR services such that the CR incentive payment itself has less effect than in the Medicare FFS payment methodology). Second, we wish to be able to examine each intervention's separate effects on the quality and efficiency of the care beneficiaries receive. We believe that coordinating the design, implementation, and evaluation of the EPMs and the CR incentive payment model is the best way to ensure that we accomplish both of these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encouraged the implementation of this incentive payment model and reminded CMS that they believe timely referral of beneficiaries that have had an AMI or a CABG to CR programs promotes better adherence to CR service protocols, which will yield improved coordination, care management, and secondary risk reduction during the episode of care for the beneficiary. Other commenters stated their support for the proposed testing of an incentive payment was based on the compelling evidence in the proposed rule that the completion of a CR/ICR program can significantly reduce the risk of subsequent heart attacks and cardiac-related mortality. A commenter suggested that if these incentives for hospitals to increase the use of cardiac rehabilitation are implemented, CMS must educate physicians and other health care providers about the value of cardiac rehabilitation in improving patient outcomes, reducing hospital readmission rates, and lowering health care costs to increase referrals and ensure enrollment.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recognition from commenters that evidence from multiple studies show that CR services improve health outcomes, but also that these services are underutilized. Considering the evidence demonstrating that CR/ICR services improve long-term patient outcomes, the room for improvement in CR/ICR service utilization for beneficiaries eligible for this benefit, and the need for ongoing treatment among beneficiaries that have had an AMI or a CABG, we believe that incentivizing the use of CR/ICR services is an important component of meeting this need. We continue to believe the proposed approach will permit CMS to appropriately evaluate this model and support testing the proposed hypotheses--to understand whether and how the effects of a financial incentive for the use of CR/ICR services differ depending upon whether a beneficiary's care is covered under an EPM or the Medicare FFS program and to examine each intervention's separate effects on the quality and efficiency of the care beneficiaries receive--with the strongest available evidence. We recognize that education programs about the value of CR/ICR services, including The Million Hearts national initiative to focus clinical attention on the prevention of heart attack and stroke, could complement these incentive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General Design of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CR incentive payment model to test the effects on quality of care and Medicare expenditures of providing explicit financial incentives to hospitals (hereinafter CR participants) for beneficiaries hospitalized for treatment of AMI or CABG to encourage care coordination and greater utilization of medically necessary CR/ICR services for 90 days post-hospital discharge where the beneficiary's overall care is paid under either an EPM or the Medicare FFS program. Under the EPMs, we proposed in general that the hospital where the anchor hospitalization for AMI or CABG treatment occurs that begins the AMI or CABG model episode as discussed in section III.C.4.a. of this final rule would be financially accountable for the AMI or CABG model episode. Thus, we expected that EPM participants would be highly engaged in care management of beneficiaries for the 90-day post-discharge duration included in the episode and could be able to capitalize on that engagement to encourage greater use of medically appropriate CR/ICR services if they were also selected for participation in the CR incentive payment model. Therefore, under the CR incentive payment model, we proposed to provide a CR incentive payment specifically to selected hospitals with financial responsibility for AMI or CABG model episodes (hereinafter EPM-CR participants) because they are already engaged in managing the AMI or CABG model beneficiary's overall care for a period of time following hospital discharge.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we believe there are opportunities to test the same financial incentives for hospitals where the beneficiary's overall care is paid under the Medicare FFS program. Thus, we also proposed to provide a CR incentive payment specifically to selected hospitals that are not AMI or CABG model participants (hereinafter FFS-CR participants). The design of the CR incentive payment model would enable us to test and improve our understanding of the effects of the CR incentive payment within the context of an EPM and the Medicare FFS program, as well as identify potential interactions between the proposed CR incentive payment and the underlying EPM and FFS payment methodologies. We understand that there may be providers and suppliers other than hospitals caring for beneficiaries with AMI or CABG whose care is paid under the Medicare FFS program and that could assume responsibility for encouraging greater utilization of CR/ICR services under the CR incentive payment model. However, for comparability to the roles and responsibilities of the hospitals that are the EPM participants selected for CR incentive payment model participation, we proposed to identify hospitals as the participants in the CR incentive payment model for beneficiaries whose care is paid under the Medicare FFS program. Hospitals provide over 95 percent of CR/ICR services to Medicare beneficiaries and the beneficiaries in the CR incentive payment model are identified based on a hospitalization for AMI or CABG. n153 Thus, we believe that hospitals are an appropriate entity to take on care coordination responsibility for increasing the utilization of medically necessary CR/ICR services for those beneficiaries following AMI or CABG who are in the CR incentive payment model but that are not in an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n153 Analysis of cardiac rehabilitation utilization in care periods for AMI and CABG beneficiaries initiated by all U.S. IPPS hospitals not in Maryland and constructed using standardized Medicare FFS Parts A and B claims, as proposed in this rule, that began in CYs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test strategies to encourage CR participants to prioritize referring beneficiaries following an AMI or CABG for important CR/ICR services, monitoring for beneficiary adherence to the treatment plan, and coordinating care, we proposed to establish a per-service CR incentive amount for beneficiary CR use at two levels that would initially incentivize the use of any CR/ICR services and that would increase once a beneficiary meets or exceeds the proposed CR/ICR service utilization benchmark. We believe that encouraging timely referral of beneficiaries that have had an AMI or a CABG to CR/ICR programs would promote better adherence to CR/ICR </w:t>
      </w:r>
      <w:r>
        <w:rPr>
          <w:rFonts w:ascii="arial" w:eastAsia="arial" w:hAnsi="arial" w:cs="arial"/>
          <w:b/>
          <w:i w:val="0"/>
          <w:strike w:val="0"/>
          <w:noProof w:val="0"/>
          <w:color w:val="000000"/>
          <w:position w:val="0"/>
          <w:sz w:val="20"/>
          <w:u w:val="none"/>
          <w:vertAlign w:val="baseline"/>
        </w:rPr>
        <w:t> [*566] </w:t>
      </w:r>
      <w:r>
        <w:rPr>
          <w:rFonts w:ascii="arial" w:eastAsia="arial" w:hAnsi="arial" w:cs="arial"/>
          <w:b w:val="0"/>
          <w:i w:val="0"/>
          <w:strike w:val="0"/>
          <w:noProof w:val="0"/>
          <w:color w:val="000000"/>
          <w:position w:val="0"/>
          <w:sz w:val="20"/>
          <w:u w:val="none"/>
          <w:vertAlign w:val="baseline"/>
        </w:rPr>
        <w:t xml:space="preserve"> service protocols, an expectation that is supported by data showing that patients who are referred early to CR were more likely to enroll. n154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n154 Grace, S.L. et al. Effectiveness of inpatient and outpatient strategies in increasing referral and utilization of cardiac rehabilitation: A prospective, multi-site study. Implement Sci. 2012: 7:120.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 claims data show that more than half of beneficiaries who receive one CR session go on to complete at least 25 sessions. n155 Thus, providing a CR incentive payment to reward increased referrals to CR/ICR programs, as well as monitoring for beneficiary adherence with the referral and participation in the sessions, may encourage better CAD-specific care management and care coordination for beneficiaries that have had an AMI or a CABG and, ultimately, improve quality and reduce spending long-term for these beneficiaries with CAD. CR participants that would be eligible for these CR incentive payments could further reduce potential beneficiary barriers to CR/ICR services by utilizing other flexibilities we proposed for the AMI and CABG models and the CR incentive payment model, such as beneficiary engagement incentives as discussed in sections III.I.9. and VI.F.6. of this final rule for EPM-CR participants and FFS-CR participants, respectively. Furthermore, we refer to section III.J.8. of this final rule for a discussion of the proposal to provide greater CR/ICR program flexibility that may increase the availability of CR/ICR services for AMI and CABG model beneficiaries by providing a waiver of the definition of a physician to include a physician or nonphysician practitioner (defined for the purposes of this waiver as a physician assistant, nurse practitioner, or clinical nurse specialist) in performing specific physician functions. We also refer to section VI.F.7. of this final rule for discussion of the proposal for a similar waiver of the physician definition to provide greater CR/ICR program flexibility to increase the availability of these services for beneficiaries in a FFS-CR participant, as defined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n155 Analysis of CR/ICR services utilization in 2013 Medicare FFS Parts A and B claims.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recognize there are other services focused on secondary prevention for beneficiaries with CAD such as diabetes self-management training, as well as treatments including drugs for blood pressure and cholesterol control, we believe that CR/ICR services are unique as an underutilized Medicare-covered benefit with a strong evidence-base of improved health outcomes for beneficiaries who have had an AMI or a CABG. Therefore, we believe that CR/ICR services are uniquely appropriate for CR incentive payments to selected AMI and CABG model participants as well as selected hospitals that would not be participating in these models in order to reward their efforts where we observe increased CR/ICR service utilization for CR incentive payment model beneficiaries. By proposing to provide CR incentive payments to encourage CR/ICR service utilization, we maximized our opportunity to positively affect the quality of care and reduce the cost-of-care for beneficiaries that have had an AMI or a CABG both within the short- and long-term. Like under other Innovation Center models, beneficiaries in the CR incentive payment model would retain freedom of choice to choose providers and services, although the proposed model provides financial incentives to CR participants to specifically encourage and support beneficiaries in adhering to a prescribed CR treatment plan following AMI or CABG.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making CR incentive payments available to selected EPM-CR and FFS-CR participants and comparing them to EPM participants and hospitals paid under the Medicare FFS program for AMI and CABG care who are not CR participants, we would be able to observe the effects of the proposed CR incentive payments on utilization of CR/ICR services and short-term (within the episode or care period) and longer-term outcomes, including mortality, hospitalizations, complications, and other clinically relevant events, as well as on Medicare expenditures. In testing the effects of a CR incentive payment, we wanted to account for a range of factors and interactions that could potentially affect the outcomes we observed. We believe our proposed methodology would enable us to test and improve our understanding of the effects of the CR incentive payment within the context of an EPM and the Medicare FFS program, as well as examine potential interactions between the proposed CR incentive payment and the underlying EPM and FFS payment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MedPAC commented that, while there are many barriers to enrollment for CR/ICR services, it is not clear which barriers create the biggest hurdles to effective care, and this lack of clarity makes the determination of the best corrective action difficult. MedPAC noted in comment that, for example, if one of the most significant barriers is low referral rates, CMS could encourage greater referral to CR/ICR by creating claims-based physician or hospital quality measures for all providers who care for beneficiaries with AMI and CABG. These measures could gauge the share of beneficiaries who receive CR/ICR services and the share who receive some minimum number of CR/ICR services. However, MedPAC also noted that tackling these barriers may require a multifaceted approach. Finally, MedPAC recommended that CMS not move forward with the proposed CR/ICR incentive payment model if CMS elects to implement the AMI and CABG EPMs, as they believe the proposed approach may be unnecessarily costly for the Medicare program, and seems overly complex.</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acknowledge that many barriers to CR/ICR services exist, multiple provider types furnish CR/ICR services, and services are provided for many indications, it would be unreasonable to test multiple proposals to address these concerns simultaneously, as such tests would make the assignment of appropriate controls difficult and assessment of impacts and outcomes from such proposals challenging to attribute to just one proposal. CMS proposed that EPM-CR participants be defined as hospitals that are AMI or CABG model participants located in the MSAs selected for the EPM-CR participation, and similarly proposed that FFS-CR participants are hospitals located in the MSAs selected for FFS-CR participation. We continue to believe the proposed approach will permit CMS to appropriately evaluate this model and support testing the proposed hypotheses--to understand whether and how the effects of a financial incentive for the use of CR/ICR services differ depending upon whether a beneficiary's care is covered under an EPM or the Medicare FFS program and to examine each intervention's separate effects on the quality and efficiency of the care beneficiaries receive--with the strongest available evidence. We proposed the CR incentive payment model to test the effects on quality of care and Medicare expenditures of providing explicit financial incentives in addition to, rather than in lieu of, current Medicare expenditures to CR participants for beneficiaries hospitalized for treatment of AMI or CABG to encourage care coordination and greater utilization of medically necessary CR/ICR services for 90 days post-hospital discharge where the beneficiary's overall care is paid under either an EPM or the Medicare FFS program. We continue to expect that EPM participants would be highly engaged in care management of </w:t>
      </w:r>
      <w:r>
        <w:rPr>
          <w:rFonts w:ascii="arial" w:eastAsia="arial" w:hAnsi="arial" w:cs="arial"/>
          <w:b/>
          <w:i w:val="0"/>
          <w:strike w:val="0"/>
          <w:noProof w:val="0"/>
          <w:color w:val="000000"/>
          <w:position w:val="0"/>
          <w:sz w:val="20"/>
          <w:u w:val="none"/>
          <w:vertAlign w:val="baseline"/>
        </w:rPr>
        <w:t> [*567] </w:t>
      </w:r>
      <w:r>
        <w:rPr>
          <w:rFonts w:ascii="arial" w:eastAsia="arial" w:hAnsi="arial" w:cs="arial"/>
          <w:b w:val="0"/>
          <w:i w:val="0"/>
          <w:strike w:val="0"/>
          <w:noProof w:val="0"/>
          <w:color w:val="000000"/>
          <w:position w:val="0"/>
          <w:sz w:val="20"/>
          <w:u w:val="none"/>
          <w:vertAlign w:val="baseline"/>
        </w:rPr>
        <w:t xml:space="preserve"> beneficiaries for the 90-day post-discharge duration included in the episode and could be able to capitalize on that engagement to encourage greater use of medically appropriate CR/ICR services if they were also selected for participation in the CR incentive payment model. Therefore, we are finalizing the proposal to implement the CR/ICR incentive payment model simultaneously with the EPMs, rather than test multiple incentives for the provision of CR/ICR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referencing the CR incentive payment model expressed concern that this voluntary program may become be required in the future and encouraged CMS to utilize this model to identify the patient population for whom this service improves outcomes.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concern however the design of this model will not identify additional populations of beneficiaries who might show improved health outcomes beyond those undergoing AMI or CABG. Furthermore, we believe there is strong evidence already identifying those patient populations for whom CR/ICR services improve health outcomes. n156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n156 Anderson, L. et al. Exercise-based cardiac rehabilitation for coronary heart disease. Cochrane Database Syst Rev. 2016 Jan 5;1:CD001800.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stated support for the concept of cardiac rehabilitation incentive payments as proposed, whether or not these payments are tied to episode payments. A few commenters noted that CMS does not expressly define the proposed CR/ICR incentive payment model as separate and distinct from the EPMs. Given the similarities in patient populations and the proposed overlap of certain MSAs, these commenters expressed concern that there could be some confusion as to whether or not these models are in fact separate and distinct, and requested that CMS clarify in expressed terms what the case may be.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the proposed rule, we describe the proposed CR/ICR incentive payments as separate and distinct from reconciliation payments and Medicare repayments for EPM-CR participants determined under § 512.305(d). The proposed CR/ICR incentive payment under the CR/ICR incentive payment model is a more specific payment designed to financially incentivize increased utilization of CR/ICR services which may improve quality and reduce costs for AMI and CABG model beneficiaries.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CR Incentive Payment Model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selection of MSAs for participation in the CABG and AMI EPMs is described in section III.B.5. of this final rule. The selection process would identify the 98 EPM MSAs from the 294 MSAs eligible for selection for the AMI and CABG models under the proposed rule. We proposed that 45 MSAs be selected from within the pool of the 98 EPM MSAs for the CR incentive payment model (hereinafter EPM-CR MSAs). An additional 45 MSAs would be selected for the CR incentive payment model from the pool of MSAs who were eligible but not selected for EPM (hereinafter FFS-CR MSAs). The approach for both selections is discussed in the following paragraphs.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interested in identifying control group MSAs that are similar to the treatment MSAs in ways that might impact the nature of their response to the CR incentive payment model. Having well-matched MSAs in the four types of MSAs (FFS-CR, FFS-non CR, EPM-CR and EPM-non CR) is important to our ability to assess the specific impact of the CR incentive payment while holding other considerations constant. We were concerned that a simple random selection of FFS-CR and EPM-CR areas would have a large probability of selecting MSAs that are insufficiently similar to the EPM-non CR areas due to the small number of MSAs from which to choose. As such, we proposed the selection of the EPM-CR MSAs to balance the incidence of key characteristics between the EPM-CR and EPM-non CR MSAs and the selection of FFS-CR MSAs to be based on similarity to the randomly selected EPM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294 MSAs originally eligible for selection would be classified into groups based on combinations of several key dimensions related to CR or ICR service provision within the MSA in the reference year including--</w:t>
      </w:r>
    </w:p>
    <w:p>
      <w:pPr>
        <w:keepNext w:val="0"/>
        <w:numPr>
          <w:numId w:val="8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Percent Starting CR/ICR services: Percent of eligible cases in the MSA who received one or more CR or ICR services in the reference year. CMS considered dividing MSAs through alternative cut points of this metric including 20 percent and 30 percent;</w:t>
      </w:r>
    </w:p>
    <w:p>
      <w:pPr>
        <w:keepNext w:val="0"/>
        <w:numPr>
          <w:numId w:val="8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Percent Completing CR/ICR services: Percent of eligible cases in the MSA who completed 25 or more CR or ICR services in the reference year. CMS considered dividing MSAs through alternative cut points including 50 percent, 60 percent and 70 percent of this metric; and.</w:t>
      </w:r>
    </w:p>
    <w:p>
      <w:pPr>
        <w:keepNext w:val="0"/>
        <w:numPr>
          <w:numId w:val="8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CR/ICR providers: The number of providers who billed for CR/ICR services in the MSA during the reference year. CMS considered dividing MSAs according to whether they had one hospital who billed for CR services or more than one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MSAs would be assigned into a group based on combinations of these measures. An example of a possible group would be a group of MSAs that are "low starters, high users." Such a group might be defined as MSAs in which--(1) less than 20 percent of eligible patients start CR/ICR services; (2) more than 60 percent of individuals who start CR/ICR complete 25 or more sessions; and (3) more than one hospital bills for CR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selection of CR MSAs via a modified stratified random selection algorithm in which these groups serve as the selection strata. Specifically, we proposed that the number of EPM-CR and FFS-CR MSAs selected from each group equals the number of EPM MSAs in the group multiplied by 0.46. This rate was chosen with the goal of selecting 45 EPM-CR MSAs out of 98 EPM MSAs (45/98 is approximately equal to 0.46). As an example of this approach to selection, consider a hypothetical group with 16 EPM MSAs and 28 FFS MSAs. We would randomly select 7 EPM-CR MSAs from the 16 EPM MSAs (7 is equal to 0.46 x 16 with rounding). The remaining 9 would be EPM-non CR. We would also randomly select 7 FFS-CR MSAs from the 28 FFS MSAs. The remaining 21 MSAs would be FFS-non CR MSAs. This approach would ensure balance with respect to group membership between EPM-CR MSAs and EPM-non-CR MSAs, as well as between EPM-CR MSAs and FFS-CR MSAs; it would not necessarily achieve balance with respect to group membership for other comparisons among model arms.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considered other approaches to selection. Under one alternative approach, we would select a number of EPM-CR MSAs from each group equal to the number of EPM MSAs in the group multiplied by 0.46 and a number of FFS-CR MSAs from each group equal to the number of FFS MSAs in the group multiplied by 0.23. As previously discussed, the rate 0.46 was chosen with the goal of selecting 45 EPM-CR MSAs out of 98 EPM MSAs. The rate 0.23 is based on the goal of selecting 45 FFS-CR MSAs out of 196 FFS MSAs (45/196 is approximately equal to 0.23). As in our proposed approach, the calculated number of MSAs to be selected from each group would be rounded to the nearest integer as necessary. This </w:t>
      </w:r>
      <w:r>
        <w:rPr>
          <w:rFonts w:ascii="arial" w:eastAsia="arial" w:hAnsi="arial" w:cs="arial"/>
          <w:b/>
          <w:i w:val="0"/>
          <w:strike w:val="0"/>
          <w:noProof w:val="0"/>
          <w:color w:val="000000"/>
          <w:position w:val="0"/>
          <w:sz w:val="20"/>
          <w:u w:val="none"/>
          <w:vertAlign w:val="baseline"/>
        </w:rPr>
        <w:t> [*568] </w:t>
      </w:r>
      <w:r>
        <w:rPr>
          <w:rFonts w:ascii="arial" w:eastAsia="arial" w:hAnsi="arial" w:cs="arial"/>
          <w:b w:val="0"/>
          <w:i w:val="0"/>
          <w:strike w:val="0"/>
          <w:noProof w:val="0"/>
          <w:color w:val="000000"/>
          <w:position w:val="0"/>
          <w:sz w:val="20"/>
          <w:u w:val="none"/>
          <w:vertAlign w:val="baseline"/>
        </w:rPr>
        <w:t xml:space="preserve"> approach would ensure balance with respect to group membership between EPM-CR MSAs and EPM-non-CR MSAs, as well as between FFS-CR MSAs and FFS-non-CR MSAs; it would not necessarily achieve balance with respect to group membership for other comparisons among model arms.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another alternative approach, we would use a stratified random assignment approach to determine both EPM participation and CR participation. Specifically, under this approach, the number of EPM-CRs and FFS-CR MSAs selected from each group would each be equal to the total number of MSAs in that group multiplied by 0.15, the number of EPM-non-CR MSAs selected from each group would be equal to the total number of MSAs in the group multiplied by 0.18, and the remaining MSAs in each group would be assigned to be FFS-non-CR MSAs. The rate 0.15 was chosen with the goal of selecting 45 EPM-CR MSAs and 45 FFS-CR MSAs out of 294 total MSAs (45/294 is approximately equal to 0.15), and the rate 0.18 was chosen with the goal of selecting 53 EPM-non-CR MSAs out of 294 total MSAs (53/294 is approximately equal to 0.18). As in our proposed approach, the calculated number of MSAs to be selected into each arm would be rounded to the nearest integer as necessary. This approach would ensure balance with respect to group membership for all comparisons across the four arms--EPM-CR, FFS-CR, EPM-non-CR, and FFS-non-CR--but would forgo the simplicity of simple random assignment for the selection of EPM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purposes of being able to evaluate the CR incentive payment model as a whole, we proposed to implement it in a consistent manner between the EPM-CR areas and the FFS-CR areas. As such, we proposed to use similar approaches to identifying CR participants in each while also coordinating with the specifications and requirements of the AMI and CABG models. We proposed that EPM-CR participants are hospitals that are AMI or CABG model participants located in the MSAs selected for the EPM-CR participation based on the methodology previously described in section VI.C. of this final rule. We similarly proposed that FFS-CR participants are hospitals located in the MSAs selected for FFS-CR participation based on the methodology previously described in section VI.C. of this final rule and that meet all provisions in sections III.B.2. through III.B.4. of this final rule to be an EPM participant if the hospital were located in an MSA selected for the AMI or CABG model. We believe that requiring FFS-CR participants to meet all provisions in sections III.B.2. through III.B.4. of this final rule would ensure that FFS-CR participants resemble EPM-CR participants as closely as possible, which would contribute to our ability to test and evaluate the effect of the CR incentive payment and specifically whether there are differential effects of the CR incentive payment in the underlying EPM and FFS payment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select MSAs for the CR incentive payment model and to identify CR participants is included in § 512.703. We sought comments on our proposed approach to selecting MSAs and identifying 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questioned the emphasis on hospitals for testing the model. These commenters noted that if this incentive program were limited to hospitals only, it would be highly unlikely to optimize physician engagement, leaving patient referral rates low. Other commenters noted that without including practice-based CR/ICR programs in the proposal, they believe the CR/ICR incentive payment model, despite its excellent intentions, would be unlikely to achieve its intended goal of driving better long-term quality cardiovascular care at lower cost. Other commenters urged CMS to expand the CR/ICR incentive payment model participants to permit physician practice-based ICR programs to be included to promote the underlying goal of increasing access to these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acknowledge that many barriers to CR/ICR services exist, and multiple provider types furnish CR/ICR services, it would be unreasonable to test multiple proposals to address these concerns simultaneously, as such tests would make the assignment of appropriate controls difficult and assessment of impacts and outcomes from such proposals challenging to attribute to just one proposal. CMS proposed that EPM-CR participants be defined as hospitals that are AMI or CABG model participants located in the MSAs selected for the EPM-CR participation, and similarly proposed that FFS-CR participants are hospitals located in the MSAs selected for FFS-CR participation. We continue to believe the proposed approach will permit CMS to appropriately evaluate this model and support testing the proposed hypotheses--to understand whether and how the effects of a financial incentive for the use of CR/ICR services differ depending upon whether a beneficiary's care is covered under an EPM or the Medicare FFS program and to examine each intervention's separate effects on the quality and efficiency of the care beneficiaries receive--with the strongest available evidence. We continue to believe it is in the interest of the Medicare program and its beneficiaries for us to identify new models that maintain beneficiary choice, and disagree that the design of the CR/ICR incentive payment model will limit access to CR/ICR services for Medicare beneficiaries, as the payment model does not limit a beneficiary's ability to choose among Medicare providers and suppliers or the range of services that are available to them. Beneficiaries may continue to choose any Medicare enrolled provider or supplier, or any physician or practitioner who has opted out of Medicare, with the same costs, copayments and responsibilities as they have with other Medicare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continue to expect that EPM participants would be highly engaged in care management of beneficiaries for the 90-day post-discharge duration included in the episode and could be able to capitalize on that engagement to encourage greater use of medically appropriate CR/ICR services if they were also selected for participation in the CR incentive payment model. Therefore, we are finalizing the proposal to determine CR incentive payment model participants to include EPM-CR participants because they are already engaged in managing the AMI or CABG model beneficiary's overall care for a period of time following hospital discharge and will compare these participants to FFS-CR participants. We understand that there may be providers and suppliers other than hospitals caring for beneficiaries with AMI or CABG whose care is paid under the Medicare FFS program and that could assume responsibility for encouraging greater utilization of CR/ICR services under the CR incentive payment model. However, for comparability to the roles and responsibilities of the hospitals that are the EPM participants selected for CR incentive payment model participation, we proposed to identify hospitals as the participants in the CR incentive payment model for beneficiaries whose care is paid under the Medicare FFS program. Hospitals provide over 95 percent of CR/ICR services to Medicare beneficiaries and the beneficiaries in the CR incentive payment model are identified based on a hospitalization for AMI or CABG. Thus, we believe that hospitals are an appropriate entity to take on care coordination responsibility for increasing the utilization of medically necessary CR/ICR services for those beneficiaries following AMI or </w:t>
      </w:r>
      <w:r>
        <w:rPr>
          <w:rFonts w:ascii="arial" w:eastAsia="arial" w:hAnsi="arial" w:cs="arial"/>
          <w:b/>
          <w:i w:val="0"/>
          <w:strike w:val="0"/>
          <w:noProof w:val="0"/>
          <w:color w:val="000000"/>
          <w:position w:val="0"/>
          <w:sz w:val="20"/>
          <w:u w:val="none"/>
          <w:vertAlign w:val="baseline"/>
        </w:rPr>
        <w:t> [*569] </w:t>
      </w:r>
      <w:r>
        <w:rPr>
          <w:rFonts w:ascii="arial" w:eastAsia="arial" w:hAnsi="arial" w:cs="arial"/>
          <w:b w:val="0"/>
          <w:i w:val="0"/>
          <w:strike w:val="0"/>
          <w:noProof w:val="0"/>
          <w:color w:val="000000"/>
          <w:position w:val="0"/>
          <w:sz w:val="20"/>
          <w:u w:val="none"/>
          <w:vertAlign w:val="baseline"/>
        </w:rPr>
        <w:t xml:space="preserve"> CABG who are in the CR incentive payment model but that are not in an EPM.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suggested that the CR incentive payment model be expanded beyond what was proposed. A commenter requested that all providers involved in any cardiac episode payment model be able to access the CR payment incentive. A commenter believed that the CR incentives should be available to all 98 cardiac EPM MSAs and thought it unfair that these would not be made universally available to all cardiac EPM participant providers. A commenter suggested that all 98 cardiac EPM-MSAs be enrolled in the CR incentive payment model as well as an additional 98 FFS-MSAs. Another commenter recommended that all cardiac EPM participant MSAs and an equal number of random eligible non-participant MSAs be enrolled in this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another commenter urged that similar CR incentive payments be made available to BPCI Model 2 PGP episode initiators in order to compare and contrast physician-led cardiac episodes and hospital-led episodes.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CMS is encouraged by the positive reception to the CR Incentive Payment Model and the belief that it is immediately suitable for expansion. At the same time, the incentive payments represent an additional outlay of funds beyond the current payment systems. In its role as a prudent steward of financial resources, CMS is committed to assessing the impact of this additional expenditure prior to a wider scale implementation. CMS is interested in conducting a test of the CR incentive payment model in order to assess the impact it has on both utilization and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initially considered providing access to the CR incentive to the 98 cardiac EPM MSAs only. However, after consideration, CMS decided that it was important to be able to assess the performance of EPM-CR areas relative to EPM-non CR areas, as well as the performance of EPM-CR MSAs versus FFS-CR areas and FFS-CR compared to FFS-non CR areas. The examination of all these combinations will provide insight into what factors are associated with the impacts observed.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requested additional details regarding any characteristics used in the selection of MSAs for the CR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characteristics for selection of the MSAs as stated in the proposed rule will include 3 dimensions of starting and completing CR services and number of CR/ICR providers and we refer the reader to section VI.C. for further details. Groupings within an MSA based on these dimensions will be created and then a stratified random selection process will be used to select participant MSAs. There will be an equal number of MSAs for eligible MSAs (EPM-CR MSAs) and those eligible but not selected for EPM (FFS-CR).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define CR incentive payment model participants in § 512.703, and specifically include both EPM-CR MSAs and FFS-CR MSA participants as being located in the selected MSAs meeting all requirements in § 512.100(b) to be an AMI or CABG model participant if the hospital were located in an MSA selected for the AMI and CABG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participant changes their eligibility status during the period of performance, they will become eligible for the CR incentive payment model. This may occur through concluding their participation as a BPCI initiating hospital or other means such as a new hospital being opened. The re-assessment and updating of hospital eligibility status will be performed on an ongoing periodic basis as frequently as quarterly if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selection of the CR areas will proceed as proposed with a two-step process in which 98 cardiac EPM MSAs would be chosen first and then the EPM-CR and the FFS-CR would be chosen from within CR selection groups. Seven CR selection groups were created using information about the utilization of CR in the MSA in the reference year. The groups were defined based on combinations of the following: (1) Whether there was more than one hospital provider who billed for CR services in the MSA in the reference year, (2) whether the percent of eligible Medicare FFS beneficiaries who received CR services was less than 20 percent, 20 to 30 percent or more than 30 percent, and (3) whether at least 60 percent of eligible patients who start CR services complete at least 25 sessions. The definition of seven groups used in the selection is shown in Table 52. The number of EPM-CR MSAs and the number of FFS-CR MSAs to be selected from each group is also shown in Table 52 and is proportional to the number of selected cardiac EPM MSAs in each group.</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13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Table 52--CR MSA Selection Group Definition</w:t>
            </w:r>
          </w:p>
        </w:tc>
      </w:tr>
      <w:tr>
        <w:tblPrEx>
          <w:tblW w:w="0" w:type="auto"/>
          <w:jc w:val="center"/>
          <w:tblLayout w:type="fixed"/>
          <w:tblCellMar>
            <w:left w:w="108" w:type="dxa"/>
            <w:right w:w="108" w:type="dxa"/>
          </w:tblCellMar>
        </w:tblPrEx>
        <w:trPr>
          <w:tblHeader/>
          <w:jc w:val="center"/>
        </w:trPr>
        <w:tc>
          <w:tcPr>
            <w:tcW w:w="924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and Number of MSAs To Be Selected</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Percent of</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Percent of</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selection</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hospitals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eligible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patients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selection</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cardiac</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EPM-CR and</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group No.</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billing</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Medicare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starting</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eligible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EPM MSAs</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FFS-CR</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for CR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FFS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MSAs</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MSAs to be</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patients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completing</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selected</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starting</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25</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from group</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sessions</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(0.46 x #</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EPM)</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&lt;20%</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Any</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 +</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Any</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16</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7</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 +</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&lt;20%</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Any</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17</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 +</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20-30%</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&lt;60%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13</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 +</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20-30%</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60% +</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9</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 +</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30% +</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&lt;60%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15</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7</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 +</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30% +</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60% +</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14</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Total</w:t>
            </w:r>
          </w:p>
        </w:tc>
        <w:tc>
          <w:tcPr>
            <w:tcW w:w="132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293</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98</w:t>
            </w:r>
          </w:p>
        </w:tc>
        <w:tc>
          <w:tcPr>
            <w:tcW w:w="132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shown in Table 52, we are randomly selecting 2 EPM-CR and 2 FFS-CR MSAs from CR Selection Group 1 where the number two is derived by multiplying the number of cardiac EPM MSAs in the group by the selection percent and then rounding (round (4 x 0.46) = 2). The number of MSAs to be selected within the 7 CR Selection </w:t>
      </w:r>
      <w:r>
        <w:rPr>
          <w:rFonts w:ascii="arial" w:eastAsia="arial" w:hAnsi="arial" w:cs="arial"/>
          <w:b/>
          <w:i w:val="0"/>
          <w:strike w:val="0"/>
          <w:noProof w:val="0"/>
          <w:color w:val="000000"/>
          <w:position w:val="0"/>
          <w:sz w:val="20"/>
          <w:u w:val="none"/>
          <w:vertAlign w:val="baseline"/>
        </w:rPr>
        <w:t> [*570] </w:t>
      </w:r>
      <w:r>
        <w:rPr>
          <w:rFonts w:ascii="arial" w:eastAsia="arial" w:hAnsi="arial" w:cs="arial"/>
          <w:b w:val="0"/>
          <w:i w:val="0"/>
          <w:strike w:val="0"/>
          <w:noProof w:val="0"/>
          <w:color w:val="000000"/>
          <w:position w:val="0"/>
          <w:sz w:val="20"/>
          <w:u w:val="none"/>
          <w:vertAlign w:val="baseline"/>
        </w:rPr>
        <w:t xml:space="preserve"> groups are, in order, 2, 7, 8, 6, 9, 7, and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selected the participating FFS-CR and EPM-CR MSAs through random selection within groups. We selected 45 MSAs via stratified random sample from both AMI and CABG EPM participant MSAs and traditional fee for service MSAs (those not selected to participate in the AMI and CABG EPMs). EPM-CR MSAs were randomly selected from the EPM MSAs in the same selection group. Similarly, the same number of FFS-CR MSAs were randomly selected from within the MSAs in the CR selection group who were eligible for but not chosen as a cardiac EPM area.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our sampling methodology, SAS for Windows Version 9.4 software was used to run a computer algorithm designed to randomly select MSAs. SAS for Windows Version 9.4 and the computer algorithm used to conduct selection represents an industry standard for generating advanced analytics and provides a rigorous, standardized tool by which to satisfy the requirements of randomized selection. The key SAS commands employed include a "PROC SURVEYSELECT" statement coupled with the "METHOD=SRS" option used to specify desired random sampling as the sample selection method. A random number seed was generated for each of the fourteen strata by using fourteen number seeds corresponding to birthdates and anniversary dates of parties present in the room. The random number seeds for stratum one through fourteen were as follows: 19851201, 20151024, 19841124, 20120827, 19590625, 19650907, 19870213, 19850714, 20090712, 20091024, 19800919, 19781023, 20120807, and 20140928. For more information on this procedure and the underlying statistical methodology, please reference SAS support documentation at: </w:t>
      </w:r>
      <w:hyperlink r:id="rId30" w:history="1">
        <w:r>
          <w:rPr>
            <w:rFonts w:ascii="arial" w:eastAsia="arial" w:hAnsi="arial" w:cs="arial"/>
            <w:b w:val="0"/>
            <w:i/>
            <w:strike w:val="0"/>
            <w:noProof w:val="0"/>
            <w:color w:val="0077CC"/>
            <w:position w:val="0"/>
            <w:sz w:val="20"/>
            <w:u w:val="single"/>
            <w:vertAlign w:val="baseline"/>
          </w:rPr>
          <w:t>http://support.sas.com/documentation/cdl/en/statug/63033/HTML/default/viewer.htm#statug_surveyselect_sect003.htm/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53 shows the list of EPM-CR MSAs. Table 54 shows the list of FFS-CR MSAs.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5760"/>
        <w:gridCol w:w="144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Table 53--EPM-CR MSAS. Cardiac EPM MSAS</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Selected for CR Incentive Payment Model</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5760" w:type="dxa"/>
            <w:tcBorders>
              <w:bottom w:val="nil"/>
              <w:right w:val="nil"/>
            </w:tcBorders>
          </w:tcPr>
          <w:p/>
        </w:tc>
        <w:tc>
          <w:tcPr>
            <w:tcW w:w="1440" w:type="dxa"/>
            <w:tcBorders>
              <w:bottom w:val="nil"/>
              <w:right w:val="nil"/>
            </w:tcBorders>
          </w:tcPr>
          <w:p/>
        </w:tc>
        <w:tc>
          <w:tcPr>
            <w:tcW w:w="96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CBSA OMB</w:t>
            </w:r>
          </w:p>
        </w:tc>
        <w:tc>
          <w:tcPr>
            <w:tcW w:w="57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MSA name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CR</w:t>
            </w:r>
          </w:p>
        </w:tc>
        <w:tc>
          <w:tcPr>
            <w:tcW w:w="9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CJR MSA</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No.</w:t>
            </w:r>
          </w:p>
        </w:tc>
        <w:tc>
          <w:tcPr>
            <w:tcW w:w="57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selection</w:t>
            </w:r>
          </w:p>
        </w:tc>
        <w:tc>
          <w:tcPr>
            <w:tcW w:w="96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57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group</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10180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Abilene, TX</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7</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10780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Alexandria, LA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10900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Allentown-Bethlehem-Easton, PA-NJ</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12220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Auburn-Opelika, 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13380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Bellingham, WA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14020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Bloomington,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14460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Boston-Cambridge-Newton, MA-NH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15940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Canton-Massillon, OH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15980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Cape Coral-Fort Myers, FL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16700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Charleston-North Charleston, SC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16860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Chattanooga, TN-GA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17980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Columbus, GA-AL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19100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Dallas-Fort Worth-Arlington, TX</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19300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Daphne-Fairhope-Foley, 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7</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20500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Durham-Chapel Hill, NC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21060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Elizabethtown-Fort Knox, KY</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21660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Eugene, OR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22520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Florence-Muscle Shoals, 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24300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Grand Junction, CO</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25940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Hilton Head Island-Bluffton-Beaufort, SC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7</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26580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Huntington-Ashland, WV-KY-OH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26820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Idaho Falls, ID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27860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Jonesboro, AR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27900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Joplin, MO</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30620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Lima, OH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30780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Little Rock-North Little Rock-Conway, AR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31540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Madison, WI</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w:t>
            </w:r>
          </w:p>
        </w:tc>
        <w:tc>
          <w:tcPr>
            <w:tcW w:w="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33340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Milwaukee-Waukesha-West Allis, WI</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w:t>
            </w:r>
          </w:p>
        </w:tc>
        <w:tc>
          <w:tcPr>
            <w:tcW w:w="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33540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Missoula, MT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7</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35100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New Bern, NC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35660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Niles-Benton Harbor, MI</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36540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Omaha-Council Bluffs, NE-IA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39140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Prescott, AZ</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7</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39380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Pueblo, CO</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39740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Reading, PA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40220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Roanoke, VA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41100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 George, UT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41140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 Joseph, MO-KS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7</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41420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Salem, OR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44100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Springfield, IL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46060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Tucson, AZ</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46140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Tulsa, OK</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46220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Tuscaloosa, 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47940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Waterloo-Cedar Falls, IA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w:t>
            </w:r>
          </w:p>
        </w:tc>
        <w:tc>
          <w:tcPr>
            <w:tcW w:w="960" w:type="dxa"/>
          </w:tcP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48620</w:t>
            </w:r>
          </w:p>
        </w:tc>
        <w:tc>
          <w:tcPr>
            <w:tcW w:w="57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Wichita, KS</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9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[*571]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5760"/>
        <w:gridCol w:w="144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TABLE 54--FFS-CR MSAS. FFS MSAS Selected for CR Incentive Payment Model</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5760" w:type="dxa"/>
            <w:tcBorders>
              <w:bottom w:val="nil"/>
              <w:right w:val="nil"/>
            </w:tcBorders>
          </w:tcPr>
          <w:p/>
        </w:tc>
        <w:tc>
          <w:tcPr>
            <w:tcW w:w="1440" w:type="dxa"/>
            <w:tcBorders>
              <w:bottom w:val="nil"/>
              <w:right w:val="nil"/>
            </w:tcBorders>
          </w:tcPr>
          <w:p/>
        </w:tc>
        <w:tc>
          <w:tcPr>
            <w:tcW w:w="96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CBSA OMB</w:t>
            </w:r>
          </w:p>
        </w:tc>
        <w:tc>
          <w:tcPr>
            <w:tcW w:w="57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MSA name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CR</w:t>
            </w:r>
          </w:p>
        </w:tc>
        <w:tc>
          <w:tcPr>
            <w:tcW w:w="9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CJR MSA</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No.</w:t>
            </w:r>
          </w:p>
        </w:tc>
        <w:tc>
          <w:tcPr>
            <w:tcW w:w="57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selection</w:t>
            </w:r>
          </w:p>
        </w:tc>
        <w:tc>
          <w:tcPr>
            <w:tcW w:w="96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57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group</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11540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Appleton, WI</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12700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Barnstable Town, MA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13020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Bay City, MI</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14010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Bloomington, IL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7</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15260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Brunswick, GA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16180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Carson City, NV</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16580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Champaign-Urbana, IL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7</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16940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Cheyenne, WY</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17460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Cleveland-Elyria, OH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18020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Columbus,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18580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Corpus Christi, TX</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19340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Davenport-Moline-Rock Island, IA-IL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20260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Duluth, MN-WI</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21780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Evansville, IN-KY</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22220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Fayetteville-Springdale-Rogers, AR-MO</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22500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Florence, SC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24660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Greensboro-High Point, NC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25060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Gulfport-Biloxi-Pascagoula, MS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25420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Harrisburg-Carlisle, PA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w:t>
            </w:r>
          </w:p>
        </w:tc>
        <w:tc>
          <w:tcPr>
            <w:tcW w:w="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25620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Hattiesburg, MS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28940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Knoxville, TN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7</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30700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Lincoln, NE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7</w:t>
            </w:r>
          </w:p>
        </w:tc>
        <w:tc>
          <w:tcPr>
            <w:tcW w:w="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33740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Monroe, LA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34060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Morgantown, WV</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34620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Muncie,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34940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Naples-Immokalee-Marco Island, FL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37340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Palm Bay-Melbourne-Titusville, FL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37860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Pensacola-Ferry Pass-Brent, FL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38060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Phoenix-Mesa-Scottsdale, AZ</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38940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Port St. Lucie, FL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w:t>
            </w:r>
          </w:p>
        </w:tc>
        <w:tc>
          <w:tcPr>
            <w:tcW w:w="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39460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Punta Gorda, FL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7</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40140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Riverside-San Bernardino-Ontario, CA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40340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Rochester, MN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40420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Rockford, IL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40660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Rome, GA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41180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 Louis, MO-IL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7</w:t>
            </w:r>
          </w:p>
        </w:tc>
        <w:tc>
          <w:tcPr>
            <w:tcW w:w="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41860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San Francisco-Oakland-Hayward, CA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42140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Santa Fe, NM</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42200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Santa Maria-Santa Barbara, CA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42540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Scranton-Wilkes-Barre-Hazleton, PA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42660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Seattle-Tacoma-Bellevue, WA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42700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Sebring, FL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44180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Springfield, MO</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w:t>
            </w:r>
          </w:p>
        </w:tc>
        <w:tc>
          <w:tcPr>
            <w:tcW w:w="96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45780</w:t>
            </w:r>
          </w:p>
        </w:tc>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Toledo, OH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yes.</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47380</w:t>
            </w:r>
          </w:p>
        </w:tc>
        <w:tc>
          <w:tcPr>
            <w:tcW w:w="57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Waco, TX</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w:t>
            </w:r>
          </w:p>
        </w:tc>
        <w:tc>
          <w:tcPr>
            <w:tcW w:w="960" w:type="dxa"/>
          </w:tcP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CR/ICR Services That Count Towards CR Incentive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identify CR/ICR services that count towards CR incentive payments on the basis of the presence of the HCPCS codes on PFS and OPPS claims that report CR/ICR services as displayed in Table 55. These HCPCS codes have been active since prior to 2013 through the present. We note that CMS specifies the CR/ICR service HCPCS codes in implementing the statutory coverage provisions for CR and ICR programs, and we would update this list of HCPCS codes for CR/ICR services for the CR incentive payment model in future CR performance years should CMS adopt different or additional HCPCS codes for reporting these services. n157 n158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n158 MLN Matters(R) Number: MM6850 Revised. Related Change Request #: 6850; Related CR Release Date: May 21, 2010. Effective Date: January 1, 2010. Related CR Transmittal #: R1974CP, R126BP, R339PI, and R170FM. Implementation Date: October 4, 2010.</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7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Table 55--HCPCS Codes for Cardiac Rehabilitation and Intensive Cardiac</w:t>
            </w:r>
          </w:p>
        </w:tc>
      </w:tr>
      <w:tr>
        <w:tblPrEx>
          <w:tblW w:w="0" w:type="auto"/>
          <w:jc w:val="center"/>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Rehabilitation Services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744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HCPCS Code</w:t>
            </w:r>
          </w:p>
        </w:tc>
        <w:tc>
          <w:tcPr>
            <w:tcW w:w="7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Descriptor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93797</w:t>
            </w:r>
          </w:p>
        </w:tc>
        <w:tc>
          <w:tcPr>
            <w:tcW w:w="7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Physician services for outpatient cardiac rehabilitation;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7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without continuous ECG monitoring (per session).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93798</w:t>
            </w:r>
          </w:p>
        </w:tc>
        <w:tc>
          <w:tcPr>
            <w:tcW w:w="7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Physician services for outpatient cardiac rehabilitation;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7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with continuous ECG monitoring (per session).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G0422</w:t>
            </w:r>
          </w:p>
        </w:tc>
        <w:tc>
          <w:tcPr>
            <w:tcW w:w="7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Intensive cardiac rehabilitation; with or without continuous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7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ECG monitoring with exercise, per session.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G0423</w:t>
            </w:r>
          </w:p>
        </w:tc>
        <w:tc>
          <w:tcPr>
            <w:tcW w:w="7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Intensive cardiac rehabilitation; with or without continuous</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74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ECG monitoring; without exercise, per session.</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[*572]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within the AMI and CABG models, CR/ICR services paid by Medicare to any provider or supplier for AMI and CABG model beneficiaries during AMI and CABG model episodes would result in EPM-CR participant eligibility for CR incentive payments. For FFS-CR participants, we proposed to use the terms "AMI care period" and "CABG care period" to refer to a period of AMI or CABG care, respectively, that would meet the requirements to be an AMI or CABG model episode in accordance with all provisions in subpart B if the FFS-CR participant were an AMI or CABG model participant. CR/ICR services paid by Medicare to any provider or supplier for beneficiaries during AMI care periods and CABG care periods would result in FFS-CR participant eligibility for CR incentive payments. Defining AMI care periods and CABG care periods using the AMI and CABG model episode definitions ensures that the care covered under AMI care periods and CABG care periods is comparable to AMI and CABG model episodes in terms of the criteria that must be met to start an AMI care period or CABG care period or an AMI or CABG model episode, as well as the duration of AMI care periods and CABG care periods and AMI and CABG model episodes. This comparability would contribute to our ability to test and evaluate the effects of the CR incentive payment and specifically to assess whether there are differential effects of the CR incentive payment in the underlying EPM and FFS payment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proposed that AMI and CABG model episodes take precedence over AMI care periods and CABG care periods. That is, an AMI care period or CABG care period would not begin if the beneficiary is in an AMI or CABG model episode when the AMI care period or CABG care period would otherwise begin. Similarly, an AMI care period or CABG care period would be canceled if at any time during the AMI care period or CABG care period the beneficiary initiates an AMI or CABG model episode. We believe that this is appropriate because AMI and CABG model participants would have ultimate responsibility for care coordination and the quality and cost of a beneficiary's care during an AMI or CABG model episode. Giving precedence to AMI and CABG model episodes would also ensure that Medicare does not make duplicative CR incentive payments for a beneficiary and that a single beneficiary is not in an AMI or CABG model episode and an AMI care period or CABG care period at the same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for the purposes of the CR incentive payment, all AMI and CABG model episodes and all AMI care periods and CABG care periods must begin on or after July 1, 2017 and end on or before December 31, 2021. Thus, the CR performance years would be the same as the performance years proposed for the EPMs in section III.D.2.a. of this final rule. Given that the CR incentive payment model seeks to determine whether there are differential effects of the CR incentive payment in the underlying EPM and FFS payment methodologies, it is important the EPM and CR performance years be aligned for EPM-CR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establish which CR/ICR services count towards CR incentive payments is included in § 512.705. We sought comments on our proposal to establish which CR/ICR services count towards CR incentive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suggested that EPM beneficiaries be offered the opportunity to participate in an independent CR program, as it has been the experience of this commenter that many patients see positive outcomes similar to those of patients who participate in more traditional CR programs. However, the commenter offering this suggestion also raised the concern that such programs may inadvertently be financially penalized because they do not follow the proposed structure of CR visits. Another commenter referenced exposure to numerous studies on and examples of integrated, remote CR programs, with reported similar efficacy, higher enrollment, and higher completion rates compared to traditional CR, and recommended CMS support these alternative models with the belief that such alternatives will foster innovation, enable cost-effective and tailored options for CR.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appreciate all suggestions for considered improvements to the range and type of services offered, we are limited by the scope of this model to testing the provision of services that can be recognized through HCPCS coding procedures and therefore will finalize provision of incentive payments for services described by HCPCS codes for CR/ICR services in Table 55.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generally agreed with the proposed CR/ICR services that should count towards CR incentive payments. There were additional recommendations from commenters to align incentive payments with other aspects of a CR/ICR program, such as duration or frequency of sessions, while other commenters proposed alternative programs including examples such as physical and occupational therapy, pulmonary rehabilitation, home health therapy, and construction of a new program termed virtual cardiac rehabilitation to take place in the patient's home.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proposed to identify CR and ICR services that count towards CR incentive payments on the basis of the presence of the HCPCS codes on PFS and OPPS claims that report CR/ICR services as displayed in Table 55. These HCPCS codes have been active since prior to 2013 through the present. We note that CMS specifies the CR/ICR HCPCS codes in implementing the statutory coverage provisions for CR and ICR programs, and we would update this list of HCPCS codes for CR/ICR services for the CR incentive payment model in future CR performance years should CMS adopt different or additional HCPCS codes for reporting these services. We continue to believe that CR/ICR services are unique as an underutilized Medicare-covered benefit with a strong evidence base of improved health outcomes for beneficiaries who have had an AMI or a CABG. Therefore, we believe that CR/ICR services are uniquely appropriate for CR incentive payments to selected AMI and CABG model participants as well as selected hospitals that would not be participating in these models in order to reward their efforts where we observe increased CR/ICR service utilization for CR incentive payment model beneficiaries. As a result, we are finalizing this proposal because we continue to believe this structured approach will contribute to our ability to test and evaluate the effects of the CR incentive payment and specifically whether there are differential effects of the CR incentive payment in the underlying EPM and FFS payment methodologies.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confusion regarding the process by which ICR programs are approved by CMS. Others suggested the need for clarification as to how individual sites wishing to furnish ICR services be able to participate. A commenter was concerned that EPM participant hospitals that do not have their own CR/ICR programs will not be eligible for payments under the CR Incentive Payment Model. A commenter requested that CMS clarify that all ICR programs covered under the CR incentive payment model receive approval under the NCD process, as this commenter believes the NCD process serves an important function in </w:t>
      </w:r>
      <w:r>
        <w:rPr>
          <w:rFonts w:ascii="arial" w:eastAsia="arial" w:hAnsi="arial" w:cs="arial"/>
          <w:b/>
          <w:i w:val="0"/>
          <w:strike w:val="0"/>
          <w:noProof w:val="0"/>
          <w:color w:val="000000"/>
          <w:position w:val="0"/>
          <w:sz w:val="20"/>
          <w:u w:val="none"/>
          <w:vertAlign w:val="baseline"/>
        </w:rPr>
        <w:t> [*573] </w:t>
      </w:r>
      <w:r>
        <w:rPr>
          <w:rFonts w:ascii="arial" w:eastAsia="arial" w:hAnsi="arial" w:cs="arial"/>
          <w:b w:val="0"/>
          <w:i w:val="0"/>
          <w:strike w:val="0"/>
          <w:noProof w:val="0"/>
          <w:color w:val="000000"/>
          <w:position w:val="0"/>
          <w:sz w:val="20"/>
          <w:u w:val="none"/>
          <w:vertAlign w:val="baseline"/>
        </w:rPr>
        <w:t xml:space="preserve"> ensuring that these programs meet the underlying statutory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Approved ICR programs will continue to be required to meet the statutory requirements set forth in section 1861(eee)(4) of the Act. The NCD process, as authorized by section 1862(l) of the Act will continue to be used to determine whether an ICR program falls within the scope of this Part B benefit. An ICR program will continue to be evaluated in an open, transparent, and publicly engaging process. The standards for an ICR program are included in Section 410.49(c) of this subpart. CR participants without their own CR/ICR programs will receive the CR incentive payment based on the CR/ICR service utilization of beneficiaries attributed to them, regardless of the specific provider or supplier that furnished the CR/ICR services to the beneficiary during the episode or care period.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believes a significant majority of PFS claims for CR services are misleading. This commenter submitted an analysis of Medicare PFS claims for HCPCS code 93798 by specialty and identified the top five most frequently occurring specialties to be cardiology, internal medicine, family practice, cardiac electrophysiology, and emergency medicine. Based on these data, the commenter strongly questioned the appropriateness of the physician's office for the provision of CR services, and urged CMS to scrutinize PFS claims paid for delivery of CR services, as the commenter believes these claims are simple coding errors, or possible fraud/abuse. The commenter recommended that OPPS claims for CR/ICR services would be the accurate source to track for the CR incentive payment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providing their analysis. While most CR/ICR services are billed and paid under the OPPS because they are furnished in the hospital outpatient department, CR/ICR services are also covered under Medicare when furnished in a physician's office where they are paid under the PFS. n159 PFS claims for CR/ICR services furnished in the physician's office report place of service code 11 (office). Our analysis showed that more than 95 percent of CR/ICR services for beneficiaries with AMI or CABG were billed under the OPPS. In addition, for CR/ICR services billed under the PFS, the physician's office was more frequently reported than the hospital outpatient department. In some cases, there were OPPS and PFS claims for the same beneficiary for the same day and the same CR/ICR service HCPCS code, but it was extremely rare for the PFS claim to have a place of service code for the physician's office in these cases, occurring in only 0.01 percent of AMI care periods and 0.02 percent of CABG care periods. These uncommon circumstances could either reflect incorrect billing or an actual care pattern where the same beneficiary received CR/ICR services on the same day in both the hospital outpatient department and physician's office. Nevertheless, our analysis of historical claims data showed no concerning patterns about coding errors on claims for CR/ICR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n159 Analysis of cardiac rehabilitation utilization in care periods for AMI and CABG beneficiaries initiated by all U.S. IPPS hospitals not in Maryland and constructed using standardized Medicare FFS Parts A and B claims, as proposed in this rule that began in CYs 2012-2014.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CY 2010 PFS Final Rule </w:t>
      </w:r>
      <w:hyperlink r:id="rId136" w:history="1">
        <w:r>
          <w:rPr>
            <w:rFonts w:ascii="arial" w:eastAsia="arial" w:hAnsi="arial" w:cs="arial"/>
            <w:b w:val="0"/>
            <w:i/>
            <w:strike w:val="0"/>
            <w:noProof w:val="0"/>
            <w:color w:val="0077CC"/>
            <w:position w:val="0"/>
            <w:sz w:val="20"/>
            <w:u w:val="single"/>
            <w:vertAlign w:val="baseline"/>
          </w:rPr>
          <w:t>(74 FR 61879),</w:t>
        </w:r>
      </w:hyperlink>
      <w:r>
        <w:rPr>
          <w:rFonts w:ascii="arial" w:eastAsia="arial" w:hAnsi="arial" w:cs="arial"/>
          <w:b w:val="0"/>
          <w:i w:val="0"/>
          <w:strike w:val="0"/>
          <w:noProof w:val="0"/>
          <w:color w:val="000000"/>
          <w:position w:val="0"/>
          <w:sz w:val="20"/>
          <w:u w:val="none"/>
          <w:vertAlign w:val="baseline"/>
        </w:rPr>
        <w:t xml:space="preserve"> we note that when a CR/ICR service is furnished in a hospital outpatient department, a physician cannot bill the Medicare contractor for CR/ICR unless the physician personally performs the CR/ICR service. To personally perform the CR/ICR service, the physician would provide direct care to a single patient for the entire session of CR/ICR that is being reported. The hospital would report the CR/ICR service and be paid the OPPS payment amount for the facility services associated with the CR/ICR services. The physician would report place of service code 19 or 22 (Off Campus-Outpatient Hospital or On Campus-Outpatient Hospital, respectively) on the PFS claim. A physician cannot bill under the PFS for CR/ICR services furnished in a hospital for which the physician furnishes only supervision or for services furnished in part by others. If the physician furnishes no direct CR/ICR services for a given session on a given day or provides direct CR/ICR services for less than the full session, then only the hospital would report the CR/ICR services and these services would be paid only under the OPPS. Thus, to be sure that we are capturing all unique sessions of CR/ICR services furnished in the hospital outpatient department or physician's office, without duplication in counting those services, we will include all CR/ICR services paid under the OPPS but only those CR/ICR services that report place of service code 11 on PFS claims in the CR/ICR services that count toward CR incentive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CR/ICR services will be continue to be paid by the Medicare program under the OPPS and the PFS throughout the CR incentive payment model performance years for CR beneficiaries and are subject to all applicable rules governing the submission of claims for services for payment by Medicare. We refer to sections III.J.8. and VI.F.7. of this final rule for our discussion of the waiver of the physician definition to allow, in addition to a physician, a nonphysician practitioner to perform the functions of supervisory physician; prescribing exercise; and establishing, reviewing, and signing an individualized treatment plan for a provider or supplier of CR/ICR services furnished to an EPM-CR or FFS-CR beneficiary during an AMI or CABG episode or AMI care period or CABG care period, respectively. We will rely upon the CR/ICR services paid by Medicare under the OPPS or to any supplier reporting place of service code 11 on the PFS claim for determining the CR/ICR services furnished to EPM-CR and FFS-CR participants. All CR/ICR services billed to Medicare must also meet the billing requirements outlined in the Medicare Claims Processing Manual. n160 CR/ICR services billed to Medicare outside the episode must continue to meet coverage requirements described in 42 CFR 410.94 and any applicable National Coverage Determinations. n161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n160 Claims Processing Requirements for Cardiac Rehabilitation (CR) and Intensive Cardiac Rehabilitation (ICR) Services Furnished on or After January 1, 2010. Chapter 32, Section 140.2.2. Medicare Claims Processing Manual.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n161 Intensive Cardiac Rehabilitation (ICR) Programs. Chapter 1, Part 1, Section 20.31.1-3. Medicare National Coverage Determinations (NCD) Manual.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monitor throughout the CR incentive payment model the utilization of CR/ICR services, including the place of service. If this monitoring raises concerns about erroneous claims or potential fraud and abuse based on significant changes in the distribution of CR/ICR services being billed and paid for CR beneficiaries in the physician's office and the hospital outpatient department compared to historical patterns and current patterns of CR/ICR services furnished to Medicare beneficiaries not in the CR incentive payment model, we may more closely examine the claims for these services and/or refer these circumstances to Medicare contractors for further investigation.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 modification, to establish which CR/ICR services count towards CR incentive payments in § 512.705 as CR/ICR services identified by the HCPCS codes for CR/ICR services in the CR performance year when those CR/ICR services are paid under the OPPS or to </w:t>
      </w:r>
      <w:r>
        <w:rPr>
          <w:rFonts w:ascii="arial" w:eastAsia="arial" w:hAnsi="arial" w:cs="arial"/>
          <w:b/>
          <w:i w:val="0"/>
          <w:strike w:val="0"/>
          <w:noProof w:val="0"/>
          <w:color w:val="000000"/>
          <w:position w:val="0"/>
          <w:sz w:val="20"/>
          <w:u w:val="none"/>
          <w:vertAlign w:val="baseline"/>
        </w:rPr>
        <w:t> [*574] </w:t>
      </w:r>
      <w:r>
        <w:rPr>
          <w:rFonts w:ascii="arial" w:eastAsia="arial" w:hAnsi="arial" w:cs="arial"/>
          <w:b w:val="0"/>
          <w:i w:val="0"/>
          <w:strike w:val="0"/>
          <w:noProof w:val="0"/>
          <w:color w:val="000000"/>
          <w:position w:val="0"/>
          <w:sz w:val="20"/>
          <w:u w:val="none"/>
          <w:vertAlign w:val="baseline"/>
        </w:rPr>
        <w:t xml:space="preserve"> any supplier reporting place of service code 11 on a PFS claim. This modification to limit CR/ICR services from suppliers to those reporting place of service code 11 on the PFS claim, rather than all CR/ICR services from suppliers, ensures that we can establish a unique, unduplicated count of CR/ICR services furnished in the hospital outpatient department and in the physician's office to a CR beneficiary for purposes of the CR incentive payment to 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56 displays the HCPCS codes currently used for reporting CR/ICR services and that will be used counting CR/ICR services under the CR incentive payment model.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7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Table 56--HCPCS Codes for Cardiac Rehabilitation and Intensive Cardiac</w:t>
            </w:r>
          </w:p>
        </w:tc>
      </w:tr>
      <w:tr>
        <w:tblPrEx>
          <w:tblW w:w="0" w:type="auto"/>
          <w:jc w:val="center"/>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Rehabilitation Services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744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HCPCS Code</w:t>
            </w:r>
          </w:p>
        </w:tc>
        <w:tc>
          <w:tcPr>
            <w:tcW w:w="7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Descriptor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93797</w:t>
            </w:r>
          </w:p>
        </w:tc>
        <w:tc>
          <w:tcPr>
            <w:tcW w:w="7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Physician services for outpatient cardiac rehabilitation;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7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without continuous ECG monitoring (per session).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93798</w:t>
            </w:r>
          </w:p>
        </w:tc>
        <w:tc>
          <w:tcPr>
            <w:tcW w:w="7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Physician services for outpatient cardiac rehabilitation;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7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with continuous ECG monitoring (per session).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G0422</w:t>
            </w:r>
          </w:p>
        </w:tc>
        <w:tc>
          <w:tcPr>
            <w:tcW w:w="7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Intensive cardiac rehabilitation; with or without continuous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7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ECG monitoring with exercise, per session.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G0423</w:t>
            </w:r>
          </w:p>
        </w:tc>
        <w:tc>
          <w:tcPr>
            <w:tcW w:w="7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Intensive cardiac rehabilitation; with or without continuous</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74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ECG monitoring; without exercise, per session.</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Determination of CR Incentive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Determination of CR Amounts That Sum To Determine a CR Incentive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potential benefits of CR/ICR services, in conjunction with the low adoption of these services, we sought to propose an incentive for CR participants that was sufficient to encourage them to increase clinically appropriate CR/ICR service referrals for beneficiaries; reduce barriers to beneficiary adherence to a CR/ICR service treatment plan by making additional resources available for transportation to and from CR/ICR services; and incentivize CR participant monitoring and support of beneficiary adherence to all prescribed sessions of the CR/ICR program. As such, in addition to the usual payments that Medicare makes to providers and suppliers that furnish CR/ICR services, we proposed to establish a two-level per-service CR incentive amount that would initially incentivize the use of any CR/ICR services and that would increase once a beneficiary meets or exceeds the proposed CR/ICR service utilization benchmark. The CR amount would be the dollar amount determined by the two-level per-service CR incentive amounts that apply to the number of CR/ICR services paid by Medicare to any provider or supplier for a beneficiary in an AMI or CABG model episode or AMI care period or CABG care period. CR amounts across all of a CR participant's beneficiaries that received CR/ICR services would be summed for the CR performance year to determine the CR incentive payment for a CR participant. CMS would pay the CR incentive payment from the Part B Trust Fund to the CR participant after the end of each CR performance year, and the beneficiary-specific CR amounts would be submitted to the CMS Master Database Management (MDM)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 of determining the CR incentive payment, we proposed to count the number of CR/ICR services for the relevant time periods under the OPPS and PFS on the basis of the presence on paid claims of the HCPCS codes that report CR/ICR services as displayed in Table 55 and the units of service billed.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initial level of the per-service CR incentive amount that would count toward the CR amount would be $ 25 per CR/ICR service for each of the first 11 CR/ICR services paid for by Medicare during an AMI or CABG model episode or AMI care period or CABG care period. We believe that $ 25 is an appropriate amount to account for the additional resources that CR participants would expend to reduce beneficiary barriers to utilizing any CR/ICR services and to support beneficiary adherence to all prescribed services in the CR/ICR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11 CR/ICR services are paid for by Medicare for a beneficiary, the level of the per-service CR incentive amount would increase to $ 175 per CR/ICR service for each additional CR/ICR service paid for by Medicare during the AMI or CABG model episode or AMI care period or CABG care period. This higher payment would account for the additional resources that CR participants expend to reduce beneficiary barriers to CR/ICR service utilization and also would reward CR participants for AMI or CABG model episodes or AMI care periods or CABG care periods in which beneficiaries meet or exceed the service utilization benchmark of 12 CR/ICR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set the proposed service utilization benchmark based on evidence from the literature that shows reduced mortality for Medicare beneficiaries that complete at least 12 CR sessions relative to Medicare beneficiaries who complete 1-11 CR sessions. A study by Hammill et al found that over a 4-year follow-up period beneficiaries who completed 12-23 CR sessions had lower mortality compared to beneficiaries who completed 1-11 CR sessions and that beneficiaries who completed 24 or more CR sessions had lower mortality compared to beneficiaries that completed 12-23 sessions. n162 Figure 6 replicates Figure 2 from that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n162 Hammill BG, Curtis LH, Schulman KA, Whellan DJ. Relationship between cardiac rehabilitation and long-term risks of mortality and myocardial infarction among elderly Medicare beneficiaries. Circulation. 2010; 121:63-70. </w:t>
      </w:r>
      <w:r>
        <w:rPr>
          <w:rFonts w:ascii="arial" w:eastAsia="arial" w:hAnsi="arial" w:cs="arial"/>
          <w:b/>
          <w:i w:val="0"/>
          <w:strike w:val="0"/>
          <w:noProof w:val="0"/>
          <w:color w:val="000000"/>
          <w:position w:val="0"/>
          <w:sz w:val="20"/>
          <w:u w:val="none"/>
          <w:vertAlign w:val="baseline"/>
        </w:rPr>
        <w:t> [*575] </w:t>
      </w:r>
    </w:p>
    <w:p>
      <w:pPr>
        <w:keepNext w:val="0"/>
        <w:spacing w:before="200" w:after="0" w:line="260" w:lineRule="atLeast"/>
        <w:ind w:left="0" w:right="0" w:firstLine="0"/>
        <w:jc w:val="both"/>
      </w:pPr>
      <w:r>
        <w:pict>
          <v:shape id="_x0000_i1044" type="#_x0000_t75" style="width:432.06pt;height:374.3pt">
            <v:imagedata r:id="rId137"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study by Suaya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showed that over a 5-year period beneficiaries who were hospitalized for coronary conditions or cardiac revascularization procedures and completed 1-24 CR sessions had lower mortality compared to beneficiaries who were probable candidates for CR but completed 0 CR sessions and that beneficiaries who completed 25 or more CR sessions had lower mortality compared to beneficiaries who completed 1-24 CR sessions. n164 Figure 7 replicates Figure 1 from that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n163 Figure 2 of Hammill BG, Curtis LH, Schulman KA, Whellan DJ. Relationship between cardiac rehabilitation and long-term risks of mortality and myocardial infarction among elderly Medicare beneficiaries. Circulation. 2010; 121:63-70. Note that the 30,161 overall beneficiaries in the table contained in the figure refers to the number of Medicare beneficiaries that initiated cardiac rehabilitation services between January 1, 2000 and December 31, 2005 in the national 5 percent sample used by Hammill et 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 Suaya JA, Stason WB, Ades PA, Normand ST, Shephard DS. Cardiac rehabilitation and survival in older coronary patients. Journal of the American College of Cardiology 2009; 54:25-33. </w:t>
      </w:r>
      <w:r>
        <w:rPr>
          <w:rFonts w:ascii="arial" w:eastAsia="arial" w:hAnsi="arial" w:cs="arial"/>
          <w:b/>
          <w:i w:val="0"/>
          <w:strike w:val="0"/>
          <w:noProof w:val="0"/>
          <w:color w:val="000000"/>
          <w:position w:val="0"/>
          <w:sz w:val="20"/>
          <w:u w:val="none"/>
          <w:vertAlign w:val="baseline"/>
        </w:rPr>
        <w:t> [*576] </w:t>
      </w:r>
    </w:p>
    <w:p>
      <w:pPr>
        <w:keepNext w:val="0"/>
        <w:spacing w:before="200" w:after="0" w:line="260" w:lineRule="atLeast"/>
        <w:ind w:left="0" w:right="0" w:firstLine="0"/>
        <w:jc w:val="both"/>
      </w:pPr>
      <w:r>
        <w:pict>
          <v:shape id="_x0000_i1045" type="#_x0000_t75" style="width:432.06pt;height:248.28pt">
            <v:imagedata r:id="rId138"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propose to set a cap on the number of CR/ICR services that would count toward the CR amount during an AMI or CABG model episode or AMI care period or CABG care period because the literature showed incremental improvements in outcomes associated with more CR/ICR services through 36 or more sessions. The duration of AMI and CABG model episodes and AMI care periods and CABG care periods is only 90 days post-discharge from the hospitalization that begins the episode or care period, or roughly 13 weeks, and Medicare already limits the number of covered CR/ICR services for a beneficiary. The number of CR program sessions are limited to a maximum of 2 one-hour sessions per day for up to 36 sessions over up to 36 weeks, with the option for an additional 36 sessions over an extended period of time if approved by the Medicare Administrative Contractor under section 1862(a)(1)(A) of the Act. n166 ICR program sessions are limited to 72 one-hour sessions, up to 6 sessions per day, over a period of up to 18 weeks. n167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n165 Figure 1 of Suaya JA, Stason WB, Ades PA, Normand ST, Shephard DS. Cardiac rehabilitation and survival in older coronary patients. Journal of the American College of Cardiology 2009; 54:25-33.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n166 </w:t>
      </w:r>
      <w:hyperlink r:id="rId134" w:history="1">
        <w:r>
          <w:rPr>
            <w:rFonts w:ascii="arial" w:eastAsia="arial" w:hAnsi="arial" w:cs="arial"/>
            <w:b w:val="0"/>
            <w:i/>
            <w:strike w:val="0"/>
            <w:noProof w:val="0"/>
            <w:color w:val="0077CC"/>
            <w:position w:val="0"/>
            <w:sz w:val="20"/>
            <w:u w:val="single"/>
            <w:vertAlign w:val="baseline"/>
          </w:rPr>
          <w:t>42 CFR 410.49(b)(1)(vii)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n167 Section 1861(eee)(1)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 higher per-service CR incentive amount that would count toward the CR amount when CR/ICR services paid by Medicare to any provider or supplier for a beneficiary in an AMI or CABG model episode or AMI care period or CABG care period meet or exceed the evidence-based service utilization benchmark would strengthen the financial incentive for CR participants to ensure beneficiary adherence to all prescribed CR/ICR services beyond the initial $ 25 per-service CR incentive amount for the first 11 CR/ICR services. Moreover, the higher level of the per-service CR incentive amount when a beneficiary completes at least 12 CR/ICR services provides a strong incentive for CR participants to expand CR referrals and to increase the likelihood that beneficiaries complete a clinically meaningful number of CR services. The proposal creates a continuous, significant incentive for increased CR/ICR service utilization that provides value beyond the service utilization benchmark of 12 CR/ICR services, consistent with the literature that shows a decrease in mortality for beneficiaries that complete more CR sessions relative to beneficiaries that complete fewer CR sessions.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 amount for a beneficiary in a CR participant's AMI and CABG model episodes or AMI care periods and CABG care periods in a CR performance year would be the sum of the $ 25 per-service CR incentive amount for each of the first 11 CR/ICR services and the $ 175 per-service CR incentive amount for each additional CR/ICR service paid by Medicare beyond the first 11. The CR participant's CR incentive payment for a CR performance year would be determined based on the sum of the CR amounts across all of its beneficiaries for that CR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this comprehensive CR incentive payment methodology would be appropriate because it would create an explicit, strong incentive for CR participants to expand the utilization of CR/ICR services to achieve at least the evidence-based service utilization benchmark of 12 ICR/CR services and then significantly and continuously incentivize the provision of additional CR/ICR services that provide additional value, even if the full benefit of CR/ICR services for beneficiaries that have had an AMI or a CABG is not realized until after an episode or care period ends. Moreover, the CR incentive payment could offset resource costs incurred by CR participants that successfully increase utilization of CR/ICR services, such as FFS-CR participants providing transportation or EPM-CR participants providing beneficiary engagement incentives as discussed in sections III.I.9. and VI.F.6. of this final rule for EPM-CR and FFS-CR participants,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the CR incentive payment would be made to the CR participant </w:t>
      </w:r>
      <w:r>
        <w:rPr>
          <w:rFonts w:ascii="arial" w:eastAsia="arial" w:hAnsi="arial" w:cs="arial"/>
          <w:b/>
          <w:i w:val="0"/>
          <w:strike w:val="0"/>
          <w:noProof w:val="0"/>
          <w:color w:val="000000"/>
          <w:position w:val="0"/>
          <w:sz w:val="20"/>
          <w:u w:val="none"/>
          <w:vertAlign w:val="baseline"/>
        </w:rPr>
        <w:t> [*577] </w:t>
      </w:r>
      <w:r>
        <w:rPr>
          <w:rFonts w:ascii="arial" w:eastAsia="arial" w:hAnsi="arial" w:cs="arial"/>
          <w:b w:val="0"/>
          <w:i w:val="0"/>
          <w:strike w:val="0"/>
          <w:noProof w:val="0"/>
          <w:color w:val="000000"/>
          <w:position w:val="0"/>
          <w:sz w:val="20"/>
          <w:u w:val="none"/>
          <w:vertAlign w:val="baseline"/>
        </w:rPr>
        <w:t xml:space="preserve"> retrospectively after the end of a CR performance year as discussed in section VI.E.4. of this final rule, the CR incentive payment would represent the totality of financial reward to the CR participant based on the proposed methodology for determining the payment based on CR/ICR service utilization during the CR performance year. The CR participant's resources required to support the increased utilization of CR/ICR services are likely to vary among beneficiaries. For example, it is possible that greater CR participant resources may be required to encourage and support the utilization of a beneficiary's first CR/ICR services during an AMI or CABG model episode or AMI care period or CABG care period, in comparison with promoting adherence to additional prescribed CR/ICR services once the care pattern is well-established for that beneficiary. The proposed retrospective payment approach means CR participants would have the flexibility to redesign care to meet the needs of their beneficiaries regarding increased utilization of CR/ICR services, even though the CR incentive payment methodology only provides the higher level per-service CR incentive amount when CR/ICR service utilization achieves levels associated with improved outcomes. The approach is consistent with the model payment methodology that is designed to reward the value and not the volume of services by providing a higher total financial reward for utilization of services that has been shown to result in improved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determining the amount of the CR incentive payments were proposed in § 512.710(a) and (b). We would also note that we expect to revisit the levels of the CR incentive payment and the service utilization benchmark over the CR performance years as we observe the effects of the model policies on CR/ICR service utilization and the long-term outcomes and Medicare expenditures for CR incentive payment model beneficiaries under the EPMs and Medicare FFS program payment methodologies for overall care. For example, it is possible that the proposed CR incentive payment methodology could lead to substantial increases in CR/ICR service utilization such that the proposed CR incentive payment model policies may no longer be necessary or appropriate once new care patterns are well-established.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requested CMS consider the feasibility of expanding the number of CR/ICR incentive payment model beneficiaries to include all diagnoses eligible for CR coverage through Medicare and/or enable all EPM participants which are selected for the AMI/CABG model to be eligible for participation in the CR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acknowledge that CR/ICR services are provided for many indications, it would be unreasonable to test multiple proposals to address these concerns simultaneously, as such tests would make the assignment of appropriate controls difficult and assessment of impacts and outcomes from such proposals challenging to attribute to just one proposal. CMS proposed that EPM-CR participants be defined as hospitals that are AMI or CABG model participants located in the MSAs selected for the EPM-CR participation, and similarly proposed that FFS-CR participants are hospitals located in the MSAs selected for FFS-CR participation. We proposed the CR incentive payment model to test the effects on quality of care and Medicare expenditures of providing explicit financial incentives in addition to, rather than in lieu of, current Medicare expenditures to CR participants for beneficiaries hospitalized for treatment of AMI or CABG to encourage care coordination and greater utilization of medically necessary CR/ICR services for 90 days post-hospital discharge where the beneficiary's overall care is paid under either an EPM or the Medicare FFS program. We continue to expect that EPM participants would be highly engaged in care management of beneficiaries for the 90-day post-discharge duration included in the episode and could be able to capitalize on that engagement to encourage greater use of medically appropriate CR/ICR services if they were also selected for participation in the CR incentive payment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offered a variety of perspectives on the duration of the period of time for which the CR/ICR incentive payment would be made. A commenter suggested that the incentives as stated should be sufficient to encourage the timely enrollment of patients in to CR but noted that the 90-day period will likely not be sufficient to maximize their full effect on improving adherence if they are only in effect for 90 days after index event. A few commenters further encouraged CMS to consider the option of having the incentives maintained beyond the 90-day period. In contrast, one commenter noted that the timing of the payments as proposed may serve as an incentive to enroll patients as soon as possible and make program adjustments to allow for more active participation during the 90-day time period. Therefore, the commenter reasoned, it would be incumbent on the CR/ICR programs to implement strategies that would result in immediate referral to get patients enrolled within seven days of hospital discharge and remove barriers to more active participation to fully complete the 36 sessions during the 90-day period. A few other commenters expressed uncertainty around the structure of the CR incentive payment and requested that CMS confirm that CR/ICR incentive payments will persist for EPM beneficiaries after their 90-day EPM episode ends, citing their experiences of a lag in time before which a referral for CR/ICR services is made and their experience with the period of time over which a CR/ICR course of treatment takes place. Similarly, several commenters requested that CMS confirm that CR/ICR incentive payments will be made in addition to, rather than in lieu of, the underlying Medicare FFS payments to providers for CR/ICR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acknowledge that CR/ICR services often continue beyond the 90- day post-discharge duration we proposed for the CR incentive payment model, it would be unreasonable to test multiple proposals to address these concerns simultaneously, as such tests would make the assignment of appropriate controls difficult and assessment of impacts and outcomes from such proposals challenging to attribute to just one proposal. We proposed the CR incentive payment model to test the effects on quality of care and Medicare expenditures of providing explicit financial incentives in addition to, rather than in lieu of, current Medicare expenditures to CR participants for beneficiaries hospitalized for treatment of AMI or CABG to encourage care coordination and greater utilization of medically necessary CR/ICR services for 90 days post-hospital discharge where the beneficiary's overall care is paid under either an EPM or the Medicare FFS program. We continue to expect that EPM participants would be highly engaged in care management of beneficiaries for the 90-day post-discharge duration included in the episode and could be able to capitalize on that engagement to encourage greater use of medically appropriate CR/ICR services if they were also selected for participation in the CR incentive payment model. Therefore, we are not extending incentive payments at this time as we believe the proposal to provide a CR incentive payment specifically to EPM-CR participants is </w:t>
      </w:r>
      <w:r>
        <w:rPr>
          <w:rFonts w:ascii="arial" w:eastAsia="arial" w:hAnsi="arial" w:cs="arial"/>
          <w:b/>
          <w:i w:val="0"/>
          <w:strike w:val="0"/>
          <w:noProof w:val="0"/>
          <w:color w:val="000000"/>
          <w:position w:val="0"/>
          <w:sz w:val="20"/>
          <w:u w:val="none"/>
          <w:vertAlign w:val="baseline"/>
        </w:rPr>
        <w:t> [*578] </w:t>
      </w:r>
      <w:r>
        <w:rPr>
          <w:rFonts w:ascii="arial" w:eastAsia="arial" w:hAnsi="arial" w:cs="arial"/>
          <w:b w:val="0"/>
          <w:i w:val="0"/>
          <w:strike w:val="0"/>
          <w:noProof w:val="0"/>
          <w:color w:val="000000"/>
          <w:position w:val="0"/>
          <w:sz w:val="20"/>
          <w:u w:val="none"/>
          <w:vertAlign w:val="baseline"/>
        </w:rPr>
        <w:t xml:space="preserve"> reasonable when it aligns with the AMI or CABG episode of care because these participants are already engaged in managing the AMI or CABG model beneficiary's overall care for a period of time following hospital discharge and will compare these participants to FFS-CR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raised concern that the proposed timing of the CR incentive payment model did not align with the panoply of patient experiences. A commenter stated that not all patients need the full complement of CR/ICR sessions, and another stated that not all cardiac patients are candidates for cardiac rehabilitation services. To this end, commenters submitted alternative proposals, including combining payments for CR/ICR services into the bundled payment for AMI and CABG.</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agree that improved outcomes have been demonstrated in patients who participate in as little as one CR session per week over 36 weeks </w:t>
      </w:r>
      <w:hyperlink r:id="rId136" w:history="1">
        <w:r>
          <w:rPr>
            <w:rFonts w:ascii="arial" w:eastAsia="arial" w:hAnsi="arial" w:cs="arial"/>
            <w:b w:val="0"/>
            <w:i/>
            <w:strike w:val="0"/>
            <w:noProof w:val="0"/>
            <w:color w:val="0077CC"/>
            <w:position w:val="0"/>
            <w:sz w:val="20"/>
            <w:u w:val="single"/>
            <w:vertAlign w:val="baseline"/>
          </w:rPr>
          <w:t>(74 FR 61875),</w:t>
        </w:r>
      </w:hyperlink>
      <w:r>
        <w:rPr>
          <w:rFonts w:ascii="arial" w:eastAsia="arial" w:hAnsi="arial" w:cs="arial"/>
          <w:b w:val="0"/>
          <w:i w:val="0"/>
          <w:strike w:val="0"/>
          <w:noProof w:val="0"/>
          <w:color w:val="000000"/>
          <w:position w:val="0"/>
          <w:sz w:val="20"/>
          <w:u w:val="none"/>
          <w:vertAlign w:val="baseline"/>
        </w:rPr>
        <w:t xml:space="preserve"> the proposed general design of the CR incentive payment model is consistent with the belief that encouraging timely referral of beneficiaries that have had an AMI or a CABG to CR/ICR programs would promote better adherence to CR/ICR service protocols, an expectation that is supported by data showing that patients who are referred early to CR were more likely to enroll. n168 We believe this model may yield improved coordination, care management, and secondary risk reduction during the episode of care after AMI or CABG for the beneficiary. Additionally, CMS proposed the CR incentive payment model to test the effects on quality of care and Medicare expenditures of providing explicit financial incentives to CR participants for beneficiaries hospitalized for treatment of AMI or CABG to encourage care coordination and greater utilization of medically necessary CR/ICR services for 90 days post-hospital discharge where the beneficiary's overall care is paid under either an EPM or the Medicare FFS program, and believe that extending CR/ICR incentive payments beyond the 90-day episode is not aligned with the proposed rationale. We remind all commenters that section 410.49(f) includes coverage for a maximum of two 1-hour CR sessions per day for up to 36 sessions over up to 36 weeks with the option for an additional 36 sessions over an extended period of time if approved by the Medicare Administrative Contractor under section 1862(a)(1)(A)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n168 Grace SL et al. Effectiveness of inpatient and outpatient strategies in increasing referral and utilization of cardiac rehabilitation: A prospective, multi-site study. Implement Sci. 2012: 7:120.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support for the CR/ICR incentive payments as proposed, and encouraged implementation, as they believe the result will show support of its broader use. A commenter noted that the incentive payments are in the right amounts and appropriately tiered for the initial demonstration program. Several commenters expressed opposing viewpoints as to the sufficiency of the CR/ICR incentive payment, and MedPAC questioned whether such a large amount would be necessary to induce changes in provider behavior. A commenter noted that it does not have the expertise to determine whether the proposed monetary payment is sufficient to achieve the stated goal, and encouraged CMS to seriously consider comments from hospitals and the community of cardiology professionals to ensure the sufficiency of the incentive payment. Another commenter encouraged CMS to revisit the amount of the incentive payments after 6 months to observe the effects of the model policies on service utilization, long-term outcomes, and Medicare expenditures to assess if they are sufficiently high to encourage plan participants to identify and remove beneficiary barriers to provision of CR/ICR services. A commenter noted that despite the CR/ICR incentive payment, even participant hospitals that share CMS' goal of increasing clinically appropriate services may be unlikely to be able to devote staff and financial resources to encourage beneficiary participation in programs such as CR/ICR whose benefits, while important, primarily affect the cost of services needed by beneficiaries long after the AMI or CABG episode ends. Many commenters questioned the extent to which CMS provided sufficient evidence supporting the sufficiency of the CR incentive payment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other commenters submitted both general and specific concerns with the proposed CR/ICR incentive payment amount. MedPAC commented that the proposed incentive payment of $ 175 per CR/ICR service once a beneficiary exceeds 11 CR/ICR services considerably exceeds the amount Medicare pays for each service itself, could add up to a substantial amount per beneficiary, and expressed uncertainty as to how CMS determined the level of the proposed payment incentive amount. Several commenters proposed alternative amounts for CR/ICR incentive payments, including (1) bundled payment for all CR/ICR services, which could be divided into the following four categories: 5 or less sessions, $ 500 allowed; 6-12 sessions, $ 1000; 13-24 sessions, $ 2000; 25-36 sessions, $ 3000; (2) offer of a higher level of per-service CR/ICR incentive amount or adding a tier for increasing the number of enrollees from an underserved group; (3) make interim incentive payments during the year; and (4) increase in payment for the initial session of CR/ICR services provided to the patient from $ 25 to $ 175 as this first session is fundamental to enrolling the patient, beginning the rehabilitation process, and reflecting the intense resources necessary in the initial evaluation, enrollment, and education of the patient.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understand the commenters' concerns and appreciate alternative proposals that are in the spirit of testing the outcomes of the proposed model. We set the proposed service utilization benchmark based on evidence from the literature that shows reduced mortality for Medicare beneficiaries that complete at least 12 CR sessions relative to Medicare beneficiaries who complete 1-11 CR sessions n169 n170 and evidence that beneficiaries who completed 25 or more CR sessions had lower mortality compared to beneficiaries who completed 1-24 CR sessions. n171 n172 Furthermore, we did not propose to set a cap on the number of CR/ICR services that would count toward the CR payment amount during an AMI or CABG model episode or AMI care period or CABG care period. We believe the proposed approach, rather than the alternative recommendations of the commenters, is consistent with the model payment methodology that is designed to reward the value and not the volume of services by providing a higher total financial reward for </w:t>
      </w:r>
      <w:r>
        <w:rPr>
          <w:rFonts w:ascii="arial" w:eastAsia="arial" w:hAnsi="arial" w:cs="arial"/>
          <w:b/>
          <w:i w:val="0"/>
          <w:strike w:val="0"/>
          <w:noProof w:val="0"/>
          <w:color w:val="000000"/>
          <w:position w:val="0"/>
          <w:sz w:val="20"/>
          <w:u w:val="none"/>
          <w:vertAlign w:val="baseline"/>
        </w:rPr>
        <w:t> [*579] </w:t>
      </w:r>
      <w:r>
        <w:rPr>
          <w:rFonts w:ascii="arial" w:eastAsia="arial" w:hAnsi="arial" w:cs="arial"/>
          <w:b w:val="0"/>
          <w:i w:val="0"/>
          <w:strike w:val="0"/>
          <w:noProof w:val="0"/>
          <w:color w:val="000000"/>
          <w:position w:val="0"/>
          <w:sz w:val="20"/>
          <w:u w:val="none"/>
          <w:vertAlign w:val="baseline"/>
        </w:rPr>
        <w:t xml:space="preserve"> utilization of services that has been shown to result in improved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n169 Intensive Cardiac Rehabilitation (ICR) Programs. Chapter 1, Part 1, Section 20.31.1-3. Medicare National Coverage Determinations (NCD) Manual.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n170 Hammill BG, Curtis LH, Schulman KA, Whellan DJ. Relationship between cardiac rehabilitation and long-term risks of mortality and myocardial infarction among elderly Medicare beneficiaries. Circulation. 2010; 121:63-70.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n171 Figure 2 of Hammill BG, Curtis LH, Schulman KA, Whellan DJ. Relationship between cardiac rehabilitation and long-term risks of mortality and myocardial infarction among elderly Medicare beneficiaries. Circulation. 2010; 121:63-70. Note that the 30,161 overall beneficiaries in the table contained in the figure refers to the number of Medicare beneficiaries that initiated cardiac rehabilitation services between January 1, 2000 and December 31, 2005 in the national 5 percent sample used by Hammill et 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n172 Suaya JA, Stason WB, Ades PA, Normand ST, Shephard DS. Cardiac rehabilitation and survival in older coronary patients. Journal of the American College of Cardiology 2009; 54:25-33.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such incentive payments specific to the provision of CR/ICR services have not previously been tested in this way, we will test to determine whether there are sufficient payment amounts applicable and available to increase utilization of CR/ICR services. We do know that an important design element of any incentive payment model is the threshold or benchmark n173 used to determine which CR participants will receive incentive payments. For this design element, we believe we have presented strong evidence in support of proposed benchmarks that are clear, transparent, and for which CR participants can attain meaningful improvements. Therefore, the proposed incentive payment amount provides a strong incentive for CR participants to expand CR referrals and to increase the likelihood that beneficiaries complete a clinically meaningful number of CR services.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 Damberg CL, et al. (2014) Measuring Success in Health Care Value-Based Purchasing Programs. Retrieved October 31, 2016, from the RAND Corporation Web site: </w:t>
      </w:r>
      <w:hyperlink r:id="rId139" w:history="1">
        <w:r>
          <w:rPr>
            <w:rFonts w:ascii="arial" w:eastAsia="arial" w:hAnsi="arial" w:cs="arial"/>
            <w:b w:val="0"/>
            <w:i/>
            <w:strike w:val="0"/>
            <w:noProof w:val="0"/>
            <w:color w:val="0077CC"/>
            <w:position w:val="0"/>
            <w:sz w:val="20"/>
            <w:u w:val="single"/>
            <w:vertAlign w:val="baseline"/>
          </w:rPr>
          <w:t>http://www.rand.org/pubs/research_reports/RR306.html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may revisit the levels of the CR incentive payment and the service utilization benchmark over the CR performance years as we observe the effects of the model policies on CR/ICR service utilization and the long-term outcomes and Medicare expenditures for CR incentive payment model beneficiaries under the EPMs and Medicare FFS program payment methodologies for overall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minority of commenters stated confusion as to the extent to which CR incentive payments would be made in addition to or in lieu of payments to providers for CR/ICR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reiterate that under the CR incentive payment model, a CR incentive payment to EPM-CR and FFS-CR participants would be made under the model. Regular Medicare program payments would continue to be made to providers and suppliers that furnish and bill for CR/ICR services to beneficiaries in AMI or CABG episodes or AMI care periods or CABG care periods.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raised concern as to the means to implement a value-based incentive design for a CR/ICR model, as these commenters believe the proposed CR/ICR incentive payment model to be a utilization-based model. Such alternative proposals included a general focus on outcomes associated with use of CR/ICR services and a specific focus on outcome metrics (for example, 30-day mortality, re-hospitalization rates) as well as process metrics (referral to CR, statin use) for those processes that are well established and evidence-based. To this end, a few commenters requested that CMS work with the healthcare community to determine appropriate patient-reported outcomes measures for CR/ICR services prior to finalizing the proposed EPMs. Without specific outcome measures attributed to this model, commenters suggested that some policy makers might incorrectly conclude that CR/ICR services are not important. Furthermore, commenters stated that these quality measures would permit alignment with tracks for Advanced APMs and MIPS APMs. Several commenters suggested inclusion of patient-reported outcome (PRO) metrics, and requested that CMS work with the healthcare community to determine appropriate PRO metric(s). It was suggested by these commenters that such outcomes may identify appropriate length of rehabilitation. Additionally, MedPAC recommended creating claims-based physician or hospital measures for all providers who care for beneficiaries with AMI and CABG, and then such measures could gauge the share of beneficiaries who receive CR/ICR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CR incentive payment for EPM-CR participants is specifically tied to increased utilization of CR/ICR services within AMI and CABG model episodes and, the rationale for utilization of such services is built on a strong evidence base of improved health outcomes for beneficiaries who have had an AMI or a CABG. Therefore, this model is designed to reward increased EPM-CR participant referral of AMI and CABG model beneficiaries to CR/ICR programs. Additionally, we remind all commenters that historical claims data show that more than half of beneficiaries who receive one CR session go on to complete at least 25 sessions. n174 Furthermore, we note that an outcomes assessment is part of the CR benefit established by Congress in section 144(a) of the MIPPA, which is designed to ensure CR programs enhance the patient's clinical outcomes. Section 410.49 of this subpart further describes the assessment of outcomes. While we appreciate the remark that quality measures are required for an APM to qualify as an Advanced APM under the QPP final rule, we remind all commenters that an APM must also require participants to bear financial risk (or be a Medical Home Model expanded under section 1115A(c) of the Act) and utilize CEHRT, which CMS did not propose for the CR/ICR incentive payment model. Thus, we are finalizing our CR incentive payment model without including separate and distinct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n174 Analysis of CR/ICR services utilization in 2013 Medicare FFS Parts A and B claims.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MedPAC commented that the same outcomes could be accomplished by simply carving out payment for CR/ICR services from the EPM bundled payment and continuing to pay for these services separately, without incentive payments for EPM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CMS proposed the CR incentive payment model to test the effects on quality of care and Medicare expenditures of providing explicit financial incentives to CR participants for beneficiaries hospitalized for treatment of AMI or CABG to encourage care coordination and greater utilization of medically necessary CR/ICR services for 90 days post-hospital discharge where the beneficiary's overall care is paid under either an EPM or the Medicare FFS program. Therefore, we disagree that the same test could be accomplished by simply carving out CR/ICR services from a bundled payment for a broadly defined cardiac episode-of-care. The CR incentive payment is not a payment for the CR/ICR services themselves. Rather, it is for the CR participant work to coordinate and increase the utilization of the beneficiary's participation in CR/ICR services following hospital discharge. A carve-out of the payments for CR/ICR services from the EPM episode would also not allow us to examine the effects of a CR incentive payment in the context of an underlying episode or FFS payment methodology for overall care. We will continue to monitor the effects of this model on EPM-CR and FFS-CR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Most commenters agreed that the primary goal of an incentive payment model should be to recruit the vast majority of prospective patients into cardiac rehabilitation, with much less emphasis on how many sessions they attend. A commenter shared their experience that for patients who have been diligent in performing an exercise program prior to cardiac event and/or performing a home exercise program since cardiac event, only one or several sessions may be all that is necessary to insure that these patients will obtain the documented benefits of regular exercise. Another commenter shared their experience, particularly in the past 5-10 years, that most cardiac rehabilitation participants, particularly those who have not been very active pre- and post- cardiac event, can achieve reasonable improvements in exercise skills and </w:t>
      </w:r>
      <w:r>
        <w:rPr>
          <w:rFonts w:ascii="arial" w:eastAsia="arial" w:hAnsi="arial" w:cs="arial"/>
          <w:b/>
          <w:i w:val="0"/>
          <w:strike w:val="0"/>
          <w:noProof w:val="0"/>
          <w:color w:val="000000"/>
          <w:position w:val="0"/>
          <w:sz w:val="20"/>
          <w:u w:val="none"/>
          <w:vertAlign w:val="baseline"/>
        </w:rPr>
        <w:t> [*580] </w:t>
      </w:r>
      <w:r>
        <w:rPr>
          <w:rFonts w:ascii="arial" w:eastAsia="arial" w:hAnsi="arial" w:cs="arial"/>
          <w:b w:val="0"/>
          <w:i w:val="0"/>
          <w:strike w:val="0"/>
          <w:noProof w:val="0"/>
          <w:color w:val="000000"/>
          <w:position w:val="0"/>
          <w:sz w:val="20"/>
          <w:u w:val="none"/>
          <w:vertAlign w:val="baseline"/>
        </w:rPr>
        <w:t xml:space="preserve"> confidence with just 6 to 24 sessions of cardiac rehabilitation exercise. To this end, many commenters expressed concern that they believe there is a lack of standardization around CR programs, and it may be unclear which number of sessions be tied to CR/ICR incentive payments. A commenter encouraged CMS to study the appropriate length of these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and refer the commenters to research demonstrating that beneficiaries who completed more CR sessions had lower mortality compared to beneficiaries that completed fewer sessions. n175 n176 We believe that the CR incentive payment model has an evidence-based focus on payment of the CR incentive payment based on the number of sessions beneficiaries attend. The proposed model is also focused in scope so as to best understand the effects on quality of care and Medicare expenditures for providing explicit financial incentives to CR participants to increase CR/ICR utilization for beneficiaries following hospitalization for treatment of AMI or CABG. Therefore, we believe that such research and development of a standardized CR program is outside the scope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n175 Hammill BG, Curtis LH, Schulman KA, Whellan DJ. Relationship between cardiac rehabilitation and long-term risks of mortality and myocardial infarction among elderly Medicare beneficiaries. Circulation. 2010; 121:63-70.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n176 Suaya JA, Stason WB, Ades PA, Normand ST, Shephard DS. Cardiac rehabilitation and survival in older coronary patients. Journal of the American College of Cardiology 2009; 54:25-33.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 modification as discussed in the previous section, for determining the amount of the CR incentive payments in § 512.710(a) based on CR/ICR services paid by Medicare to any provider or any supplier reporting place of service code 11 on the claim for CR beneficiaries. We are finalizing the proposal, without modification, in § 512.710(b) for determination of the CR incentive payment. However, we are revising our proposed definitions of the terms CR amount and CR service count used in § 512.710(b) to incorporate the same limitation to include only those CR/ICR services on supplier claims that report place of service code 11 as previously discussed. Therefore, CR amount means the dollar amount determined by the number of CR/ICR services paid by Medicare to any provider or to any supplier reporting place of service code 11 on the claim for a beneficiary in an AMI or CABG model episode or AMI care period or CABG care period. Similarly, CR service count means the number of CR/ICR services paid by Medicare to any provider or to any supplier reporting place of service code 11 on the claim for a beneficiary in an AMI or CABG model episode or AMI care period or CABG care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proposed, we will determine the CR amount for a beneficiary in an AMI or CABG model episode or AMI care period or CABG care period with a CR service count less than 12 by multiplying the CR service count by $ 25. We will determine the CR amount for a beneficiary in an AMI or CABG model episode or AMI care period or CABG care period with a CR service count of 12 or more as the sum of $ 275 ($ 25 multiplied by 11 for the first 11 CR/ICR services paid for by Medicare) and $ 175 multiplied by the difference between the CR service count and 11. Finally, we will sum the CR amounts determined previously across the CR participant's beneficiaries in AMI and CABG model episodes or AMI care periods and CABG care periods for a given CR performance year to determine the CR incentive payment for the CR performance year. The determination of the CR incentive payment occurs at the same time that CMS carries out the reconciliation process for an EPM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Relation of CR Incentive Payments to EPM Pricing and Payment Policies and Sharing Arrangements for EPM-CR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view the proposed CR incentive payments as separate and distinct from reconciliation payments and Medicare repayments for EPM-CR participants determined under § 512.305(d). The determination of these latter payments is based on an assessment of actual episode payments and quality of the totality of episode services and coordination of those services during AMI and CABG model episodes within a performance year, consistent with the goals of improving quality and reducing costs within the model episode itself. In contrast, the proposed CR incentive payment under the CR incentive payment model is a more circumscribed and specific payment designed to financially incentivize increased utilization of CR/ICR services which may improve quality and reduce costs for AMI and CABG model beneficiaries in the long-term, after the episodes end. Thus, we proposed to determine and apply the CR incentive payment separately from the determination and application of reconciliation payments and Medicare repayments for EPM-CR participants. Moreover, we would also note that we proposed to make CR incentive payments to EPM-CR participants without application of the limitation on gains as specified in § 512.305(c)(2)(iii)(B). This is because the limitation on gains is designed to mitigate potential excessive reductions in utilization under the EPMs, and by construction, the CR incentive payment would only be made when an EPM-CR participant increases utilization of CR/ICR services. Therefore, the CR incentive payment is unrelated to the comparison of actual EPM episode payment to the quality-adjusted target price in calculating the NPRA, to which the limitation on gains applies and that may ultimately result in a reconciliation payment to an EPM-CR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aforementioned proposal and for the aforementioned reasons, in contrast to reconciliation payments, we proposed to not permit the inclusion of CR incentive payments in sharing arrangements for EPM-CR participants specified in § 512.500. As discussed in section III.I.1. of this final rule, we believe that EPM participants may wish to enter into financial arrangements with providers and suppliers caring for EPM beneficiaries to share financial risks and rewards under the EPM, in order to align the financial incentives of those providers, suppliers, and Medicare ACOs with the EPM goals of improving quality and efficiency for EPM episodes. In contrast, the CR incentive payment for EPM-CR participants is specifically tied to increased utilization of CR/ICR services within AMI and CABG model episodes and, therefore, is designed to reward increased EPM-CR participant referral of AMI and CABG model beneficiaries to CR/ICR programs, as well as supporting beneficiary adherence to the referral and participation in CR/ICR services, rather than the quality and efficiency of EPM episodes themselves. Thus, we did not propose to allow CR incentive payments to be included in sharing arrangements, and the CR incentive payments may be shared with other individual and entities only under circumstances which comply with all existing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fraud and abuse laws. Similarly, we did not propose that CR incentive payments be allowed to be shared by FFS-CR participants with other individuals and entities other than under circumstances which comply with all existing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fraud and abuse laws. We refer to section VI.G. of this final rule for further discussion of considerations regarding financial arrangements under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Likewise, we proposed to exclude CR incentive payments when updating </w:t>
      </w:r>
      <w:r>
        <w:rPr>
          <w:rFonts w:ascii="arial" w:eastAsia="arial" w:hAnsi="arial" w:cs="arial"/>
          <w:b/>
          <w:i w:val="0"/>
          <w:strike w:val="0"/>
          <w:noProof w:val="0"/>
          <w:color w:val="000000"/>
          <w:position w:val="0"/>
          <w:sz w:val="20"/>
          <w:u w:val="none"/>
          <w:vertAlign w:val="baseline"/>
        </w:rPr>
        <w:t> [*581] </w:t>
      </w:r>
      <w:r>
        <w:rPr>
          <w:rFonts w:ascii="arial" w:eastAsia="arial" w:hAnsi="arial" w:cs="arial"/>
          <w:b w:val="0"/>
          <w:i w:val="0"/>
          <w:strike w:val="0"/>
          <w:noProof w:val="0"/>
          <w:color w:val="000000"/>
          <w:position w:val="0"/>
          <w:sz w:val="20"/>
          <w:u w:val="none"/>
          <w:vertAlign w:val="baseline"/>
        </w:rPr>
        <w:t xml:space="preserve"> quality-adjusted target prices for EPM-CR participants for performance years 3-5 of the EPMs because payments for CR/ICR services already would be captured in the claims used to update those quality-adjusted target prices. Therefore, we believe that including the CR incentive payments would result in double counting expenditures for CR/ICR services when updating quality-adjusted target prices. We note that while the CR incentive payments would not be included in the calculation of actual EPM episode spending or when updating quality-adjusted target prices for EPM-CR participants, the claims for those CR/ICR services upon which the CR incentive payment was determined would be included in both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keeping CR incentive payments, if any, separate from reconciliation payments and Medicare repayments as well as excluding them from sharing arrangements and updating quality adjusted target prices for EPM-CR participants are included in § 512.710(c) through (e). We sought comments on our proposals to keep CR incentive payments separate and exclusive.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 We refer to section VI.G of this final rule for a summary of the comments and our response on our discussion in the proposed rule of financial arrangements under the CR incentive payment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raised concern that while CMS proposed to exclude CR incentive payments from the calculation of episode spending and quality-adjusted target prices for AMI and CABG episodes, the actual FFS payments to providers of CR/ICR services will be included in both calculations. To this end, another commenter suggested that if efforts to increase CR utilization are successful, many EPM participants will not be eligible for reconciliation payments; in addition, this commenter believes that EPM participant hospitals that do not have their own CR/ICR programs will not be eligible for CR incentive payments under the CR incentive payment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that FFS payments for CR/ICR services will be included in the calculation of AMI and CABG actual episode spending because these services are related and included in AMI and CABG episodes. We proposed that the CR incentive payment itself be separate and excluded from AMI and CABG episodes because this incentive payment is a more circumscribed and specific payment designed to financially incentivize increased utilization of CR/ICR services which may improve quality and reduce costs for AMI and CABG model beneficiaries in the long-term, after the episodes end. However, we also believe that there is potential for CR/ICR services to improve the quality of care and reduce spending during the AMI and CABG episodes themselves. For example, CR/ICR services for which a CR incentive payment may ultimately be made under the CR incentive payment model may provide additional transferable benefits on cost and quality to beneficiaries during EPM episodes, including the potential benefit experienced by beneficiaries simply by virtue of their participation in CR/ICR programs, increased interaction with the health care delivery system, and frequent follow-up. Furthermore, EPM-CR participants may see benefit from the patient's own behavior change as a result of being under supervision, as such interactions through CR/ICR services could impact, for example, adherence to medication therapies after discharge, and/or seeking of follow-up care from a primary care physician or appropriate specialist. Therefore, any increased spending for CR/ICR services for beneficiaries in AMI and CABG episodes attributable to EPM-CR participants may be offset by reductions in spending for other episode services, such as readmissions or emergency care. We disagree with the assumption that EPM-CR participants cannot achieve savings in the EPMs that result in reconciliation payments due to reduced spending on other episode service after referring EPM beneficiaries for an increased number of CR/ICR services over historical CR/ICR utilization. We also reiterate that EPM-CR participants that do not have their own CR/ICR programs will be eligible for CR incentive payments under the CR incentive payment model based on the CR/ICR utilization of AMI and CABG model beneficiaries attributed to them, regardless of where those beneficiaries receive CR/ICR services. Finally, as we stated previously, the design of the CR incentive payment model will enable us to test and improve our understanding of the effects of the CR incentive payment within the context of an EPM and the Medicare FFS program, as well as identify potential interactions between the CR incentive payment and the underlying EPM and FFS payment methodologies.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recommended that the cardiac rehabilitation payment should be included in the bundled payment for AMI and CABG.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assume that this comment refers to the CR incentive payment, and we disagree with such a recommendation as this model proposed a specific payment designed to financially incentivize increased utilization of CR/ICR services which may improve quality and reduce costs for AMI and CABG model beneficiaries. FFS payments for CR/ICR services themselves are included in EPM episode spending. Thus, we proposed and are finalizing that the CR incentive payment be separate for EPM-CR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keep CR incentive payments, if any, separate from reconciliation payments and Medicare repayments, as well as excluding them from sharing arrangements and updating quality-adjusted target prices for EPM-CR participants in § 512.710(c) through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CR Incentive Payment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CR participants to receive timely and meaningful feedback on their performance with respect to the proposed CR incentive payments, we proposed to annually issue to CR participants a report containing at a minimum--</w:t>
      </w:r>
    </w:p>
    <w:p>
      <w:pPr>
        <w:keepNext w:val="0"/>
        <w:numPr>
          <w:numId w:val="8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1--The number of AMI and CABG model episodes or AMI care periods and CABG care periods attributed to the CR participant in which Medicare paid for 11 or fewer CR/ICR services for a beneficiary during the CR performance year, if any;</w:t>
      </w:r>
    </w:p>
    <w:p>
      <w:pPr>
        <w:keepNext w:val="0"/>
        <w:numPr>
          <w:numId w:val="8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2--The total number of CR/ICR services Medicare paid for during AMI and CABG model episodes or AMI care periods and CABG care periods identified in (1);</w:t>
      </w:r>
    </w:p>
    <w:p>
      <w:pPr>
        <w:keepNext w:val="0"/>
        <w:numPr>
          <w:numId w:val="8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3--The amount of the CR incentive payment attributable to the AMI and CABG model episodes or AMI care periods and CABG care periods identified in (1);</w:t>
      </w:r>
    </w:p>
    <w:p>
      <w:pPr>
        <w:keepNext w:val="0"/>
        <w:numPr>
          <w:numId w:val="8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4--The number of AMI and CABG model episodes or AMI care periods and CABG care periods attributed to the CR participant in which Medicare paid for 12 or more CR/ICR services for a beneficiary during the CR performance year, if any;</w:t>
      </w:r>
    </w:p>
    <w:p>
      <w:pPr>
        <w:keepNext w:val="0"/>
        <w:numPr>
          <w:numId w:val="8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5--The total number of CR/ICR services Medicare paid for during AMI and CABG model episodes or AMI care periods and CABG care periods identified in (4);</w:t>
      </w:r>
    </w:p>
    <w:p>
      <w:pPr>
        <w:keepNext w:val="0"/>
        <w:numPr>
          <w:numId w:val="8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6--The amount of the CR incentive payment attributable to the AMI and CABG model episodes or AMI care periods and CABG care periods identified in (4); and</w:t>
      </w:r>
    </w:p>
    <w:p>
      <w:pPr>
        <w:keepNext w:val="0"/>
        <w:numPr>
          <w:numId w:val="8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7--The total amount of the CR incentive payment. </w:t>
      </w:r>
      <w:r>
        <w:rPr>
          <w:rFonts w:ascii="arial" w:eastAsia="arial" w:hAnsi="arial" w:cs="arial"/>
          <w:b/>
          <w:i w:val="0"/>
          <w:strike w:val="0"/>
          <w:noProof w:val="0"/>
          <w:color w:val="000000"/>
          <w:position w:val="0"/>
          <w:sz w:val="20"/>
          <w:u w:val="none"/>
          <w:vertAlign w:val="baseline"/>
        </w:rPr>
        <w:t> [*582]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considered including additional information in the CR incentive payment report, including information on the number of CR/ICR services paid for by Medicare during each AMI or CABG model episode or AMI care period or CABG care period attributed to the CR participant during the CR performance year. However, because EPM-CR participants and FFS-CR participants can request more specific beneficiary-level data that would contain information on CR/ICR services paid for by Medicare for each AMI or CABG model episode or AMI care period or CABG care period attributed to the CR participant during the CR performance year, as discussed in sections III.K.2. and VI.F.3. of this final rule, we did not include such additional information in the CR incentive payment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EPM-CR participants, we proposed to issue this annual report at the same time we issue the reconciliation report specified in § 512.305(f). For FFS-CR participants, we proposed to issue this report at the same time proposed for EPM-CR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issue a CR incentive payment report is included in § 512.710(f). We sought comments on our proposal to issue a CR incentive payment report to CR participants and what other information, if any, would be helpful to include in the CR incentive payment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comments specific to our proposals for the CR incentive payment report.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our proposal, without modification, in § 512.710(f) to issue a CR incentive payment report for each CR performance year to EPM-CR and FFS-CR participants to include at a minimum --</w:t>
      </w:r>
    </w:p>
    <w:p>
      <w:pPr>
        <w:keepNext w:val="0"/>
        <w:numPr>
          <w:numId w:val="8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1--The number of AMI and CABG model episodes or AMI care periods and CABG care periods attributed to the CR participant in which Medicare paid for 11 or fewer CR/ICR services for a beneficiary during the CR performance year, if any;</w:t>
      </w:r>
    </w:p>
    <w:p>
      <w:pPr>
        <w:keepNext w:val="0"/>
        <w:numPr>
          <w:numId w:val="8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2--The total number of CR/ICR services Medicare paid for during AMI and CABG model episodes or AMI care periods and CABG care periods identified in (1);</w:t>
      </w:r>
    </w:p>
    <w:p>
      <w:pPr>
        <w:keepNext w:val="0"/>
        <w:numPr>
          <w:numId w:val="8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3--The amount of the CR incentive payment attributable to the AMI and CABG model episodes or AMI care periods and CABG care periods identified in (1);</w:t>
      </w:r>
    </w:p>
    <w:p>
      <w:pPr>
        <w:keepNext w:val="0"/>
        <w:numPr>
          <w:numId w:val="8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4--The number of AMI and CABG model episodes or AMI care periods and CABG care periods attributed to the CR participant in which Medicare paid for 12 or more CR/ICR services for a beneficiary during the CR performance year, if any;</w:t>
      </w:r>
    </w:p>
    <w:p>
      <w:pPr>
        <w:keepNext w:val="0"/>
        <w:numPr>
          <w:numId w:val="8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5--The total number of CR/ICR services Medicare paid for during AMI and CABG model episodes or AMI care periods and CABG care periods identified in (4);</w:t>
      </w:r>
    </w:p>
    <w:p>
      <w:pPr>
        <w:keepNext w:val="0"/>
        <w:numPr>
          <w:numId w:val="8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6--The amount of the CR incentive payment attributable to the AMI and CABG model episodes or AMI care periods and CABG care periods identified in (4); and</w:t>
      </w:r>
    </w:p>
    <w:p>
      <w:pPr>
        <w:keepNext w:val="0"/>
        <w:numPr>
          <w:numId w:val="8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7--The total amount of the CR incentive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Timing for Making CR Incentive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make CR incentive payments on a retrospective basis. In the case of an EPM-CR participant, these payments would occur concurrently with EPM reconciliation payments or repayment amounts assessed for a specific CR performance year which is the same as the performance year for the EPM, subject to the relation of the CR incentive payment described in section VI.E.2. of this final rule and the appeals process for EPM participants described in section III.D.8. of this final rule. In the case of a FFS-CR participant, these payments would occur at the same time as was proposed for EPM-CR participants, subject to the appeals process described in section VI.F.2.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timing for making CR incentive payments is included in § 512.710(g). We sought comments on our proposed timing for making CR incentive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stated support for the proposal to establish an incentive payment that would be paid retrospectively, as this commenter believes that cardiac rehabilitation is very important in improving patient health outcomes and reducing hospital readmissions. In contrast, another commenter offered an alternative proposal for the timing of CR incentive payments, and recommended CMS make interim incentive payments during the year so as to monitor take-up rates to see if the incentive level needs to be adjusted.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on the proposed timing for making CR incentive payments. However, we will not make interim CR incentive payments through the performance year based on claims for CR/ICR services furnished to CR beneficiaries that reflect less than a full model performance year. Given the lag in claims submission and payment in the Medicare FFS program for Part B services, we are not confident that we could gather sufficient reliable information in a period of less than a year that would cause us to reconsider the CR incentive payment methodology, including the amount, based on accurate observations of complete CR/ICR service utilization for model beneficiaries. In addition, changing the CR incentive payment methodology, including the amount, would require rulemaking, for which we would need sufficient information on true utilization changes and evaluation findings to propose a revised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believe that the proposed retrospective methodology that provides the CR incentive payment once per year to each CR participant after the end of the CR performance year is administratively straightforward for CMS and CR participants and will allow us to provide accurate CR incentive payments based on the CR/ICR utilization for CR beneficiaries. It will be possible with this payment methodology to monitor utilization of CR/ICR services for beneficiaries attributable to EPM-CR and FFS-CR participants, and we will continue to consider whether future proposals to change the CR incentive payment methodology are warranted based on our monitoring and early model implementation experience. Thus we are finalizing our proposed timing for the CR incentive payment.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for the timing of making CR incentive payments in § 512.710(g). CMS makes CR incentive payments on a retrospective basis subject to the appeals process for EPM participants in § 512.310 and makes the CR incentive payments, if any, at the same time as for EPM-CR participants, subject to the provisions in § 512.720.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Provisions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Access to Records and Retention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 III.H. of this final rule, we discuss our proposals for record access and retention under the EPM. The proposals describe the access to records and retention requirements for all EPM participants, including EPM-CR participants and other individuals and entities with respect to the EPM and CR incentive payment model, if the latter is applicable to the EPM participant. Two of the six categories of information subject to the requirements, specifically compliance with the requirements of the CR incentive payment model and the obligation to repay any CR incentive </w:t>
      </w:r>
      <w:r>
        <w:rPr>
          <w:rFonts w:ascii="arial" w:eastAsia="arial" w:hAnsi="arial" w:cs="arial"/>
          <w:b/>
          <w:i w:val="0"/>
          <w:strike w:val="0"/>
          <w:noProof w:val="0"/>
          <w:color w:val="000000"/>
          <w:position w:val="0"/>
          <w:sz w:val="20"/>
          <w:u w:val="none"/>
          <w:vertAlign w:val="baseline"/>
        </w:rPr>
        <w:t> [*583] </w:t>
      </w:r>
      <w:r>
        <w:rPr>
          <w:rFonts w:ascii="arial" w:eastAsia="arial" w:hAnsi="arial" w:cs="arial"/>
          <w:b w:val="0"/>
          <w:i w:val="0"/>
          <w:strike w:val="0"/>
          <w:noProof w:val="0"/>
          <w:color w:val="000000"/>
          <w:position w:val="0"/>
          <w:sz w:val="20"/>
          <w:u w:val="none"/>
          <w:vertAlign w:val="baseline"/>
        </w:rPr>
        <w:t xml:space="preserve"> payments owed to CMS, are relevant only to the CR incentive payment model. Thus, we proposed to establish CR incentive payment model access to records and retention requirements for FFS-CR participants and any other individuals or entities providing items or services to a FFS-CR beneficiary that are the same as we proposed for EPM-CR participants and other individuals and entities but only for the two categories of information that are applicable to the CR incentive payment model. The other four categories of information proposed for records access and retention under the EPM, specifically the calculation, distribution, receipt, or recoupment of gainsharing payments, alignment payments, distribution payments, and downstream distribution payments; the quality of the services furnished; the sufficiency of beneficiary notifications; and the accuracy of the EPM participant's submissions under CEHRT use requirements, are not relevant to the CR incentive payment model for FFS-CR participants and other individuals and entities providing items and services to FFS-CR beneficiaries because the CR incentive payment model includes no policies that relate directly to these categories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access to records and record retention for FFS-CR participants and other individuals and entities providing items and services to FFS-CR beneficiaries are included in § 512.715. We sought comment on our proposals, including whether it is necessary, reasonable and appropriate to impose these access and retention obligations on the FFS-CR participant and other individuals and entities providing items and services to FFS-CR beneficiaries for the proposed categories of information to be retained and made accessible. In addition, we sought comment on whether additional or different safeguards would be needed to ensure program integrity, protect against abuse, and ensure that the goals of the CR incentive payment model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requested that CMS lower the duration of record retention requirement for the CR incentive payment model from ten years, as this commenter believes ten years is an excessive amount of time for participating hospitals, collaborators, collaboration agents, and downstream collaboration agents to maintain documentation on this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appreciate the commenter's concern that ten years may seem excessive, we note that, once initiated, appeals and recalculation disputes can be lengthy processes and believe that maintaining this requirement as proposed would give both the participant and CMS, as well as those completing any audit, evaluation, inspection, or investigation, the resources to prepare and respond to issues that may take several years to surface. We continue to believe that these record retention requirements can be applied to categories of information that are broader than those solely related to financial arrangements, and therefore will consider requesting access to records that will assist in evaluating and measuring the CR incentive payment model goals.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for access to records and record retention for FFS-CR participants and other individuals and entities providing items and services to FFS-CR beneficiaries in § 512.715.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Appeals Process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 III.D.8. </w:t>
      </w:r>
      <w:hyperlink r:id="rId9" w:history="1">
        <w:r>
          <w:rPr>
            <w:rFonts w:ascii="arial" w:eastAsia="arial" w:hAnsi="arial" w:cs="arial"/>
            <w:b w:val="0"/>
            <w:i/>
            <w:strike w:val="0"/>
            <w:noProof w:val="0"/>
            <w:color w:val="0077CC"/>
            <w:position w:val="0"/>
            <w:sz w:val="20"/>
            <w:u w:val="single"/>
            <w:vertAlign w:val="baseline"/>
          </w:rPr>
          <w:t>(81 FR 50877</w:t>
        </w:r>
      </w:hyperlink>
      <w:r>
        <w:rPr>
          <w:rFonts w:ascii="arial" w:eastAsia="arial" w:hAnsi="arial" w:cs="arial"/>
          <w:b w:val="0"/>
          <w:i w:val="0"/>
          <w:strike w:val="0"/>
          <w:noProof w:val="0"/>
          <w:color w:val="000000"/>
          <w:position w:val="0"/>
          <w:sz w:val="20"/>
          <w:u w:val="none"/>
          <w:vertAlign w:val="baseline"/>
        </w:rPr>
        <w:t xml:space="preserve"> through 50880) of the proposed rule, we discuss our proposals for the appeals process under the EPMs. The proposal outlines the appeals process requirements for all EPM participants, including EPM-CR participants, with respect to the EPM and CR incentive payment model, if the latter is applicable to the EPM participant. CR incentive payments as well as non-payment related issues, such as enforcement matters, are relevant only to the CR incentive payment model. Thus, we proposed to establish CR incentive payment model appeals process for FFS-CR participants that have the same requirements as we proposed for the EPM but based on only the CR incentive payment and non-payment related issues, such as enforcement matters. All other appealable items under the EPM, specifically related to payment, reconciliation amounts, repayment amounts, determinations associated with quality measures affecting payment are not relevant to the CR incentive payment model for any FFS-CR participants because the CR incentive payment model includes no policies that relate directly to these categories of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CMS did not receive any comments on this section. Therefore, we are finalizing the proposal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Notice of Calculation Error (First Level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following calculation error process for the CR incentive payment model to contest matters related to the calculation of the FFS-CR participant's CR incentive payment as reflected in the CR incentive payment report. FFS-CR participants would review their CR incentive payment report and be required to provide written notice of any error in a calculation error form that must be submitted in a form and manner specified by CMS. Unless the FFS-CR participant provides such notice, the CR incentive payment report would be deemed final within 45 calendar days after it is issued, and CMS would proceed with payment. If CMS receives a timely notice of an error in the calculation, CMS would respond in writing within 30 calendar days to either confirm or refute the calculation error, although CMS would reserve the right to an extension upon written notice to the participant. We proposed that if a FFS-CR participant does not submit timely notice of a calculation error, which is notice within 45 calendar days of the issuance of the CR incentive payment report, the FFS-CR participant would be precluded from later contesting the CR incentive payment report for that CR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proposed the following requirements in § 512.720(a) for notice of calculation error:</w:t>
      </w:r>
    </w:p>
    <w:p>
      <w:pPr>
        <w:keepNext w:val="0"/>
        <w:numPr>
          <w:numId w:val="8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the limitations on review in subpart H of this part, if a FFS-CR participant wishes to dispute calculations involving a matter related to a CR incentive payment, the FFS-CR participant is required to provide written notice of the calculation error, in a form and manner specified by CMS.</w:t>
      </w:r>
    </w:p>
    <w:p>
      <w:pPr>
        <w:keepNext w:val="0"/>
        <w:numPr>
          <w:numId w:val="8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the FFS-CR participant provides such notice, CMS deems final the applicable CR incentive payment report 45 calendar days after the applicable CR incentive payment report is issued and proceeds with the payment as applicable.</w:t>
      </w:r>
    </w:p>
    <w:p>
      <w:pPr>
        <w:keepNext w:val="0"/>
        <w:numPr>
          <w:numId w:val="8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receives a notice of a calculation error within 45 calendar days of the issuance of the applicable CR incentive payment report, CMS responds in writing within 30 calendar days to either confirm that there was an error in the calculation or verify that the calculation is correct, although CMS reserves the right to an extension upon written notice to the FFS-CR participant.</w:t>
      </w:r>
    </w:p>
    <w:p>
      <w:pPr>
        <w:keepNext w:val="0"/>
        <w:numPr>
          <w:numId w:val="8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Only FFS-CR participants may use the notice of calculation error process described in this subpart. </w:t>
      </w:r>
      <w:r>
        <w:rPr>
          <w:rFonts w:ascii="arial" w:eastAsia="arial" w:hAnsi="arial" w:cs="arial"/>
          <w:b/>
          <w:i w:val="0"/>
          <w:strike w:val="0"/>
          <w:noProof w:val="0"/>
          <w:color w:val="000000"/>
          <w:position w:val="0"/>
          <w:sz w:val="20"/>
          <w:u w:val="none"/>
          <w:vertAlign w:val="baseline"/>
        </w:rPr>
        <w:t> [*584]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the proposed notice of calculation error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did not receive any comments on this section. Therefore, we are finalizing the proposal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Dispute Resolution Process (Second Level of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following dispute resolution process. First, we proposed that only a FFS-CR participant may utilize this dispute resolution process. Second, in order to access the dispute resolution process a FFS-CR participant must have timely submitted a calculation error form, as previously discussed, regarding the CR incentive payment. We proposed these matters would include any amount or calculation indicated on a CR incentive payment report, including calculations not specifically reflected on a CR incentive payment report but which generated figures or amounts reflected on a CR incentive payment report. We proposed calculation of CR incentive payment amounts would need to be first adjudicated by the calculation error process as previously detailed. If a FFS-CR participant wants to engage in the dispute resolution process with regard to the calculation of a CR incentive payment amount, we proposed it would first need to submit a calculation error form. Where the FFS-CR participant does not timely submit a calculation error form, we proposed the dispute resolution process would not be available to the FFS-CR participant with regard to the CR incentive payment report for that CR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FFS-CR participant did timely submit a calculation error form and the FFS-CR participant is dissatisfied with CMS' response to the FFS-CR participant's notice of calculation error, the FFS-CR participant would be permitted to request reconsideration review by a CMS reconsideration official. The reconsideration review request would be submitted in a form and manner and to an individual or office specified by CMS. The reconsideration review request would provide a detailed explanation of the basis for the dispute and include supporting documentation for the FFS-CR participant's assertion that CMS or its representatives did not accurately calculate CR incentive payment in accordance with CR incentive payment model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matter is unrelated to payment, such as termination from the CR incentive payment model, the FFS-CR participant need not submit a calculation error form. We proposed to require the FFS-CR participant to timely submit a request for reconsideration review, in a form and manner to be determined by CMS. Where such request is timely received, we proposed CMS would process the request as discussed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reconsideration review would be an on-the-record review (a review of briefs and evidence only). The CMS reconsideration official would make reasonable efforts to notify the FFS-CR participant in writing within 15 calendar days of receiving the FFS-CR participant's reconsideration review request of the date and time of the review, the issues in dispute, the review procedures, and the procedures (including format and deadlines) for submission of evidence (the "Scheduling Notice"). The CMS reconsideration official would make reasonable efforts to schedule the view to occur no later than 30 days after the date of the Scheduling Notice. The provisions at § 425.804(b), (c), and (e) (as in effect on the publication date of this final rule) would apply to reviews conducted pursuant to the reconsideration review process for the CR incentive payment model. The CMS reconsideration official would make reasonable efforts to issue a written determination within 30 days of the review. The determination would be final and binding.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proposed the following requirements in § 512.720 (b) for the reconsideration process:</w:t>
      </w:r>
    </w:p>
    <w:p>
      <w:pPr>
        <w:keepNext w:val="0"/>
        <w:numPr>
          <w:numId w:val="8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FFS-CR participant is dissatisfied with CMS' response to the notice of a calculation error, the FFS-CR participant may request a reconsideration review in a form and manner as specified by CMS.</w:t>
      </w:r>
    </w:p>
    <w:p>
      <w:pPr>
        <w:keepNext w:val="0"/>
        <w:numPr>
          <w:numId w:val="8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reconsideration request must provide a detailed explanation of the basis for the dispute and include supporting documentation for the FFS-CR participant's assertion that CMS or its representatives did not accurately calculate the CR incentive payment in accordance with subpart H of this part.</w:t>
      </w:r>
    </w:p>
    <w:p>
      <w:pPr>
        <w:keepNext w:val="0"/>
        <w:numPr>
          <w:numId w:val="8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does not receive a request for reconsideration from the FFS-CR participant within 10 calendar days of the issue date of CMS' response to the FFS-CR participant's notice of calculation error, then CMS' response to the calculation error is deemed final and CMS proceeds with the applicable processes, as described in subpart H of this part.</w:t>
      </w:r>
    </w:p>
    <w:p>
      <w:pPr>
        <w:keepNext w:val="0"/>
        <w:numPr>
          <w:numId w:val="8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CMS reconsideration official notifies the FFS-CR participant in writing within 15 calendar days of receiving the FFS-CR participant's review request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date, time, and location of the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issues in dispute.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review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procedures (including format and deadlines) for submission of evidence. The CMS reconsideration official takes all reasonable efforts to schedule the review to occur no later than 30 days after the date of receipt of notification.</w:t>
      </w:r>
    </w:p>
    <w:p>
      <w:pPr>
        <w:keepNext w:val="0"/>
        <w:numPr>
          <w:numId w:val="8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provisions at § 425.804(b), (c), and (e) of this chapter are applicable to reviews conducted in accordance with the reconsideration review process for the FFS-CR participant.</w:t>
      </w:r>
    </w:p>
    <w:p>
      <w:pPr>
        <w:keepNext w:val="0"/>
        <w:numPr>
          <w:numId w:val="8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CMS reconsideration official issues a written determination within 30 days of the review. The determination is final and binding.</w:t>
      </w:r>
    </w:p>
    <w:p>
      <w:pPr>
        <w:keepNext w:val="0"/>
        <w:numPr>
          <w:numId w:val="8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Only a FFS-CR participant may utilize the dispute resolution process described in this subpart. We sought comment on the proposed reconsideration process for the CR incentive payment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did not receive any comments on this section. Therefore, we are finalizing the proposal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Exception to the Notice of Calculation Error Process and Notice of 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FFS-CR participant contests a matter that does not involve an issue contained in, or a calculation which contributes to a CR incentive payment report, a notice of calculation error is not required. In instances where a notice of calculation error is not required, for example a FFS-CR participant's termination from the CR incentive payment model, we proposed the FFS-CR participant provide a written notice to CMS requesting review within 10 calendar days of the notice. CMS has 30 days to respond to the FFS-CR participant's request for review. If the FFS-CR participant fails to notify CMS, the decision is deemed final.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proposed the following requirements in § 512.720 (c) for an exception to the notice of calculation error process:</w:t>
      </w:r>
    </w:p>
    <w:p>
      <w:pPr>
        <w:keepNext w:val="0"/>
        <w:numPr>
          <w:numId w:val="8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FFS-CR participant contests a matter that does not involve an issue contained in, or a calculation which contributes to a CR incentive payment report a notice of calculation error is not required. In these instances, if CMS does not receive a request for reconsideration from the FFS-CR participant within 10 calendar days of the notice of the initial determination, the initial determination is deemed final and CMS proceeds with the action indicated in the initial determination. This does not apply to the limitations on review in sub-paragraph (e). </w:t>
      </w:r>
      <w:r>
        <w:rPr>
          <w:rFonts w:ascii="arial" w:eastAsia="arial" w:hAnsi="arial" w:cs="arial"/>
          <w:b/>
          <w:i w:val="0"/>
          <w:strike w:val="0"/>
          <w:noProof w:val="0"/>
          <w:color w:val="000000"/>
          <w:position w:val="0"/>
          <w:sz w:val="20"/>
          <w:u w:val="none"/>
          <w:vertAlign w:val="baseline"/>
        </w:rPr>
        <w:t> [*585]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proposed the following requirements in § 512.720 (d) for notice of termination:</w:t>
      </w:r>
    </w:p>
    <w:p>
      <w:pPr>
        <w:keepNext w:val="0"/>
        <w:numPr>
          <w:numId w:val="8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FFS-CR participant receives notification that it has been terminated from the CR incentive payment model, it must provide a written request for reconsideration to CMS requesting review of the termination within 10 calendar days of the notice. CMS has 30 days to respond to the FFS-CR participant's request for review. If the FFS-CR participant fails to notify CMS, the termination is deemed final.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the proposed exception to the process and notice of termination.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CMS did not receive any comments on this section. Therefore, we are finalizing the proposal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Limitations on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proposed the following requirements in § 512.720(e) for limitations on review:</w:t>
      </w:r>
    </w:p>
    <w:p>
      <w:pPr>
        <w:keepNext w:val="0"/>
        <w:numPr>
          <w:numId w:val="8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section 1115A(d)(2) of the Act, there is no administrative or judicial review under sections 1869 or 1878 of the Act or otherwise for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selection of models for testing or expansion under section 1115A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selection of organizations, sites, or participants to test those models selected.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elements, parameters, scope, and duration of such models for testing or dissemination.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Determinations regarding budget neutrality under section 1115A(b)(3) of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termination or modification of the design and implementation of a model under section 1115A(b)(3)(B) of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Decisions to expand the duration and scope of a model under section 1115A(c) of the Act, including the determination that a model is not expected to meet criteria described in paragraph (e)(1) or (2)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the proposed limitations on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appeals process for FFS-CR participants are included in § 512.720. We sought comment on our proposals for the appeals process as it related to FFS-CR participants. The two-step appeal process for payment matters--(1) calculation error form, and (2) reconsideration review--is used broadly in other CMS models. We sought comment on whether we should develop an alternative appeal process. In addition, we sought comment on whether additional or different safeguards would be needed to ensure program integrity, protect against abuse, and ensure that the goals of the CR incentive payment model are met.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CMS did not receive any comments on this section. Therefore, we are finalizing the proposal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Data Sharing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III.K. of the proposed rule </w:t>
      </w:r>
      <w:hyperlink r:id="rId9" w:history="1">
        <w:r>
          <w:rPr>
            <w:rFonts w:ascii="arial" w:eastAsia="arial" w:hAnsi="arial" w:cs="arial"/>
            <w:b w:val="0"/>
            <w:i/>
            <w:strike w:val="0"/>
            <w:noProof w:val="0"/>
            <w:color w:val="0077CC"/>
            <w:position w:val="0"/>
            <w:sz w:val="20"/>
            <w:u w:val="single"/>
            <w:vertAlign w:val="baseline"/>
          </w:rPr>
          <w:t>(81 FR 50945</w:t>
        </w:r>
      </w:hyperlink>
      <w:r>
        <w:rPr>
          <w:rFonts w:ascii="arial" w:eastAsia="arial" w:hAnsi="arial" w:cs="arial"/>
          <w:b w:val="0"/>
          <w:i w:val="0"/>
          <w:strike w:val="0"/>
          <w:noProof w:val="0"/>
          <w:color w:val="000000"/>
          <w:position w:val="0"/>
          <w:sz w:val="20"/>
          <w:u w:val="none"/>
          <w:vertAlign w:val="baseline"/>
        </w:rPr>
        <w:t xml:space="preserve"> through 50948) discussed our proposed policies for the types and formats of financial data that we would make available to EPM participants, the frequency with which we would make these data available, and the authority for making these data available to EPM participants. Specifically, in section III.K.2. of the proposed rule </w:t>
      </w:r>
      <w:hyperlink r:id="rId9" w:history="1">
        <w:r>
          <w:rPr>
            <w:rFonts w:ascii="arial" w:eastAsia="arial" w:hAnsi="arial" w:cs="arial"/>
            <w:b w:val="0"/>
            <w:i/>
            <w:strike w:val="0"/>
            <w:noProof w:val="0"/>
            <w:color w:val="0077CC"/>
            <w:position w:val="0"/>
            <w:sz w:val="20"/>
            <w:u w:val="single"/>
            <w:vertAlign w:val="baseline"/>
          </w:rPr>
          <w:t>(81 FR 50946),</w:t>
        </w:r>
      </w:hyperlink>
      <w:r>
        <w:rPr>
          <w:rFonts w:ascii="arial" w:eastAsia="arial" w:hAnsi="arial" w:cs="arial"/>
          <w:b w:val="0"/>
          <w:i w:val="0"/>
          <w:strike w:val="0"/>
          <w:noProof w:val="0"/>
          <w:color w:val="000000"/>
          <w:position w:val="0"/>
          <w:sz w:val="20"/>
          <w:u w:val="none"/>
          <w:vertAlign w:val="baseline"/>
        </w:rPr>
        <w:t xml:space="preserve"> we proposed to provide certain financial data in two formats. First, we proposed to make summary beneficiary claims data reports on beneficiaries' use of health care services during the baseline and performance periods upon request and in accordance with applicable privacy and security laws and established privacy and security protections. These data would consist of summary claims data reports that would contain payment information such as episode counts, total average spending for each episode, based upon categories, including, inpatient services, outpatient services, skilled nursing facility services, and carrier/Part B services. Alternatively, for EPM participants with the capacity to analyze raw claims data, we proposed to make more detailed beneficiary-level information available upon request and in accordance with applicable privacy and security laws and established privacy and security protections. In addition to these more detailed data, we proposed to include episode summaries, indicators for excluded episodes, diagnosis and procedure codes, and enrollment and dual eligibility information for beneficiaries that initiate EPM episodes. In section III.K.2. of the proposed rule </w:t>
      </w:r>
      <w:hyperlink r:id="rId9" w:history="1">
        <w:r>
          <w:rPr>
            <w:rFonts w:ascii="arial" w:eastAsia="arial" w:hAnsi="arial" w:cs="arial"/>
            <w:b w:val="0"/>
            <w:i/>
            <w:strike w:val="0"/>
            <w:noProof w:val="0"/>
            <w:color w:val="0077CC"/>
            <w:position w:val="0"/>
            <w:sz w:val="20"/>
            <w:u w:val="single"/>
            <w:vertAlign w:val="baseline"/>
          </w:rPr>
          <w:t>(81 FR 50945</w:t>
        </w:r>
      </w:hyperlink>
      <w:r>
        <w:rPr>
          <w:rFonts w:ascii="arial" w:eastAsia="arial" w:hAnsi="arial" w:cs="arial"/>
          <w:b w:val="0"/>
          <w:i w:val="0"/>
          <w:strike w:val="0"/>
          <w:noProof w:val="0"/>
          <w:color w:val="000000"/>
          <w:position w:val="0"/>
          <w:sz w:val="20"/>
          <w:u w:val="none"/>
          <w:vertAlign w:val="baseline"/>
        </w:rPr>
        <w:t xml:space="preserve"> through 50947), we also noted our view that making this information available to EPM participants would provide the participants with tools to monitor, understand, and manage utilization and expenditure patterns as well as to develop, target, and implement quality improvement programs and initiatives.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aforementioned data, we proposed in section III.K.3. of the proposed rule </w:t>
      </w:r>
      <w:hyperlink r:id="rId9" w:history="1">
        <w:r>
          <w:rPr>
            <w:rFonts w:ascii="arial" w:eastAsia="arial" w:hAnsi="arial" w:cs="arial"/>
            <w:b w:val="0"/>
            <w:i/>
            <w:strike w:val="0"/>
            <w:noProof w:val="0"/>
            <w:color w:val="0077CC"/>
            <w:position w:val="0"/>
            <w:sz w:val="20"/>
            <w:u w:val="single"/>
            <w:vertAlign w:val="baseline"/>
          </w:rPr>
          <w:t>(81 FR 50945)</w:t>
        </w:r>
      </w:hyperlink>
      <w:r>
        <w:rPr>
          <w:rFonts w:ascii="arial" w:eastAsia="arial" w:hAnsi="arial" w:cs="arial"/>
          <w:b w:val="0"/>
          <w:i w:val="0"/>
          <w:strike w:val="0"/>
          <w:noProof w:val="0"/>
          <w:color w:val="000000"/>
          <w:position w:val="0"/>
          <w:sz w:val="20"/>
          <w:u w:val="none"/>
          <w:vertAlign w:val="baseline"/>
        </w:rPr>
        <w:t xml:space="preserve"> to provide comparable aggregate regional data to EPM participants. Our proposal to make these regional data available was based on our proposal to use regional pricing data to determine benchmark and quality-adjusted target prices for EPM participants, and these aggregate regional data would assist participants in better understanding the basis of these prices. In section III.K.4. of the proposed rule </w:t>
      </w:r>
      <w:hyperlink r:id="rId9" w:history="1">
        <w:r>
          <w:rPr>
            <w:rFonts w:ascii="arial" w:eastAsia="arial" w:hAnsi="arial" w:cs="arial"/>
            <w:b w:val="0"/>
            <w:i/>
            <w:strike w:val="0"/>
            <w:noProof w:val="0"/>
            <w:color w:val="0077CC"/>
            <w:position w:val="0"/>
            <w:sz w:val="20"/>
            <w:u w:val="single"/>
            <w:vertAlign w:val="baseline"/>
          </w:rPr>
          <w:t>(81 FR 50946),</w:t>
        </w:r>
      </w:hyperlink>
      <w:r>
        <w:rPr>
          <w:rFonts w:ascii="arial" w:eastAsia="arial" w:hAnsi="arial" w:cs="arial"/>
          <w:b w:val="0"/>
          <w:i w:val="0"/>
          <w:strike w:val="0"/>
          <w:noProof w:val="0"/>
          <w:color w:val="000000"/>
          <w:position w:val="0"/>
          <w:sz w:val="20"/>
          <w:u w:val="none"/>
          <w:vertAlign w:val="baseline"/>
        </w:rPr>
        <w:t xml:space="preserve"> we proposed to make 3 years of baseline data available to EPM participants prior to the models' start date, which we believe would help the participants assess their practice patterns, identify cost drivers, and ultimately redesign their care practices to improve efficiency and quality. In section III.K.5. of the proposed rule </w:t>
      </w:r>
      <w:hyperlink r:id="rId9" w:history="1">
        <w:r>
          <w:rPr>
            <w:rFonts w:ascii="arial" w:eastAsia="arial" w:hAnsi="arial" w:cs="arial"/>
            <w:b w:val="0"/>
            <w:i/>
            <w:strike w:val="0"/>
            <w:noProof w:val="0"/>
            <w:color w:val="0077CC"/>
            <w:position w:val="0"/>
            <w:sz w:val="20"/>
            <w:u w:val="single"/>
            <w:vertAlign w:val="baseline"/>
          </w:rPr>
          <w:t>(81 FR 50946),</w:t>
        </w:r>
      </w:hyperlink>
      <w:r>
        <w:rPr>
          <w:rFonts w:ascii="arial" w:eastAsia="arial" w:hAnsi="arial" w:cs="arial"/>
          <w:b w:val="0"/>
          <w:i w:val="0"/>
          <w:strike w:val="0"/>
          <w:noProof w:val="0"/>
          <w:color w:val="000000"/>
          <w:position w:val="0"/>
          <w:sz w:val="20"/>
          <w:u w:val="none"/>
          <w:vertAlign w:val="baseline"/>
        </w:rPr>
        <w:t xml:space="preserve"> we proposed to provide to EPM participants, upon request and in accordance with the HIPAA Privacy Rule, up to 6 quarters of claims data as frequently as on a quarterly basis throughout the EPM participant's participation or until they notify CMS that they no longer wish to receive these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stated in section III.K.6 of the proposed rule </w:t>
      </w:r>
      <w:hyperlink r:id="rId9" w:history="1">
        <w:r>
          <w:rPr>
            <w:rFonts w:ascii="arial" w:eastAsia="arial" w:hAnsi="arial" w:cs="arial"/>
            <w:b w:val="0"/>
            <w:i/>
            <w:strike w:val="0"/>
            <w:noProof w:val="0"/>
            <w:color w:val="0077CC"/>
            <w:position w:val="0"/>
            <w:sz w:val="20"/>
            <w:u w:val="single"/>
            <w:vertAlign w:val="baseline"/>
          </w:rPr>
          <w:t>(81 FR 50946</w:t>
        </w:r>
      </w:hyperlink>
      <w:r>
        <w:rPr>
          <w:rFonts w:ascii="arial" w:eastAsia="arial" w:hAnsi="arial" w:cs="arial"/>
          <w:b w:val="0"/>
          <w:i w:val="0"/>
          <w:strike w:val="0"/>
          <w:noProof w:val="0"/>
          <w:color w:val="000000"/>
          <w:position w:val="0"/>
          <w:sz w:val="20"/>
          <w:u w:val="none"/>
          <w:vertAlign w:val="baseline"/>
        </w:rPr>
        <w:t xml:space="preserve"> through 50947), we believe our proposals are consistent with and authorized under the HIPAA Privacy Rule under the provisions that permit disclosures of PHI for "health care operations" purposes. Under those provisions, a covered entity is permitted to disclose PHI to another covered entity for the recipient's health care operations purposes if both covered entities have or had a relationship with the subject of the PHI to be disclosed, the PHI pertains to that relationship, and the recipient would use the PHI for a "health care operations" function that falls within the first two paragraphs of the definition of "health care operations" in the HIPAA Privacy Rule (</w:t>
      </w:r>
      <w:hyperlink r:id="rId122" w:history="1">
        <w:r>
          <w:rPr>
            <w:rFonts w:ascii="arial" w:eastAsia="arial" w:hAnsi="arial" w:cs="arial"/>
            <w:b w:val="0"/>
            <w:i/>
            <w:strike w:val="0"/>
            <w:noProof w:val="0"/>
            <w:color w:val="0077CC"/>
            <w:position w:val="0"/>
            <w:sz w:val="20"/>
            <w:u w:val="single"/>
            <w:vertAlign w:val="baseline"/>
          </w:rPr>
          <w:t>45 CFR 164.506(c)(4)</w:t>
        </w:r>
      </w:hyperlink>
      <w:r>
        <w:rPr>
          <w:rFonts w:ascii="arial" w:eastAsia="arial" w:hAnsi="arial" w:cs="arial"/>
          <w:b w:val="0"/>
          <w:i w:val="0"/>
          <w:strike w:val="0"/>
          <w:noProof w:val="0"/>
          <w:color w:val="000000"/>
          <w:position w:val="0"/>
          <w:sz w:val="20"/>
          <w:u w:val="none"/>
          <w:vertAlign w:val="baseline"/>
        </w:rPr>
        <w:t>). The first paragraph of the definition of health care operations includes "conducting quality assessment and improvement activities, including outcomes evaluation and development of clinical guidelines," and "population-based activities relating to improving health or reducing health costs, protocol development, case management and care coordination" (</w:t>
      </w:r>
      <w:hyperlink r:id="rId123" w:history="1">
        <w:r>
          <w:rPr>
            <w:rFonts w:ascii="arial" w:eastAsia="arial" w:hAnsi="arial" w:cs="arial"/>
            <w:b w:val="0"/>
            <w:i/>
            <w:strike w:val="0"/>
            <w:noProof w:val="0"/>
            <w:color w:val="0077CC"/>
            <w:position w:val="0"/>
            <w:sz w:val="20"/>
            <w:u w:val="single"/>
            <w:vertAlign w:val="baseline"/>
          </w:rPr>
          <w:t>45 CFR 164.501</w:t>
        </w:r>
      </w:hyperlink>
      <w:r>
        <w:rPr>
          <w:rFonts w:ascii="arial" w:eastAsia="arial" w:hAnsi="arial" w:cs="arial"/>
          <w:b w:val="0"/>
          <w:i w:val="0"/>
          <w:strike w:val="0"/>
          <w:noProof w:val="0"/>
          <w:color w:val="000000"/>
          <w:position w:val="0"/>
          <w:sz w:val="20"/>
          <w:u w:val="none"/>
          <w:vertAlign w:val="baseline"/>
        </w:rPr>
        <w:t xml:space="preserve">). As we stated in section III.K.6. of the proposed rule </w:t>
      </w:r>
      <w:hyperlink r:id="rId9" w:history="1">
        <w:r>
          <w:rPr>
            <w:rFonts w:ascii="arial" w:eastAsia="arial" w:hAnsi="arial" w:cs="arial"/>
            <w:b w:val="0"/>
            <w:i/>
            <w:strike w:val="0"/>
            <w:noProof w:val="0"/>
            <w:color w:val="0077CC"/>
            <w:position w:val="0"/>
            <w:sz w:val="20"/>
            <w:u w:val="single"/>
            <w:vertAlign w:val="baseline"/>
          </w:rPr>
          <w:t>(81 FR 50944</w:t>
        </w:r>
      </w:hyperlink>
      <w:r>
        <w:rPr>
          <w:rFonts w:ascii="arial" w:eastAsia="arial" w:hAnsi="arial" w:cs="arial"/>
          <w:b w:val="0"/>
          <w:i w:val="0"/>
          <w:strike w:val="0"/>
          <w:noProof w:val="0"/>
          <w:color w:val="000000"/>
          <w:position w:val="0"/>
          <w:sz w:val="20"/>
          <w:u w:val="none"/>
          <w:vertAlign w:val="baseline"/>
        </w:rPr>
        <w:t xml:space="preserve"> through 50945), EPM participants would be using the data on their patients to evaluate the performance of the participant hospital and other providers and suppliers that furnished services to the patient, conduct quality assessment and improvement activities, and conduct population-based activities relating to improved health for their patients. When done by or on behalf of a covered entity, these are covered </w:t>
      </w:r>
      <w:r>
        <w:rPr>
          <w:rFonts w:ascii="arial" w:eastAsia="arial" w:hAnsi="arial" w:cs="arial"/>
          <w:b/>
          <w:i w:val="0"/>
          <w:strike w:val="0"/>
          <w:noProof w:val="0"/>
          <w:color w:val="000000"/>
          <w:position w:val="0"/>
          <w:sz w:val="20"/>
          <w:u w:val="none"/>
          <w:vertAlign w:val="baseline"/>
        </w:rPr>
        <w:t> [*586] </w:t>
      </w:r>
      <w:r>
        <w:rPr>
          <w:rFonts w:ascii="arial" w:eastAsia="arial" w:hAnsi="arial" w:cs="arial"/>
          <w:b w:val="0"/>
          <w:i w:val="0"/>
          <w:strike w:val="0"/>
          <w:noProof w:val="0"/>
          <w:color w:val="000000"/>
          <w:position w:val="0"/>
          <w:sz w:val="20"/>
          <w:u w:val="none"/>
          <w:vertAlign w:val="baseline"/>
        </w:rPr>
        <w:t xml:space="preserve"> functions and activities that would qualify as "health care operations" under the first and second paragraphs of the definition of health care operations at </w:t>
      </w:r>
      <w:hyperlink r:id="rId123" w:history="1">
        <w:r>
          <w:rPr>
            <w:rFonts w:ascii="arial" w:eastAsia="arial" w:hAnsi="arial" w:cs="arial"/>
            <w:b w:val="0"/>
            <w:i/>
            <w:strike w:val="0"/>
            <w:noProof w:val="0"/>
            <w:color w:val="0077CC"/>
            <w:position w:val="0"/>
            <w:sz w:val="20"/>
            <w:u w:val="single"/>
            <w:vertAlign w:val="baseline"/>
          </w:rPr>
          <w:t>45 CFR 164.501</w:t>
        </w:r>
      </w:hyperlink>
      <w:r>
        <w:rPr>
          <w:rFonts w:ascii="arial" w:eastAsia="arial" w:hAnsi="arial" w:cs="arial"/>
          <w:b w:val="0"/>
          <w:i w:val="0"/>
          <w:strike w:val="0"/>
          <w:noProof w:val="0"/>
          <w:color w:val="000000"/>
          <w:position w:val="0"/>
          <w:sz w:val="20"/>
          <w:u w:val="none"/>
          <w:vertAlign w:val="baseline"/>
        </w:rPr>
        <w:t xml:space="preserve">. Hence, we noted our view that this provision covers the uses we would expect under the proposed EPMs. We also noted our view that, in proposing to make available the "minimum necessary" data to accomplish the intended purpose of the use, our proposal was consistent with </w:t>
      </w:r>
      <w:hyperlink r:id="rId124" w:history="1">
        <w:r>
          <w:rPr>
            <w:rFonts w:ascii="arial" w:eastAsia="arial" w:hAnsi="arial" w:cs="arial"/>
            <w:b w:val="0"/>
            <w:i/>
            <w:strike w:val="0"/>
            <w:noProof w:val="0"/>
            <w:color w:val="0077CC"/>
            <w:position w:val="0"/>
            <w:sz w:val="20"/>
            <w:u w:val="single"/>
            <w:vertAlign w:val="baseline"/>
          </w:rPr>
          <w:t>45 CFR 164.502(b)</w:t>
        </w:r>
      </w:hyperlink>
      <w:r>
        <w:rPr>
          <w:rFonts w:ascii="arial" w:eastAsia="arial" w:hAnsi="arial" w:cs="arial"/>
          <w:b w:val="0"/>
          <w:i w:val="0"/>
          <w:strike w:val="0"/>
          <w:noProof w:val="0"/>
          <w:color w:val="000000"/>
          <w:position w:val="0"/>
          <w:sz w:val="20"/>
          <w:u w:val="none"/>
          <w:vertAlign w:val="baseline"/>
        </w:rPr>
        <w:t>. Last, we stated our belief that our proposed data disclosures are consistent with the purpose for which the data discussed in the proposed rule was collected and may be disclosed in accordance with the routine uses exception to the Privacy Act, which would otherwise prohibit disclosure of information from a system of records to any third party without the prior written consent of the individual to whom the records apply (</w:t>
      </w:r>
      <w:r>
        <w:rPr>
          <w:rFonts w:ascii="arial" w:eastAsia="arial" w:hAnsi="arial" w:cs="arial"/>
          <w:b w:val="0"/>
          <w:i/>
          <w:strike w:val="0"/>
          <w:noProof w:val="0"/>
          <w:color w:val="000000"/>
          <w:position w:val="0"/>
          <w:sz w:val="20"/>
          <w:u w:val="none"/>
          <w:vertAlign w:val="baseline"/>
        </w:rPr>
        <w:t>5 U.S.C. 552a(b)</w:t>
      </w:r>
      <w:r>
        <w:rPr>
          <w:rFonts w:ascii="arial" w:eastAsia="arial" w:hAnsi="arial" w:cs="arial"/>
          <w:b w:val="0"/>
          <w:i w:val="0"/>
          <w:strike w:val="0"/>
          <w:noProof w:val="0"/>
          <w:color w:val="000000"/>
          <w:position w:val="0"/>
          <w:sz w:val="20"/>
          <w:u w:val="none"/>
          <w:vertAlign w:val="baseline"/>
        </w:rPr>
        <w:t>). For a more detailed discussion of our proposals and authority for sharing data with EPM participants, please see section III.K.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Sharing With 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is the case with the proposed EPMs, we believe that making certain beneficiary-identifiable claims information available, upon request and in accordance with applicable privacy and security laws and established privacy and security protections, is necessary for CR participants to best improve their performance with respect to increasing utilization of CR/ICR services, which we believe should result in improved health care outcomes and reduced health care costs. However, we believe that a more limited set of data would be needed for purposes of testing the CR incentive payment model than would be made available under the proposed EPMs. This is because the purposes and processes related to the proposed CR incentive payment model are narrower in focus than under the proposed EPMs where hospitals must coordinate care across a broader array of providers and services to improve health care quality across a broader range of dimensions. Also, unlike the EPMs where a participant's performance each performance year is compared against historical spending, the CR incentive payments are based only on a CR participant's CR/ICR service utilization performance within a given CR performance year. Further, CR incentive payments are tied only to the CR participant's performance and are unrelated to performance within a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upon request and in accordance with applicable privacy and security laws and established privacy and security protections, we proposed to make the following data available to FFS-CR participants:</w:t>
      </w:r>
    </w:p>
    <w:p>
      <w:pPr>
        <w:keepNext w:val="0"/>
        <w:numPr>
          <w:numId w:val="8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claims--containing potential admissions for CABG and AMI MS-DRGs (and PCI DRGs with an AMI ICD-CM diagnosis code in the principal or any secondary diagnosis code position).</w:t>
      </w:r>
    </w:p>
    <w:p>
      <w:pPr>
        <w:keepNext w:val="0"/>
        <w:numPr>
          <w:numId w:val="8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Carrier and Outpatient claims--containing CR/ICR services that occurred in the 90- day period after discharge (called the AMI care period or CABG care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note that our proposal pertains only to FFS-CR participants and not to EPM-CR participants. This is because an EPM-CR participant that has requested data under the EPM would already have had the data previously described made available to them under their broader data sharing request. As such, we believe that also making these data separately available to EPM-CR participants would be duplicative and could create confusion for participants. We also note that we did not propose to make historical payment or aggregate regional payment data available to FFS-CR participants. This is because, as previously discussed, neither historical nor regional CR/ICR service utilization performance would be factors considered when determining their eligibility for or the amount of a CR incentive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is the case for our proposed data sharing with EPM participants, we proposed to make these data available in either summary or claims-level format, depending on the FFS-CR participant's request. Also, we proposed to make these data available consistent with the same schedule we proposed to use for making data available to EPM participants and to make available up to 6 quarters of claims data as frequently as on a quarterly basis throughout the FFS-CR participant's participation or until they notify CMS that they no longer wish to receive these data. As is the case with the EPMs, we proposed that the data files would be packaged and sent to a data portal (to which the FFS-CR participants must request and be granted access) in a "flat" or binary format for the FFS-CR participant to retrieve.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share data with FFS-CR participants is included in § 512.725. We sought comments on our data sharing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were supportive of CMS' efforts to provide beneficiary-level and summary claims data available to selected FFS hospitals selected for the CR incentive payment model upon request. Commenters also were supportive of our proposal to make this data available as frequently as monthly, and encouraged us to follow a monthly data release schedule for FFS-CR participants as soon as the EPMs are implemented, instead of sending the FFS-CR data quarterly since more frequent data updates would be useful in managing care under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these comments and realize that more frequent data releases will assist many hospitals that are selected for the CR incentive payment model in understanding care patterns and identifying opportunities for improved efficiencies in care delivery. Accordingly, we are modifying our proposal to make these data available on a quarterly basis to make these data available "no less frequently" than on a quarterly basis with the goal of making these data available on a monthly basis as soon as we have the operational capabilities needed for monthly distribution.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we received, we are modifying our proposal at § 512.725(b)(2) to no longer limit the availability of updated CR data to a frequency "as frequently as on a quarterly basis throughout the FFS-CR participant's participation" to instead "no less frequently than on a quarterly basis throughout the FFS-CR participant's participation" with the goal of making these data available as frequently as on a monthly basis if practicable.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Compliance Enforcement for FFS-CR Participants and Termination of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 III.F. </w:t>
      </w:r>
      <w:hyperlink r:id="rId9" w:history="1">
        <w:r>
          <w:rPr>
            <w:rFonts w:ascii="arial" w:eastAsia="arial" w:hAnsi="arial" w:cs="arial"/>
            <w:b w:val="0"/>
            <w:i/>
            <w:strike w:val="0"/>
            <w:noProof w:val="0"/>
            <w:color w:val="0077CC"/>
            <w:position w:val="0"/>
            <w:sz w:val="20"/>
            <w:u w:val="single"/>
            <w:vertAlign w:val="baseline"/>
          </w:rPr>
          <w:t>(81 FR 50911</w:t>
        </w:r>
      </w:hyperlink>
      <w:r>
        <w:rPr>
          <w:rFonts w:ascii="arial" w:eastAsia="arial" w:hAnsi="arial" w:cs="arial"/>
          <w:b w:val="0"/>
          <w:i w:val="0"/>
          <w:strike w:val="0"/>
          <w:noProof w:val="0"/>
          <w:color w:val="000000"/>
          <w:position w:val="0"/>
          <w:sz w:val="20"/>
          <w:u w:val="none"/>
          <w:vertAlign w:val="baseline"/>
        </w:rPr>
        <w:t xml:space="preserve"> through 50914) of the proposed rule, we discuss our proposals for compliance enforcement under the EPM. The proposal outlines the non-compliance by EPM participants, including EPM-CR participants with respect to the EPMs and CR incentive payment model, if the latter is applicable to the EPM participant that may trigger compliance enforcement by CMS and the enforcement mechanisms available to CMS. Four out of the seven remedial actions, specifically issuing a warning letter to the EPM participant, requiring the EPM participant to develop a corrective action plan, commonly referred to as a CAP, reducing or eliminating the EPM participant's CR incentive payment, and terminating the EPM participant from the CR incentive payment model, are relevant to the CR incentive payment model. Thus, we </w:t>
      </w:r>
      <w:r>
        <w:rPr>
          <w:rFonts w:ascii="arial" w:eastAsia="arial" w:hAnsi="arial" w:cs="arial"/>
          <w:b/>
          <w:i w:val="0"/>
          <w:strike w:val="0"/>
          <w:noProof w:val="0"/>
          <w:color w:val="000000"/>
          <w:position w:val="0"/>
          <w:sz w:val="20"/>
          <w:u w:val="none"/>
          <w:vertAlign w:val="baseline"/>
        </w:rPr>
        <w:t> [*587] </w:t>
      </w:r>
      <w:r>
        <w:rPr>
          <w:rFonts w:ascii="arial" w:eastAsia="arial" w:hAnsi="arial" w:cs="arial"/>
          <w:b w:val="0"/>
          <w:i w:val="0"/>
          <w:strike w:val="0"/>
          <w:noProof w:val="0"/>
          <w:color w:val="000000"/>
          <w:position w:val="0"/>
          <w:sz w:val="20"/>
          <w:u w:val="none"/>
          <w:vertAlign w:val="baseline"/>
        </w:rPr>
        <w:t xml:space="preserve"> proposed to establish compliance enforcement for the CR incentive payment model for FFS-CR participants that is substantively similar to the requirements as we proposed for the EPM but that the CMS enforcement mechanisms may use with FFS-CR participants be the four remedial actions previously listed in this section. All other types of enforcement mechanisms under the EPMs, specifically, reducing or eliminating the EPM participant's reconciliation payment, requiring the EPM participant to terminate a sharing arrangement with an EPM collaborator and prohibiting the EPM collaborator from further engagement in sharing arrangements with the EPM participant, and allowing CMS to add 25 percent to a repayment amount on an EPM participant's reconciliation report under certain circumstances, are not relevant to the CR incentive payment model for any FFS-CR participants because the CR incentive payment model includes no policies that relate directly to these categories of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distinction between the policies proposed under the EPMs and the CR incentive payment model is regarding prevention of EPM-CR participants from avoiding the high cost and high severity patients and targeting low cost and low severity patients. Under the EPMs, we prohibit EPM participants from avoiding both potentially high cost or high severity patients and targeting both potentially low cost or low severity patients. Under the CR incentive payment model we are only concerned with FFS-CR participants avoiding high severity patients and targeting low severity patients. The goal of EPMs is to maintain or improve quality and coordination of care while reducing program expenditures. In contrast, the goals of the CR incentive payment model are to reduce cardiovascular mortality, improve health-related quality of life, and reduce the risk of hospital admission. The EPMs explicit prohibition of avoiding high cost and targeting low cost patients is not included for the FFS-CR participants as cost savings are not a goal for participants under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CMS would have the remedial actions detailed in this section available for use against FFS-CR participants where such FFS-CR participant furnishing CR services to a beneficiary during the CR incentive payment model is not compliant in a matter listed in § 512.730(b)(1). These mechanisms would support CMS' goal for the CR incentive payment model to prevent overutilization of CR services that are not medically necessary, prevent FFS-CR participants from avoiding high severity patients and seeking out low severity patients, safeguard program integrity, protect against fraud and abuse, and deter noncompliance with CR incentive payment model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Upon discovering an instance of noncompliance by a FFS-CR participant with the requirements of the CR incentive payment model, CMS, HHS, or a designee of such Agencies may take remedial action against such FFS-CR participant. Any information collected by CMS in relation to termination of a participant from the model would be shared with our program-integrity colleagues at HHS, the Department of Justice, and their respective designees. Should such participant, or one of its EPM collaborators, collaboration agents, or downstream collaboration agents, be noncompliant with the requirements of the EPMs or engage in unlawful behavior related to participation in the EPMs, we note that such information could be used in proceedings unrelated to the enforcement mechanisms in this section. FFS-CR participants also would be subject to all applicable requirements and conditions for Medicare participation not otherwise waived under section 1115A(d)(1)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summary, we proposed in § 512.730 that FFS-CR participants must comply with all requirements outlined in subpart H. Except as specifically noted subpart 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this part must not be construed to affect the payment, coverage, program integrity, or other requirements (such as those in parts 412 and 482 of this chapter) that apply to providers and suppliers under this chapter.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we proposed in § 512.730 that CMS may take the remedial actions later discussed in this section, if a FFS-CR participant--</w:t>
      </w:r>
    </w:p>
    <w:p>
      <w:pPr>
        <w:keepNext w:val="0"/>
        <w:numPr>
          <w:numId w:val="8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Fails to comply with any requirements of this subpart or is identified as noncompliant through monitoring by HHS (including CMS and OIG) of the CR incentive payment model, including but not limited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Avoiding potentially high-severity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Targeting potentially low-severity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Failing to provide medically appropriate services or systematically engaging in the over or under-delivery of appropriate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Failing to provide beneficiaries with complete and accurate information; or</w:t>
      </w:r>
    </w:p>
    <w:p>
      <w:pPr>
        <w:keepNext w:val="0"/>
        <w:numPr>
          <w:numId w:val="8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Takes any action that threatens the health or safety of patients;</w:t>
      </w:r>
    </w:p>
    <w:p>
      <w:pPr>
        <w:keepNext w:val="0"/>
        <w:numPr>
          <w:numId w:val="8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Avoids at risk Medicare beneficiaries, as this term is defined in § 425.20 of this chapter;</w:t>
      </w:r>
    </w:p>
    <w:p>
      <w:pPr>
        <w:keepNext w:val="0"/>
        <w:numPr>
          <w:numId w:val="8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Avoids patients on the basis of payer status;</w:t>
      </w:r>
    </w:p>
    <w:p>
      <w:pPr>
        <w:keepNext w:val="0"/>
        <w:numPr>
          <w:numId w:val="8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subject to sanctions or final actions of an accrediting organization or federal, state, or local government agency that could lead to the inability to comply with the requirements of this subpart;</w:t>
      </w:r>
    </w:p>
    <w:p>
      <w:pPr>
        <w:keepNext w:val="0"/>
        <w:numPr>
          <w:numId w:val="8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Takes any action that CMS determines for program integrity reasons is not in the best interests of the CR incentive payment model, or fails to take any action that CMS determines for program integrity reasons should have been taken to further the best interests of the CR incentive payment model;</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subject to action by HHS (including OIG and CMS) or the Department of Justice to redress an allegation of fraud or significant misconduct, including intervening in a False Claims Act qui tam matter, issuing a pre demand or demand letter under a civil sanction authority, or similar actions; or</w:t>
      </w:r>
    </w:p>
    <w:p>
      <w:pPr>
        <w:keepNext w:val="0"/>
        <w:numPr>
          <w:numId w:val="8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Is subject to action involving violations of the physician self-referral law, civil monetary penalties law, federal anti-kickback statute,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or any other applicable Medicare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relevant to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remedial actions to include the following:</w:t>
      </w:r>
    </w:p>
    <w:p>
      <w:pPr>
        <w:keepNext w:val="0"/>
        <w:numPr>
          <w:numId w:val="8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Issuing a warning letter to the FFS-CR participant.</w:t>
      </w:r>
    </w:p>
    <w:p>
      <w:pPr>
        <w:keepNext w:val="0"/>
        <w:numPr>
          <w:numId w:val="8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Requiring the FFS-CR participant to develop a corrective action plan, commonly referred to as a CAP.</w:t>
      </w:r>
    </w:p>
    <w:p>
      <w:pPr>
        <w:keepNext w:val="0"/>
        <w:numPr>
          <w:numId w:val="8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Reducing or eliminating the FFS-CR participant's CR incentive payment.</w:t>
      </w:r>
    </w:p>
    <w:p>
      <w:pPr>
        <w:keepNext w:val="0"/>
        <w:numPr>
          <w:numId w:val="8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Terminating the FFS-CR participant from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compliance enforcement for FFS-CR participants are included in § 512.730. We sought comment on our proposals for compliance enforcement as it is related to FFS-CR participants. In addition, we sought comment on whether additional or different safeguards would be needed to ensure program integrity, protect against abuse, and ensure that the goals of the CR incentive payment model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proposed under § 512.905, CMS may terminate the CR incentive payment model for reasons including but not limited to--</w:t>
      </w:r>
    </w:p>
    <w:p>
      <w:pPr>
        <w:keepNext w:val="0"/>
        <w:numPr>
          <w:numId w:val="8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no longer has the funds to support the CR incentive payment model; or</w:t>
      </w:r>
    </w:p>
    <w:p>
      <w:pPr>
        <w:keepNext w:val="0"/>
        <w:numPr>
          <w:numId w:val="8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CMS terminates the applicable model in accordance with section </w:t>
      </w:r>
      <w:r>
        <w:rPr>
          <w:rFonts w:ascii="arial" w:eastAsia="arial" w:hAnsi="arial" w:cs="arial"/>
          <w:b/>
          <w:i w:val="0"/>
          <w:strike w:val="0"/>
          <w:noProof w:val="0"/>
          <w:color w:val="000000"/>
          <w:position w:val="0"/>
          <w:sz w:val="20"/>
          <w:u w:val="none"/>
          <w:vertAlign w:val="baseline"/>
        </w:rPr>
        <w:t> [*588] </w:t>
      </w:r>
      <w:r>
        <w:rPr>
          <w:rFonts w:ascii="arial" w:eastAsia="arial" w:hAnsi="arial" w:cs="arial"/>
          <w:b w:val="0"/>
          <w:i w:val="0"/>
          <w:strike w:val="0"/>
          <w:noProof w:val="0"/>
          <w:color w:val="000000"/>
          <w:position w:val="0"/>
          <w:sz w:val="20"/>
          <w:u w:val="none"/>
          <w:vertAlign w:val="baseline"/>
        </w:rPr>
        <w:t xml:space="preserve"> 1115A(b)(3)(B) of the Act. As provided by section 1115A(d)(2) of the Act, termination of the model is not subject to administrative or judicial review.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did not receive any comments on this section. Therefore, we are finalizing the proposal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Enforcement Authority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OIG authority is not limited or restricted by the provisions of the CR incentive payment model, including the authority to audit, evaluate, investigate, or inspect the FFS-CR participants. Additionally, no CR incentive payment model provisions limit or restrict the authority of any other Government Agency to do the same.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enforcement authority for FFS-CR participants in the CR incentive payment model were included in proposed § 512.735. We sought comment about all of the requirements set out in the preceding discussion, including whether additional or different safeguards would be needed to ensure program integrity, protect against abuse, and ensure that the goals of the CR incentive payment model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comments on the proposals for enforcement authority for FFS-CR participants in the CR incentive payment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the proposals in § 512.735 for the enforcement authority for FFS-CR participants, without modification. In the final provisions:</w:t>
      </w:r>
    </w:p>
    <w:p>
      <w:pPr>
        <w:keepNext w:val="0"/>
        <w:numPr>
          <w:numId w:val="8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OIG authority is not limited or restricted by the provisions of the CR incentive payment model, including the authority to audit, evaluate, investigate, or inspect the FFS-CR participant, or any other person or entity or their records, data, or information, without limitation.</w:t>
      </w:r>
    </w:p>
    <w:p>
      <w:pPr>
        <w:keepNext w:val="0"/>
        <w:numPr>
          <w:numId w:val="8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None of the provisions of the CR incentive payment model limits or restricts the authority of any other government agency permitted by law to audit, evaluate, investigate, or inspect the FFS-CR participant or any other person or entity or their records, data, or information, without limitation.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Beneficiary Engagement Incentives for FFS-CR Participants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allow EPM participants to provide beneficiary engagement incentives under certain conditions as discussed in section III.I.9. of the proposed rule </w:t>
      </w:r>
      <w:hyperlink r:id="rId9" w:history="1">
        <w:r>
          <w:rPr>
            <w:rFonts w:ascii="arial" w:eastAsia="arial" w:hAnsi="arial" w:cs="arial"/>
            <w:b w:val="0"/>
            <w:i/>
            <w:strike w:val="0"/>
            <w:noProof w:val="0"/>
            <w:color w:val="0077CC"/>
            <w:position w:val="0"/>
            <w:sz w:val="20"/>
            <w:u w:val="single"/>
            <w:vertAlign w:val="baseline"/>
          </w:rPr>
          <w:t>(81 FR 50929</w:t>
        </w:r>
      </w:hyperlink>
      <w:r>
        <w:rPr>
          <w:rFonts w:ascii="arial" w:eastAsia="arial" w:hAnsi="arial" w:cs="arial"/>
          <w:b w:val="0"/>
          <w:i w:val="0"/>
          <w:strike w:val="0"/>
          <w:noProof w:val="0"/>
          <w:color w:val="000000"/>
          <w:position w:val="0"/>
          <w:sz w:val="20"/>
          <w:u w:val="none"/>
          <w:vertAlign w:val="baseline"/>
        </w:rPr>
        <w:t xml:space="preserve"> through 50931) based on the goals of the EPM to improve EPM episode quality and efficiency. The goals of the CR incentive payment model in which some EPM participants would also participate are to increase CR/ICR service care coordination and the medically necessary utilization of CR/ICR services in AMI and CABG model episodes for EPM-CR participants and in AMI care periods and CABG care periods for FFS-CR participants. In the proposed rule, we discussed our belief that one mechanism that may be useful to CR participants in achieving this goal would be the provision of transportation to CR/ICR services as in-kind patient engagement incentives to AMI and CABG model beneficiaries and beneficiaries in AMI care periods and CABG care periods (hereinafter FFS-CR beneficiaries). As discussed earlier in this section, lack of accessibility of CR program sites can be a significant barrier to beneficiary adherence to a CR treatment plan. We did not believe there were beneficiary engagement incentives other than transportation that would be important for achieving the CR incentive payment model goals of increasing CR/ICR service care coordination and the medically necessary utilization of CR/ICR services. However, we believed that EPM-CR and FFS-CR participants should generally have the same regulatory flexibilities that are directly relevant to advancing the CR incentive payment model goals so that we could evaluate the CR incentive payment model under the two different underlying payment methodologies for AMI and CABG care (episode or FFS) and draw conclusions about the relationship between the CR incentive payment model and the underlying payment methodology for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proposed beneficiary engagement incentive policies for the EPM, EPM-CR participants would be able to provide beneficiary transportation to CR/ICR services in order to achieve the clinical goal of the EPM of beneficiary adherence to a care plan, subject to certain conditions on these incentives that are necessary to ensure that their provision is solely for the purpose of achieving the EPM goals of improvements in episode quality and efficiency. When transportation is provided by an EPM-CR participant as a beneficiary engagement incentive for CR/ICR services, its use would also be aligned with the CR incentive payment model goals of increasing CR/ICR service care coordination and the medically necessary utilization of CR/ICR services. Thus, our proposal for beneficiary engagement incentives under the EPM met the potential need for transportation to CR/ICR services for AMI and CABG model beneficiaries under an EPM-CR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allow FFS-CR participants to provide transportation to CR/ICR services as a beneficiary engagement incentive for FFS-CR beneficiaries during AMI care periods and CABG care periods to allow these participants similar use of beneficiary engagement incentives to achieve the CR incentive payment model goals as would be available to EPM-CR participants for that purpose. We proposed the same conditions on beneficiary engagement incentives provided by FFS-CR participants as would be applicable to EPM beneficiary engagement incentives when those beneficiary incentives are transportation.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conditions for transportation when provided as a beneficiary engagement incentive by FFS-CR participants were--</w:t>
      </w:r>
    </w:p>
    <w:p>
      <w:pPr>
        <w:keepNext w:val="0"/>
        <w:numPr>
          <w:numId w:val="8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incentive must be provided directly by the FFS-CR participant or by an agent of the FFS-CR participant under the FFS-CR participant's direction and control to the FFS-CR beneficiary during an AMI care period or CABG care period;</w:t>
      </w:r>
    </w:p>
    <w:p>
      <w:pPr>
        <w:keepNext w:val="0"/>
        <w:numPr>
          <w:numId w:val="8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Transportation must not be tied to the receipt of items or services other than CR/ICR services during AMI care periods or CABG care periods;</w:t>
      </w:r>
    </w:p>
    <w:p>
      <w:pPr>
        <w:keepNext w:val="0"/>
        <w:numPr>
          <w:numId w:val="8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Transportation must not be tied to the receipt of items or services from a particular provider or supplier;</w:t>
      </w:r>
    </w:p>
    <w:p>
      <w:pPr>
        <w:keepNext w:val="0"/>
        <w:numPr>
          <w:numId w:val="8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availability of transportation must not be advertised or promoted except that a beneficiary may be made aware of the availability of transportation at the time the beneficiary could reasonably benefit from it;</w:t>
      </w:r>
    </w:p>
    <w:p>
      <w:pPr>
        <w:keepNext w:val="0"/>
        <w:numPr>
          <w:numId w:val="8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cost of transportation must not be shifted to another federal health care program, as defined at section 1128B(f)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as we would apply to transportation as a beneficiary engagement incentive under the EPMs, we proposed the same documentation requirements for beneficiary engagement incentives provided by FFS-CR participants;</w:t>
      </w:r>
    </w:p>
    <w:p>
      <w:pPr>
        <w:keepNext w:val="0"/>
        <w:numPr>
          <w:numId w:val="8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FFS-CR participants must maintain documentation of transportation furnished as a beneficiary engagement incentive that exceeds $ 25 in retail value;</w:t>
      </w:r>
    </w:p>
    <w:p>
      <w:pPr>
        <w:keepNext w:val="0"/>
        <w:numPr>
          <w:numId w:val="8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documentation established contemporaneously with the provision of transportation must include at least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date the transportation is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identity of the beneficiary to whom the transportation was provided. </w:t>
      </w:r>
      <w:r>
        <w:rPr>
          <w:rFonts w:ascii="arial" w:eastAsia="arial" w:hAnsi="arial" w:cs="arial"/>
          <w:b/>
          <w:i w:val="0"/>
          <w:strike w:val="0"/>
          <w:noProof w:val="0"/>
          <w:color w:val="000000"/>
          <w:position w:val="0"/>
          <w:sz w:val="20"/>
          <w:u w:val="none"/>
          <w:vertAlign w:val="baseline"/>
        </w:rPr>
        <w:t> [*589] </w:t>
      </w:r>
    </w:p>
    <w:p>
      <w:pPr>
        <w:keepNext w:val="0"/>
        <w:numPr>
          <w:numId w:val="8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FFS-CR participant must retain and provide access to the required documentation in accordance with § 512.715.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proposals for beneficiary engagement incentives provided by FFS-CR participants were included in proposed § 512.740. We sought comment on our proposed provisions for beneficiary engagement incentives for FFS-CR participants and welcomed comment on additional or alternative program integrity safeguards. We also sought comment about beneficiary engagement incentives other than transportation that could advance the CR incentive payment model goals of increased CR/ICR service care coordination and the medically necessary utilization of CR/ICR services in AMI care periods and CABG care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Multiple commenters claimed that a significant barrier to CR/ICR program participation is beneficiary cost-sharing due to the high cumulative costs associated with completion of multi-session CR/ICR treatment, although the evidence is largely anecdotal. A commenter referenced a recent study that found that in a multiracial population, low socioeconomic status, lack of insurance and copayment were independent risk factors of poor adherence to CR after adjusting for race. They stated that additional research in this area would be helpful in addressing cost as a barrier to participation in CR/ICR services. The commenters urged CMS to lower or eliminate beneficiary copayments under the CR incentive payment model. A commenter suggested that a tiered-copayment structure could be applied that would provide successive reductions in copayments the longer the beneficiary remains in the program. In this example, the first six sessions would be a full copayment, followed by a percentage reduction for the next six and an additional percentage reduction for the remaining sessions. Another commenter requested that CMS allow CR incentive payment model participants to use the CR incentive payment to decrease the cumulative copayment for CR services and claims that this would assist in increasing the utilization of CR/ICR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of the commenters in additional strategies that could assist in beneficiary adherence to the recommended CR/ICR treatment plan for those who are included in the CR/ICR incentive payment model. We note that most beneficiaries in traditional Medicare have supplemental coverage, specifically employer-sponsored, Medicaid, and Medigap in descending order of prevalence. n177 In 2011, only 19 percent of beneficiaries in traditional Medicare did not have supplemental coverage. Thus, while we recognize that without supplemental coverage the cumulative copayments associated with multiple sessions of CR/ICR services could be significant and discourage beneficiary participation, most of the beneficiaries in the CR/ICR incentive payment model would not experience significant out-of-pocket costs for the services themselves because their supplemental coverage would help to cover those costs. Thus, we do not believe it is necessary to lower or eliminate beneficiary copayments in order to test the CR incentive payment model under Medicare FFS, and we have concerns that such provisions could result in program integrity issues such as patient steering toward a particular provider.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n177 The Henry J. Kaiser Family Foundation. An Overview of Medicare. April 1, 2016. </w:t>
      </w:r>
      <w:hyperlink r:id="rId106" w:history="1">
        <w:r>
          <w:rPr>
            <w:rFonts w:ascii="arial" w:eastAsia="arial" w:hAnsi="arial" w:cs="arial"/>
            <w:b w:val="0"/>
            <w:i/>
            <w:strike w:val="0"/>
            <w:noProof w:val="0"/>
            <w:color w:val="0077CC"/>
            <w:position w:val="0"/>
            <w:sz w:val="20"/>
            <w:u w:val="single"/>
            <w:vertAlign w:val="baseline"/>
          </w:rPr>
          <w:t>http://kff.org/medicare/issue-brief/an-overview-of-medicare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number of commenters expressed support for CMS' proposal to allow transportation to be provided as a beneficiary engagement incentive under the CR incentive payment model by FFS-CR participants. The commenters agreed that transportation is a fundamental beneficiary engagement incentive that will increase access to CR/ICR services by removing barriers to enrollment and attendance. Several commenters requested clarification about whether specific types of support would qualify as transportation under the proposed beneficiary engagement incentives policy, including parking fees, rebates, or waivers; taxi services; gasoline for mileage traveled to CR/ICR services; a gas card; and public transportation card. With regard to the specific types of potential transportation support listed, a commenter urged CMS to clarify that FFS-CR participants have flexibility in how they offer the benefit. Another commenter recommended that CMS allow a higher amount of transportation incentives for beneficiaries residing in rural MSAs for whom accessibility of the CR/ICR program is a greater challenge. A commenter who favored allowing FFS-CR participants greater flexibility beyond transportation to provide beneficiary engagement incentives nevertheless requested that should CMS not create parity in the beneficiary engagement incentives that can be offered by EPM-CR and FFS-CR participants, CMS should revise the proposal to clarify that transportation both to and from CR/ICR services would be permitted. Finally, the same commenter requested that CMS clarify the requirement that transportation must not be tied to the receipt of items or services from a particular provider or supplier other than the FFS-CR participant. As proposed, the commenter believes a FFS-CR participant would be prohibited from furnishing transportation to its site in order for a Medicare beneficiary to receive CR or ICR services from that FFS-CR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many commenters expressed appreciation for CMS' proposal to allow FFS-CR participants to offer transportation as a beneficiary engagement incentive, the commenters urged CMS to broaden the types of beneficiary engagement incentives that can be provided by FFS-CR participants to model beneficiaries beyond transportation. A commenter pointed out that the proposal would allow EPM-CR participants to provide the broader set of beneficiary engagement incentives available under the EPM to EPM-CR beneficiaries, allowing EPM-CR participants the flexibility to choose the most appropriate incentives, as long as the requirements for providing them under the EPM are met. The commenter reiterated CMS' stated intent in the proposed rule to create parity between EPM-CR and FFS-CR participants regarding the available regulatory flexibilities directly relevant to advancing the CR incentive payment model goals and disagreed that CMS' proposal for beneficiary engagement incentives that could be offered by FFS-CR participants would meet that objective. The commenter urged CMS to apply the EPM beneficiary engagement incentive provisions to both EPM-CR and FFS-CR participants. The commenter reasoned that doing so would enable all CR participants to develop innovative methods of increasing beneficiary utilization of CR/ICR programs and improving beneficiary adherence to CR/ICR program regimens. The commenter further acknowledged that even if in practice the vast majority of CR/ICR programs ultimately relied exclusively on providing transportation as a beneficiary engagement incentive, CMS would nevertheless have created the opportunity for both EPM-CR and FFS-CR participants to explore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provided specific examples of items and services that could be provided as beneficiary engagement incentives that would assist in increasing CR/ICR program enrollment and adherence to the CR/ICR </w:t>
      </w:r>
      <w:r>
        <w:rPr>
          <w:rFonts w:ascii="arial" w:eastAsia="arial" w:hAnsi="arial" w:cs="arial"/>
          <w:b/>
          <w:i w:val="0"/>
          <w:strike w:val="0"/>
          <w:noProof w:val="0"/>
          <w:color w:val="000000"/>
          <w:position w:val="0"/>
          <w:sz w:val="20"/>
          <w:u w:val="none"/>
          <w:vertAlign w:val="baseline"/>
        </w:rPr>
        <w:t> [*590] </w:t>
      </w:r>
      <w:r>
        <w:rPr>
          <w:rFonts w:ascii="arial" w:eastAsia="arial" w:hAnsi="arial" w:cs="arial"/>
          <w:b w:val="0"/>
          <w:i w:val="0"/>
          <w:strike w:val="0"/>
          <w:noProof w:val="0"/>
          <w:color w:val="000000"/>
          <w:position w:val="0"/>
          <w:sz w:val="20"/>
          <w:u w:val="none"/>
          <w:vertAlign w:val="baseline"/>
        </w:rPr>
        <w:t xml:space="preserve"> treatment plan, including mobile applications for phones to text health messages between sessions; activity devices to track calories and steps; and evidence-based support/counseling weight management services or programs. A commenter asserted that these items and services would be allowed as beneficiary engagement incentives in the EPM and have been shown to improve adherence and foster self-management behaviors in the CR setting. Several commenters recommended that CR participants be able to offer financial incentives to model beneficiaries, such as a per session payment of $ 10 to $ 20 if the beneficiary completes the treatment program; payment by the CR participant to rebate part of the beneficiary's copayment to reward adherence; or a financial incentive that offers assistance to accommodate work or child/elder care obligations while the beneficiary attends CR/ICR sessions. Other commenters suggested that beneficiary engagement incentives could include vouchers for continued enrollment in exercise programs; gym memberships; diet and nutrition services and tobacco cessation services; and a preventive cardiology visit for review and reassessment of patient-centric goals. Another commenter requested clarification about regarding beneficiary engagement incentives can be used to assist with incorporating technology platforms needed to operate home-based cardiac rehabilitation.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of the commenters for our proposal to allow FFS-CR participants to provide transportation as a beneficiary engagement incentive to FFS-CR beneficiaries and the robust information provided by the commenters about other beneficiary engagement incentives that could help FFS-CR participants to advance the goals of the CR incentive payment model of increasing CR/ICR service care coordination and the medically necessary utilization of CR/ICR services for beneficiaries following hospitalization for AMI or CABG. As we stated in the proposed rule </w:t>
      </w:r>
      <w:hyperlink r:id="rId9" w:history="1">
        <w:r>
          <w:rPr>
            <w:rFonts w:ascii="arial" w:eastAsia="arial" w:hAnsi="arial" w:cs="arial"/>
            <w:b w:val="0"/>
            <w:i/>
            <w:strike w:val="0"/>
            <w:noProof w:val="0"/>
            <w:color w:val="0077CC"/>
            <w:position w:val="0"/>
            <w:sz w:val="20"/>
            <w:u w:val="single"/>
            <w:vertAlign w:val="baseline"/>
          </w:rPr>
          <w:t>(81 FR 50897),</w:t>
        </w:r>
      </w:hyperlink>
      <w:r>
        <w:rPr>
          <w:rFonts w:ascii="arial" w:eastAsia="arial" w:hAnsi="arial" w:cs="arial"/>
          <w:b w:val="0"/>
          <w:i w:val="0"/>
          <w:strike w:val="0"/>
          <w:noProof w:val="0"/>
          <w:color w:val="000000"/>
          <w:position w:val="0"/>
          <w:sz w:val="20"/>
          <w:u w:val="none"/>
          <w:vertAlign w:val="baseline"/>
        </w:rPr>
        <w:t xml:space="preserve"> we believe that EPM-CR and FFS-CR participants should generally have the same regulatory flexibilities that are directly relevant to advancing the CR incentive payment model goals so that we can evaluate the CR incentive payment model under the two different underlying payment methodologies for AMI and CABG care (episode or FFS) and draw conclusions about the relationship between the CR incentive payment model and the underlying payment methodology for care. While undoubtedly transportation has the potential to be an important beneficiary engagement incentive for FFS-CR beneficiaries to enhance their adherence to the CR/ICR treatment plan, we believe that our proposal for FFS-CR beneficiary engagement incentives was too narrow and would not have allowed FFS-CR participants sufficient flexibility to provide other beneficiary engagement incentives to help advance the goals of the model, while EPM-CR participants may be able to provide those incentives based on their participation in the EPM, as discussed in section III.I.9. of this final rule. Therefore, we will adopt beneficiary engagement incentive requirements for FFS-CR participants that are modeled closely after those we are finalizing for the EPMs to address the interests of the commenters in providing a broader array of beneficiary incentives under the CR incentive payment model and aligning the requirements for EPM-CR and FFS-CR participants who want to furnish beneficiary incentives to EPM-CR and FFS-CR beneficiaries. We sought comment on the proposal for beneficiary engagement incentives in the EPMs and respond to those comments in section III.I.9.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under the EPMs, the item or service provided as a beneficiary engagement incentive must be a preventive care item or service or an item or service that advances a clinical goal for a beneficiary in an EPM episode, where the goals are--</w:t>
      </w:r>
    </w:p>
    <w:p>
      <w:pPr>
        <w:keepNext w:val="0"/>
        <w:numPr>
          <w:numId w:val="8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Beneficiary adherence to drug regimens;</w:t>
      </w:r>
    </w:p>
    <w:p>
      <w:pPr>
        <w:keepNext w:val="0"/>
        <w:numPr>
          <w:numId w:val="8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Beneficiary adherence to care plan;</w:t>
      </w:r>
    </w:p>
    <w:p>
      <w:pPr>
        <w:keepNext w:val="0"/>
        <w:numPr>
          <w:numId w:val="8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Reduction of readmissions and complications resulting from treatment for the EPM clinical condition; and</w:t>
      </w:r>
    </w:p>
    <w:p>
      <w:pPr>
        <w:keepNext w:val="0"/>
        <w:numPr>
          <w:numId w:val="8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Management of chronic disease and conditions that may be affected by treatment for the EPM clinical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FFS-CR participants are responsible for increasing CR/ICR service care coordination and the medically necessary utilization of CR/ICR services for beneficiaries following hospitalization for AMI or CABG. The AMI and CABG models both focus on beneficiaries with the same clinical conditions as the CR incentive payment model. The CR incentive payment model's ultimate goal is improving beneficiary health and reducing the cost of health care. Increased utilization of CR/ICR services for beneficiaries following AMI and CABG is known to contribute to that ultimate goal based on the components of the CR/ICR program, and the utilization of CR/ICR services for which the model will make a CR incentive payment is only an interim process measure that has an association with the longer-term outcomes we are seeking to achieve.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410.49(b)(2) defines the components of a cardiac rehabilitation and an intensive cardiac rehabilitation program as:</w:t>
      </w:r>
    </w:p>
    <w:p>
      <w:pPr>
        <w:keepNext w:val="0"/>
        <w:numPr>
          <w:numId w:val="8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Physician-prescribed exercise each day cardiac rehabilitation items and services are furnished;</w:t>
      </w:r>
    </w:p>
    <w:p>
      <w:pPr>
        <w:keepNext w:val="0"/>
        <w:numPr>
          <w:numId w:val="8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Cardiac risk factor modification, including education, counseling, and behavioral intervention, tailored to the patients' individual needs;</w:t>
      </w:r>
    </w:p>
    <w:p>
      <w:pPr>
        <w:keepNext w:val="0"/>
        <w:numPr>
          <w:numId w:val="8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Psychosocial assessment;</w:t>
      </w:r>
    </w:p>
    <w:p>
      <w:pPr>
        <w:keepNext w:val="0"/>
        <w:numPr>
          <w:numId w:val="8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Outcomes assessment; and</w:t>
      </w:r>
    </w:p>
    <w:p>
      <w:pPr>
        <w:keepNext w:val="0"/>
        <w:numPr>
          <w:numId w:val="8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individualized treatment plan detailing how components are utilized for each patient.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believe that the clinical goals of the CR model for the purpose of FFS-CR participants providing beneficiary engagement incentives can be appropriately identified as the same as those of the EPMs, related to improving beneficiary adherence to recommended treatments and improving beneficiary health. We will identify the same clinical goals for beneficiary engagement incentives that may be provided by FFS-CR participants as for the EPMs, noting that some contribute to the immediate CR incentive payment model objective of increasing CR/ICR service utilization (for example, beneficiary adherence to a care plan) and others to the longer-term improvement of beneficiary health that is expected to result from increased utilization of CR/ICR services (for example, management of chronic disease and conditions that may be affected by treatment for AMI or CABG).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beneficiary engagement incentive payments that may be provided by FFS-CR participants are parallel to the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beneficiary engagement incentives under the EPMs, with the exception of the conforming changes that are necessary due to FFS-CR participant participation in the CR incentive payment model, rather than an EPM; the specific clinical conditions of AMI and CABG that are included in the CR incentive payment model; and use of the terms AMI care period and CABG care period rather than EPM episode to define the duration of time during which the beneficiary engagement incentive can be provided by the FFS-CR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like the EPMs, the FFS-CR participant beneficiary engagement incentive requirements allow the provision of items and services as in-kind patient engagement incentives but do not allow FFS-CR participants to pay </w:t>
      </w:r>
      <w:r>
        <w:rPr>
          <w:rFonts w:ascii="arial" w:eastAsia="arial" w:hAnsi="arial" w:cs="arial"/>
          <w:b/>
          <w:i w:val="0"/>
          <w:strike w:val="0"/>
          <w:noProof w:val="0"/>
          <w:color w:val="000000"/>
          <w:position w:val="0"/>
          <w:sz w:val="20"/>
          <w:u w:val="none"/>
          <w:vertAlign w:val="baseline"/>
        </w:rPr>
        <w:t> [*591] </w:t>
      </w:r>
      <w:r>
        <w:rPr>
          <w:rFonts w:ascii="arial" w:eastAsia="arial" w:hAnsi="arial" w:cs="arial"/>
          <w:b w:val="0"/>
          <w:i w:val="0"/>
          <w:strike w:val="0"/>
          <w:noProof w:val="0"/>
          <w:color w:val="000000"/>
          <w:position w:val="0"/>
          <w:sz w:val="20"/>
          <w:u w:val="none"/>
          <w:vertAlign w:val="baseline"/>
        </w:rPr>
        <w:t xml:space="preserve"> money to FFS-CR participants for any purpose, including completion of the treatment program or as a rebate of CR copayments. While we can understand the potential benefit of such payments in engaging FFS-CR beneficiaries to advance the goals of the CR incentive payment model by financially rewarding their participation in CR/ICR services, we do not believe that we could include provide sufficient safeguards against patient steering if we were to permit such payments as beneficiary engagement incentives.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commenters requesting specific clarification about transportation incentives, the final beneficiary engagement incentives requirement for FFS-CR participant use no longer are specific to transportation. Therefore, we encourage those commenters to review the final requirements and ensure that all beneficiary engagement incentives, including transportation, provided by FFS-CR participants to FFS-CR beneficiaries meet the requirements. We note that the final requirements include that the item or service must not be tied to the receipt of items or services from a particular provider or supplier so that a FFS-CR participant who offers transportation as a beneficiary engagement incentive to CR/ICR services furnished by the FFS-CR participant would need to make comparable transportation support available for CR/ICR services furnished by another provider so that the availability of transportation would not be used to steer the beneficiary to a particular CR/ICR service provider.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request by a commenter for clarification about whether beneficiary engagement incentives can be used to assist with incorporating technology platforms needed to operate home-based cardiac rehabilitation, we note that Medicare does not cover home-based CR. Any home-based CR activities could not be billed to Medicare and would not contribute to the FFS-CR participant's CR incentive payment. n178 In addition, technology platforms provided as a beneficiary engagement incentive by a FFS-CR participant would need to meet all the requirements specified in this final rule for beneficiary engagement incentives for FFS-CR participant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n178 Medicare Claims Processing Manual. Chapter 32--Billing Requirements for Special Services. Section 140.2--Cardiac Rehabilitation Program Services Furnished On or After January 1, 2010.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finalizing in the proposals in § 512.740 beneficiary engagement incentives to be provided by FFS-CR participants, with modification to our proposals for comparability to EPM beneficiary engagement incentives. Pursuant to section 1115A(d)(1) of the Act, the Secretary will consider whether waivers of certain fraud and abuse laws are necessary to test the CR incentive payment model in FFS-CR participants. Such waivers would be promulgated separately from this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OIG (as to sections 1128A and 1128B of the Act) and CMS (as to section 1877 of the Act), to which the respective authorities have been delegated. Any fraud and abuse waivers issued in connection with the FFS-CR beneficiary engagement incentives model will be available at </w:t>
      </w:r>
      <w:hyperlink r:id="rId98" w:history="1">
        <w:r>
          <w:rPr>
            <w:rFonts w:ascii="arial" w:eastAsia="arial" w:hAnsi="arial" w:cs="arial"/>
            <w:b w:val="0"/>
            <w:i/>
            <w:strike w:val="0"/>
            <w:noProof w:val="0"/>
            <w:color w:val="0077CC"/>
            <w:position w:val="0"/>
            <w:sz w:val="20"/>
            <w:u w:val="single"/>
            <w:vertAlign w:val="baseline"/>
          </w:rPr>
          <w:t>https://www.cms.gov/Medicare/Fraud-and-Abuse/PhysicianSelfReferral/Fraud-and-Abuse-Waivers.html</w:t>
        </w:r>
      </w:hyperlink>
      <w:r>
        <w:rPr>
          <w:rFonts w:ascii="arial" w:eastAsia="arial" w:hAnsi="arial" w:cs="arial"/>
          <w:b w:val="0"/>
          <w:i w:val="0"/>
          <w:strike w:val="0"/>
          <w:noProof w:val="0"/>
          <w:color w:val="000000"/>
          <w:position w:val="0"/>
          <w:sz w:val="20"/>
          <w:u w:val="none"/>
          <w:vertAlign w:val="baseline"/>
        </w:rPr>
        <w:t xml:space="preserve"> and on OIG's Web site. No waivers of any fraud and abuse authorities are being issued in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requested clarification about what considerations could be given for beneficiary adherence to a CR/ICR treatment plan when the most convenient CR program is a rural CAH and the CR participant's location where their CR program resides is beyond a reasonable distance from the beneficiary's home. The commenter recommended that CR participants be permitted to extend transportation beneficiary engagement incentives to model beneficiaries who are receiving CR from rural non-CR participants due to a distance barrier in order for transportation cost barriers to CR service adherence to be reduced for rural beneficiaries as it is for beneficiaries receiving CR at the CR participant. Other commenters who requested that CMS broaden the beneficiary engagement incentives permitted for FFS-CR participants requested clarification about whether these incentives could still be provided if a FFS-CR beneficiary was referred to a CR program at a location other than at the FFS-CR participant.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opportunity to clarify the beneficiary engagement incentive policies for CR participants whose model beneficiaries obtain CR/ICR services at different locations. Under our policies that apply to CR participants, beneficiary engagement incentives must be provided directly by the EPM-CR or FFS-CR participant or by an agent of the EPM-CR or FFS-CR participant under the EPM or FFS-CR participant's direction and control to the EPM-CR or FFS-CR beneficiary during an AMI episode or AMI care period, respectively, or during a CABG episode or CABG care period. Therefore, while we limit who may provide the beneficiary engagement incentives to a model beneficiary to safeguard against patient steering to any particular provider, transportation to CR/ICR services or other items and services provided as in-kind patient engagement incentive may be provided by the FFS-CR participant to the model beneficiary, regardless of where the beneficiary receives CR/ICR services. Therefore, in the example raised by the commenter, the CR participant where the beneficiary was hospitalized for AMI or CABG that initiated the AMI episode or AMI care period would be permitted to provide transportation to CR services at the CAH near the beneficiary's home as an in-kind patient engagement incentive, subject to all the other requirements for beneficiary engagement incentives for EPM or FFS-CR participants, as applicable to the specific CR participant, being met. In this scenario, we note that the CR incentive payment for CR/ICR services utilized by the beneficiary would be made to the CR participant, not the CAH, although the CAH would be paid for all CR services furnished to the beneficiary under the applicable Medicare FFS payment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proposals in § 512.740 for beneficiary engagement incentives provided by FFS-CR participants, with modification to allow beneficiary engagement incentives that are subject to the same overall requirements as the EPM but as applicable to AMI care periods and CABG care periods under the CR incentive payment model. Beneficiary engagement incentives provided by FFS-CR participants must meet the following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FFS-CR participants may choose to provide in-kind patient engagement incentives to beneficiaries in an AMI care period or CABG care period under the CR incentive payment model, subject to the following conditions:</w:t>
      </w:r>
    </w:p>
    <w:p>
      <w:pPr>
        <w:keepNext w:val="0"/>
        <w:numPr>
          <w:numId w:val="8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incentive must be provided directly by the FFS-CR participant or by an agent of the FFS-CR participant under the FFS-CR participant's direction and control to the FFS-CR beneficiary during an AMI care period or CABG care period.</w:t>
      </w:r>
    </w:p>
    <w:p>
      <w:pPr>
        <w:keepNext w:val="0"/>
        <w:numPr>
          <w:numId w:val="8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item or service provided must be reasonably connected to medical care provided to an FFS-CR beneficiary during an AMI care period or CABG care period.</w:t>
      </w:r>
    </w:p>
    <w:p>
      <w:pPr>
        <w:keepNext w:val="0"/>
        <w:numPr>
          <w:numId w:val="8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item or service must be a preventive care item or service or an item or service that advances a clinical goal, as listed later in this section, for a beneficiary during an AMI care period or CABG care by engaging the </w:t>
      </w:r>
      <w:r>
        <w:rPr>
          <w:rFonts w:ascii="arial" w:eastAsia="arial" w:hAnsi="arial" w:cs="arial"/>
          <w:b/>
          <w:i w:val="0"/>
          <w:strike w:val="0"/>
          <w:noProof w:val="0"/>
          <w:color w:val="000000"/>
          <w:position w:val="0"/>
          <w:sz w:val="20"/>
          <w:u w:val="none"/>
          <w:vertAlign w:val="baseline"/>
        </w:rPr>
        <w:t> [*592] </w:t>
      </w:r>
      <w:r>
        <w:rPr>
          <w:rFonts w:ascii="arial" w:eastAsia="arial" w:hAnsi="arial" w:cs="arial"/>
          <w:b w:val="0"/>
          <w:i w:val="0"/>
          <w:strike w:val="0"/>
          <w:noProof w:val="0"/>
          <w:color w:val="000000"/>
          <w:position w:val="0"/>
          <w:sz w:val="20"/>
          <w:u w:val="none"/>
          <w:vertAlign w:val="baseline"/>
        </w:rPr>
        <w:t xml:space="preserve"> beneficiary in better managing his or her own health.</w:t>
      </w:r>
    </w:p>
    <w:p>
      <w:pPr>
        <w:keepNext w:val="0"/>
        <w:numPr>
          <w:numId w:val="8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item or service must not be tied to the receipt of items or services outside the AMI care periods or CABG care periods.</w:t>
      </w:r>
    </w:p>
    <w:p>
      <w:pPr>
        <w:keepNext w:val="0"/>
        <w:numPr>
          <w:numId w:val="8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item or service must not be tied to the receipt of items or services from a particular provider or supplier.</w:t>
      </w:r>
    </w:p>
    <w:p>
      <w:pPr>
        <w:keepNext w:val="0"/>
        <w:numPr>
          <w:numId w:val="8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availability of items or services must not be advertised or promoted except that a beneficiary may be made aware of the availability of items or services at the time the beneficiary could reasonably benefit from them.</w:t>
      </w:r>
    </w:p>
    <w:p>
      <w:pPr>
        <w:keepNext w:val="0"/>
        <w:numPr>
          <w:numId w:val="8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cost of the item or service must not be shifted to another federal health care program, as defined at section 1128B(f)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Beneficiary engagement incentives involving technology are subject to the following additional conditions:</w:t>
      </w:r>
    </w:p>
    <w:p>
      <w:pPr>
        <w:keepNext w:val="0"/>
        <w:numPr>
          <w:numId w:val="8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or services involving technology provided to a beneficiary may not exceed $ 1,000 in retail value for any one beneficiary in any one AMI care period or CABG care period.</w:t>
      </w:r>
    </w:p>
    <w:p>
      <w:pPr>
        <w:keepNext w:val="0"/>
        <w:numPr>
          <w:numId w:val="8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or services involving technology provided to a beneficiary must be the minimum necessary to advance a clinical goal, as listed in paragraph (c) of this section, for a beneficiary in an AMI care period or CABG care period.</w:t>
      </w:r>
    </w:p>
    <w:p>
      <w:pPr>
        <w:keepNext w:val="0"/>
        <w:numPr>
          <w:numId w:val="8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of technology exceeding $ 100 in retail value must--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Remain the property of the FFS-CR participant;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 retrieved from the beneficiary at the end of the AMI care period or CABG care period. The FFS-CR participant must document all retrieval attempts, including the ultimate date of retrieval. Documented, diligent, good faith attempts to retrieve items of technology will be deemed to meet the retrieval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the clinical goals of the CR incentive payment model, which may be advanced through beneficiary incentives:</w:t>
      </w:r>
    </w:p>
    <w:p>
      <w:pPr>
        <w:keepNext w:val="0"/>
        <w:numPr>
          <w:numId w:val="8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Beneficiary adherence to drug regimens.</w:t>
      </w:r>
    </w:p>
    <w:p>
      <w:pPr>
        <w:keepNext w:val="0"/>
        <w:numPr>
          <w:numId w:val="8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Beneficiary adherence to a care plan.</w:t>
      </w:r>
    </w:p>
    <w:p>
      <w:pPr>
        <w:keepNext w:val="0"/>
        <w:numPr>
          <w:numId w:val="8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Reduction of readmissions and complications resulting from treatment for AMI or CABG.</w:t>
      </w:r>
    </w:p>
    <w:p>
      <w:pPr>
        <w:keepNext w:val="0"/>
        <w:numPr>
          <w:numId w:val="8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Management of chronic diseases and conditions that may be affected by treatment for AMI or CABG.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Documentation of beneficiary engagement incentives:</w:t>
      </w:r>
    </w:p>
    <w:p>
      <w:pPr>
        <w:keepNext w:val="0"/>
        <w:numPr>
          <w:numId w:val="9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FFS-CR participants must maintain documentation of items and services furnished as a beneficiary engagement incentive that exceeds $ 25 in retail value.</w:t>
      </w:r>
    </w:p>
    <w:p>
      <w:pPr>
        <w:keepNext w:val="0"/>
        <w:numPr>
          <w:numId w:val="9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documentation established contemporaneously with the provision of the items and services must include at least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date the incentive is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identity of the beneficiary to whom the item or service was provided.</w:t>
      </w:r>
    </w:p>
    <w:p>
      <w:pPr>
        <w:keepNext w:val="0"/>
        <w:numPr>
          <w:numId w:val="9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documentation regarding items of technology exceeding $ 100 in retail must also include contemporaneous documentation of any attempt to retrieve technology at the end of an AMI care period or CABG care period as described previously in this section.</w:t>
      </w:r>
    </w:p>
    <w:p>
      <w:pPr>
        <w:keepNext w:val="0"/>
        <w:numPr>
          <w:numId w:val="9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FFS-CR participant must retain and provide access to the required documentation in accordance with § 512.715.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Waiver of Physician Definition for FFS-CR Participants Furnishing CR and ICR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 of Program Rule Waivers Under an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III.J. of this final rule, we finalized the waivers of certain program rules that we believe offers providers and suppliers more flexibility so that they may increase coordination of care and management of beneficiaries in EPM episodes. The purpose of such flexibilities is to increase EPM episode quality and decrease episode spending or internal costs or both of providers and suppliers that results in better, more coordinated care for beneficiaries and improved financial efficiencies for Medicare, providers, and beneficiaries. These additional flexibilities are implemented through our waiver authority under section 1115A of the Act, which affords broad authority for the Secretary to waive statutory Medicare program requirements as necessary to carry out the provisions of section 1115A. We have used this authority to implement similar program rule waivers in other models, such as the CJR model, as discussed in section III.J.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General Physician Requirements for Furnishing CR and ICR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cardiac rehabilitation (CR) program, as defined in § 410.49(a)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means a physician-supervised program that furnishes physician prescribed exercise, cardiac risk factor modification, psychosocial assessment, and outcomes assessment. An intensive cardiac rehabilitation (ICR) program, as defined in § 410.49(a)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means a physician-supervised program that furnishes cardiac rehabilitation and has shown, in peer-reviewed published research, that it improves patients' cardiovascular disease through specific outcome measurements described in § 410.49(c). A physician is defined under § 410.49(a), and under § 1861(r)(1) of the Act as a doctor of medicine or osteopathy.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following physician functions are required under § 410.49 in furnishing CR/ICR services;</w:t>
      </w:r>
    </w:p>
    <w:p>
      <w:pPr>
        <w:keepNext w:val="0"/>
        <w:numPr>
          <w:numId w:val="9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Medical director--defined at § 410.49(a) as a physician that oversees or supervises the cardiac rehabilitation or intensive rehabilitation program at a particular site;</w:t>
      </w:r>
    </w:p>
    <w:p>
      <w:pPr>
        <w:keepNext w:val="0"/>
        <w:numPr>
          <w:numId w:val="9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Supervising physician--defined at § 410.49(a) as a physician that is immediately available and accessible for medical consultations and medical emergencies at all times items and services are being furnished to individuals under cardiac rehabilitation and intensive cardiac rehabilitation programs;</w:t>
      </w:r>
    </w:p>
    <w:p>
      <w:pPr>
        <w:keepNext w:val="0"/>
        <w:numPr>
          <w:numId w:val="9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Physician-prescribed exercise--defined at § 410.49(a) as aerobic exercise combined with other types of exercise (that is, strengthening, stretching) as determined to be appropriate for individual patients by a physician; and</w:t>
      </w:r>
    </w:p>
    <w:p>
      <w:pPr>
        <w:keepNext w:val="0"/>
        <w:numPr>
          <w:numId w:val="9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review, and sign an individualized treatment plan every 30 days, as described at § 410.49(b)(2)(v).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Waiver of Physician Definition for EPM-CR Participants Furnishing CR and ICR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 III.J.8. of this final rule, for cardiac rehabilitation and intensive cardiac rehabilitation services provided in an EPM-CR participant under the proposed AMI and CABG models, we are waiving the physician definition, under § 410.49, to allow a physician or a qualified nonphysician practitioner to perform the functions of supervising physician, prescribing exercise, and establishing, reviewing, and signing an individualized treatment plan every 30 days. A nonphysician practitioner, for the purposes of the EPM-CR waiver is defined as a physician assistant, nurse practitioner, or clinical nurse specialist as authorized under sections 1861(s)(2)(K)(i) and (ii) of the Act and defined in section 1861(aa)(5) of the Act, or in §§ 410.74, 410.75, and 410.76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are implementing the EPM-CR waiver to provide greater program flexibility that might increase the availability of CR and ICR services to AMI and CABG model beneficiaries. This waiver is codified at § 512.630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Waiver of Physician Definition for FFS-CR Participants Furnishing CR and ICR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Services provided under CR and ICR programs may be furnished to those beneficiaries in a FFS-CR participant hospital eligible to receive a CR incentive payment. To provide greater </w:t>
      </w:r>
      <w:r>
        <w:rPr>
          <w:rFonts w:ascii="arial" w:eastAsia="arial" w:hAnsi="arial" w:cs="arial"/>
          <w:b/>
          <w:i w:val="0"/>
          <w:strike w:val="0"/>
          <w:noProof w:val="0"/>
          <w:color w:val="000000"/>
          <w:position w:val="0"/>
          <w:sz w:val="20"/>
          <w:u w:val="none"/>
          <w:vertAlign w:val="baseline"/>
        </w:rPr>
        <w:t> [*593] </w:t>
      </w:r>
      <w:r>
        <w:rPr>
          <w:rFonts w:ascii="arial" w:eastAsia="arial" w:hAnsi="arial" w:cs="arial"/>
          <w:b w:val="0"/>
          <w:i w:val="0"/>
          <w:strike w:val="0"/>
          <w:noProof w:val="0"/>
          <w:color w:val="000000"/>
          <w:position w:val="0"/>
          <w:sz w:val="20"/>
          <w:u w:val="none"/>
          <w:vertAlign w:val="baseline"/>
        </w:rPr>
        <w:t xml:space="preserve"> program flexibility that might increase the availability of CR and ICR services to beneficiaries in a FFS-CR participant hospital, we proposed to provide a waiver to the definition of a physician to include a nonphysician practitioner (defined for the purposes of this waiver as a physician assistant, nurse practitioner, or clinical nurse specialist as authorized under sections 1861(s)(2)(K)(i) and (ii) of the Act and defined in section 1861(aa)(5) of the Act, or in §§ 410.74, 410.75, and 410.76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Thus, this proposed waiver for FFS-CR participants would allow, in addition to a physician, a nonphysician practitioner to perform the functions of supervisory physician, prescribing exercise, and establishing, reviewing, and signing an individualized treatment plan in furnishing CR and ICR services under § 410.49. This proposed waiver for FFS-CR participants is similar to the physician definition waiver for EPM-CR participants discussed in section III.J.8. of this final rule. All other definitions and requirements related to a physician or supervising physician under § 410.49 continue to apply. This proposed waiver of the physician definition would be terminated if the FFS-CR participant is terminated or is not in compliance with the CR incentive payment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waiver for FFS-CR participants was codified at proposed § 512.745. We sought comments on this proposed CR/ICR waiver to allow nonphysician practitioners to perform the specified physician functions for the provision of CR/ICR services in a FFS-CR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a number of comments on our proposals to provide a CR/ICR waiver to the physician definition that applied to both the EPM-CR participants and FFS-CR participants, and no comments were unique to the FFS-CR participants. We refer to section III.J.8. of this final rule for a summary of the comments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consideration of the public comments received, we are finalizing the proposal, without modification to allow, in addition to a physician, a nonphysician practitioner to perform the functions of supervisory physician, prescribing exercise, and establishing, reviewing, and signing an individualized treatment plan in furnishing CR and ICR services under § 410.49. This waiver for FFS-CR participants is similar to the physician definition waiver for EPM-CR participants discussed in section III.J.8. of this final rule. All other definitions and requirements related to a physician or supervising physician under § 410.49 continue to apply. This waiver of the physician definition would be terminated if the FFS-CR participant is terminated or is not in compliance with the CR incentive payment model. This waiver for FFS-CR participants is codified at § 512.745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Considerations Regarding Financial Arrangements Under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section VI.E.2. of the proposed rule </w:t>
      </w:r>
      <w:hyperlink r:id="rId9" w:history="1">
        <w:r>
          <w:rPr>
            <w:rFonts w:ascii="arial" w:eastAsia="arial" w:hAnsi="arial" w:cs="arial"/>
            <w:b w:val="0"/>
            <w:i/>
            <w:strike w:val="0"/>
            <w:noProof w:val="0"/>
            <w:color w:val="0077CC"/>
            <w:position w:val="0"/>
            <w:sz w:val="20"/>
            <w:u w:val="single"/>
            <w:vertAlign w:val="baseline"/>
          </w:rPr>
          <w:t>(81 FR 50981),</w:t>
        </w:r>
      </w:hyperlink>
      <w:r>
        <w:rPr>
          <w:rFonts w:ascii="arial" w:eastAsia="arial" w:hAnsi="arial" w:cs="arial"/>
          <w:b w:val="0"/>
          <w:i w:val="0"/>
          <w:strike w:val="0"/>
          <w:noProof w:val="0"/>
          <w:color w:val="000000"/>
          <w:position w:val="0"/>
          <w:sz w:val="20"/>
          <w:u w:val="none"/>
          <w:vertAlign w:val="baseline"/>
        </w:rPr>
        <w:t xml:space="preserve"> we proposed to not permit the inclusion of CR incentive payments in sharing arrangements for EPM participants specified in proposed § 512.500. Similarly, we did not propose to allow specific financial arrangements for FFS-CR participants. Thus, financial arrangements regarding CR incentive payments paid by CMS to CR participants would be subject to all existing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all fraud and abuse laws and applicable CR payment and coverage requirements. Given that more than 95 percent of CR/ICR services were historically furnished by hospital outpatient departments (HOPDs) to beneficiaries in the 90 days following discharge from a hospitalization for AMI or CABG, in the proposed rule we described our expectation that in many cases the CR participant that would be accountable under the CR incentive payment model would itself carry out the model implementation activities, including coordination of CR/ICR services to CR beneficiaries, through the hospital's own CR program. n179 However, in other cases, depending on beneficiary choices and the availability of CR/ICR services and expertise in a CR participant's local community, CR participants might wish to engage other individuals and entities, including individuals and entities that are not providers and suppliers, in order to advance the CR incentive payment model goals of increased CR/ICR service care coordination and the medically necessary utilization of CR/ICR services in AMI and CABG model episodes and AMI care periods and CABG care periods. Thus, we expected that all financial relationships with other individuals and entities under the CR incentive payment model would be narrowly focused on certain activities related to the CR participant's specific plan to advance the goals of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n179 Analysis of cardiac rehabilitation utilization in care periods for AMI and CABG beneficiaries initiated by all U.S. IPPS hospitals not in Maryland and constructed using standardized Medicare FFS Parts A and B claims, as proposed in this rule that began in CYs 2012 through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we expected that CR participants may choose to engage with providers, suppliers, and other organizations that are neither providers nor suppliers to assist with matters such as CR/ICR service utilization data analysis; beneficiary outreach; CR beneficiary care coordination and management for CR/ICR service referral and adherence to a treatment plan; CR participant compliance with the terms and conditions of the CR incentive payment model; or other model activities. These individuals and entities might play important roles in a CR participant's plans to implement the CR incentive payment model based on their direct clinical care for beneficiaries in AMI or CABG model episodes or AMI care periods or CABG care periods; their prior experience with cardiovascular risk-factor reduction and management initiatives; their care coordination expertise; or their familiarity with the local community and access to resources that may reduce barriers to beneficiary utilization of CR/ICR services. We expected that all relationships established between CR participants and other individuals and entities for such purposes of the CR incentive payment model would only be those permitted under existing law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would also expect that all of these relationships would solely be based on the level of engagement of the individual's or entity's resources to directly support the CR participant's CR incentive payment model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recognized in the proposed rule, however, that we do not have precedent with other CMS models and programs that have a similar design to the CR incentive payment model. Thus, we sought comment on whether there are other types of financial arrangements that CR participants would wish to pursue in advancing the model goals of increased CR/ICR service care coordination and the medically necessary utilization of CR/ICR services in AMI and CABG model episodes and AMI care periods and CABG care periods. We specifically requested comments on which individuals and entities would be parties to the financial arrangements; what specific CR incentive payment model implementation activities would be included in the financial arrangements; and what methodologies would be used for sharing the CR incentive payment under such financial arrangements. In addition, we sought comment on what safeguards would be needed to ensure program integrity, protect against abuse, and ensure that the goals of the CR incentive payment model would be met. Based on comments and our early implementation experience with the CR </w:t>
      </w:r>
      <w:r>
        <w:rPr>
          <w:rFonts w:ascii="arial" w:eastAsia="arial" w:hAnsi="arial" w:cs="arial"/>
          <w:b/>
          <w:i w:val="0"/>
          <w:strike w:val="0"/>
          <w:noProof w:val="0"/>
          <w:color w:val="000000"/>
          <w:position w:val="0"/>
          <w:sz w:val="20"/>
          <w:u w:val="none"/>
          <w:vertAlign w:val="baseline"/>
        </w:rPr>
        <w:t> [*594] </w:t>
      </w:r>
      <w:r>
        <w:rPr>
          <w:rFonts w:ascii="arial" w:eastAsia="arial" w:hAnsi="arial" w:cs="arial"/>
          <w:b w:val="0"/>
          <w:i w:val="0"/>
          <w:strike w:val="0"/>
          <w:noProof w:val="0"/>
          <w:color w:val="000000"/>
          <w:position w:val="0"/>
          <w:sz w:val="20"/>
          <w:u w:val="none"/>
          <w:vertAlign w:val="baseline"/>
        </w:rPr>
        <w:t xml:space="preserve"> incentive payment model, we noted that we may make specific proposals around CR incentive payment model financial arrangements in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urged CMS to allow CR participants to share CR incentive payments with other providers under the CR incentive payment model to assist CR participants in meeting the model goals of increasing CR/ICR service care coordination and the medically necessary utilization of CR/ICR services for beneficiaries following hospitalization for AMI or CABG. Without sharing arrangements that are not permissible under existing fraud and abuse laws, the commenters believe the model goals may be challenging to achieve while retaining beneficiary freedom of choice of CR/ICR service provider, especially in some geographic areas of the country. In one example provided by a commenter, a tertiary referral center could receive patients for CABG or treatment of AMI from distant hospitals with more limited cardiac capacity. While the tertiary referral center would be the EPM-CR or FFS-CR participant in the CR incentive payment model, the beneficiary would commonly return home to their community for CR/ICR services. The commenter claimed that the opportunity for the tertiary referral center to share some of the CR incentive payment with the referring community hospital to augment the available resources of the local CR/ICR program to facilitate service availability and beneficiary adherence to the CR/ICR treatment plan would be valuable. Some commenters expressed concern that without permitting sharing arrangements of the CR incentive payment between the CR participant and other providers of CR/ICR services, the CR incentive payment model would not incentivize adherence to CR/ICR programs at rural hospitals, CAHs, and any other CR program that is not a CR participant. The commenters believe that beneficiaries should have the choice to select where they receive CR/ICR services, and encouraged CMS to design the model such that it supports and incentivizes this choice. In general, a number of commenters urged CMS to adopt flexibility in the financial arrangements permitted under the CR incentive payment model, which they believe would lead to broader utilization of CR/ICR services.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information provided by the commenters about the potential benefits of certain financial arrangements under the CR incentive payment model. In response to the commenters who expressed concerns about beneficiary freedom of choice of CR/ICR provider under the CR incentive payment model, we do not agree that the absence of specific financial arrangements being permitted under the model is a risk to beneficiary freedom of choice or results in the model not incentivizing CR/ICR treatment plan adherence at any CR provider that is not a CR participant. The CR participant will receive a CR incentive payment based on the totality of CR/ICR services furnished to beneficiaries in AMI and CABG episodes or AMI care periods and CABG care periods, regardless of where the beneficiary receives CR/ICR services. Therefore, the model provides a financial incentive to CR participants to coordinate CR/ICR services with any CR/ICR program selected by the beneficiary, although as we noted in the proposed rule </w:t>
      </w:r>
      <w:hyperlink r:id="rId9" w:history="1">
        <w:r>
          <w:rPr>
            <w:rFonts w:ascii="arial" w:eastAsia="arial" w:hAnsi="arial" w:cs="arial"/>
            <w:b w:val="0"/>
            <w:i/>
            <w:strike w:val="0"/>
            <w:noProof w:val="0"/>
            <w:color w:val="0077CC"/>
            <w:position w:val="0"/>
            <w:sz w:val="20"/>
            <w:u w:val="single"/>
            <w:vertAlign w:val="baseline"/>
          </w:rPr>
          <w:t>(81 FR 50989),</w:t>
        </w:r>
      </w:hyperlink>
      <w:r>
        <w:rPr>
          <w:rFonts w:ascii="arial" w:eastAsia="arial" w:hAnsi="arial" w:cs="arial"/>
          <w:b w:val="0"/>
          <w:i w:val="0"/>
          <w:strike w:val="0"/>
          <w:noProof w:val="0"/>
          <w:color w:val="000000"/>
          <w:position w:val="0"/>
          <w:sz w:val="20"/>
          <w:u w:val="none"/>
          <w:vertAlign w:val="baseline"/>
        </w:rPr>
        <w:t xml:space="preserve"> historically that CR program has been most commonly that of the discharging hospital who would be the CR participant. We also expect that CR participants will support the beneficiary's choice of CR/ICR provider that is most likely to result in greater beneficiary adherence to the CR/ICR treatment plan, and that the choice of a local CR/ICR provider would often be of mutual benefit to the beneficiary and CR participant by increasing the likelihood that the beneficiary will receive more CR/ICR services than at a remote CR program. While we appreciate the interest of some commenters in sharing the CR incentive payment with other providers, our model design generally relies on the CR participant who is accountable under the CR incentive payment model itself carrying out the model implementation activities, including coordination of CR/ICR services to CR beneficiaries. To the extent CR participants may wish to engage other individuals and entities to advance the CR incentive payment model goals of increased CR/ICR service care coordination and the medically necessary utilization of CR/ICR services, we expect that financial relationships with these individuals and entities will be narrowly focused on certain activities related to the CR participant's specific plan to advance the goals of the model. We also expect that all of these relationships will solely be based on the level of engagement of the individual's or entity's resource to directly support the CR participant's CR incentive payment model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made no proposals for financial arrangements under the CR incentive payment model. As we stated in the proposed rule </w:t>
      </w:r>
      <w:hyperlink r:id="rId9" w:history="1">
        <w:r>
          <w:rPr>
            <w:rFonts w:ascii="arial" w:eastAsia="arial" w:hAnsi="arial" w:cs="arial"/>
            <w:b w:val="0"/>
            <w:i/>
            <w:strike w:val="0"/>
            <w:noProof w:val="0"/>
            <w:color w:val="0077CC"/>
            <w:position w:val="0"/>
            <w:sz w:val="20"/>
            <w:u w:val="single"/>
            <w:vertAlign w:val="baseline"/>
          </w:rPr>
          <w:t>(81 FR 50989),</w:t>
        </w:r>
      </w:hyperlink>
      <w:r>
        <w:rPr>
          <w:rFonts w:ascii="arial" w:eastAsia="arial" w:hAnsi="arial" w:cs="arial"/>
          <w:b w:val="0"/>
          <w:i w:val="0"/>
          <w:strike w:val="0"/>
          <w:noProof w:val="0"/>
          <w:color w:val="000000"/>
          <w:position w:val="0"/>
          <w:sz w:val="20"/>
          <w:u w:val="none"/>
          <w:vertAlign w:val="baseline"/>
        </w:rPr>
        <w:t xml:space="preserve"> based on the comments on this rulemaking and our early implementation experience with the CR incentive payment model, we may make specific proposals around CR incentive payment model financial arrangements in future rulemaking. We especially need to consider the safeguards that would be needed for such financial arrangements to ensure program integrity, protect against abuse, and ensure that the goals of the CR incentive payment model would be met, because we do not have precedent with other CMS models and programs that have a similar design to the CR incentive payment model. Thus, we expect that all relationships established between CR participants and other individuals and entities for purposes of the CR incentive payment model will only be those permitted under existing law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made no specific proposals for financial arrangements under the CR incentive payment model that would allow CR participants to enter into financial arrangements with other individuals and entities to share CR incentive payments, beyond relationships permitted under existing law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will consider the information provided by the commenters and our early experience with implementation of the model and we make proposals about financial arrangements in future rulemaking.</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Collection of Information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section1115A(d)(3) of the Act, Chapter 35 of title 44, United States Code, shall not apply to the testing and evaluation of models under section 1115A of the Act. As a result, the information collection requirements contained in this final rule need not be reviewed by the Office of Management and Budget. However, we have summarized the anticipated information collection requirements in the Regulatory Impact Analysis.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VIII. Regulatory Impact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examined the impact of this rule as required by Executive Order 12866 and other laws and Executive Orders requiring economic analysis of the effects of final rules.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Statement of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Need for EPM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is necessary in order to implement and test three new EPMs under the authority of section 1115A of the Act, which allows the Innovation Center to test innovative payment and service delivery models in order to "reduce program expenditures while </w:t>
      </w:r>
      <w:r>
        <w:rPr>
          <w:rFonts w:ascii="arial" w:eastAsia="arial" w:hAnsi="arial" w:cs="arial"/>
          <w:b/>
          <w:i w:val="0"/>
          <w:strike w:val="0"/>
          <w:noProof w:val="0"/>
          <w:color w:val="000000"/>
          <w:position w:val="0"/>
          <w:sz w:val="20"/>
          <w:u w:val="none"/>
          <w:vertAlign w:val="baseline"/>
        </w:rPr>
        <w:t> [*595] </w:t>
      </w:r>
      <w:r>
        <w:rPr>
          <w:rFonts w:ascii="arial" w:eastAsia="arial" w:hAnsi="arial" w:cs="arial"/>
          <w:b w:val="0"/>
          <w:i w:val="0"/>
          <w:strike w:val="0"/>
          <w:noProof w:val="0"/>
          <w:color w:val="000000"/>
          <w:position w:val="0"/>
          <w:sz w:val="20"/>
          <w:u w:val="none"/>
          <w:vertAlign w:val="baseline"/>
        </w:rPr>
        <w:t xml:space="preserve"> preserving or enhancing the quality of care furnished to individuals." Under the FFS program, Medicare makes separate payments to providers and suppliers for the items and services furnished to a beneficiary over the course of treatment (an episode of care). With the amount of payments dependent on the volume of services delivered, providers may not have incentives to invest in quality-improvement and care-coordination activities. As a result, care may be fragmented, unnecessary, or duplicative. The goal for the EPMs we are finalizing in this rule is to improve the quality of care provided to beneficiaries in an applicable episode while reducing episode spending through financial accountability.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 approaches that reward providers for assuming financial and performance accountability for a particular episode of care can create incentives for the implementation and coordination of care redesign between participants and other providers and suppliers such as physicians and post-acute care providers. Under the EPMs we are finalizing in this rule, CMS will test whether an EPM for AMI, CABG, and SHFFT episodes of care will reduce Medicare expenditures while preserving or enhancing the quality of care for Medicare beneficiaries. We believe the EPM models have the potential to benefit Medicare beneficiaries by improving the coordination and transition of care, improving the coordination of items and services paid for through FFS Medicare, encouraging more provider investment in infrastructure and redesigned care processes for higher-quality and more efficient service delivery, and incentivizing higher-value care across the inpatient and post-acute care spectrum. The goal for the EPMs we are finalizing in this rule is to improve the quality of care provided to beneficiaries in an applicable episode while reducing episode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AMI, CABG, and SHFFT models require the participation of hospitals in multiple geographic areas that might not otherwise participate in testing episode payment for the EPM episodes of care. CMS is testing other episode payment models with the BPCI initiative and the CJR model. The BPCI initiative is voluntary; risk-bearing organizations applied to participate and chose from 48 clinical episodes. In the CJR model, acute care hospitals in selected geographic areas are required to participate in the CJR model for all eligible LEJR episodes that initiate at a CJR model participant hospital. Realizing the full potential of the new EPMs requires the engagement of an even broader set of providers than have participated to date in our episode payment models such as the BPCI initiative and the CJR model. As such, we will test and evaluate the impact of episode payment for three EPMs (AMI, CABG, and SHFFT models) in a variety of circumstances, including those hospitals that may not otherwise participate in such a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Need for CJR Modifications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also includes modifications to the CJR model. Acute care hospitals in selected geographic areas are required to participate in the CJR model for LEJR episodes that initiate at a CJR model participant hospital. The modifications finalized in this rule clarify and update provisions of the CJR model and create alignment between CJR and the AMI, CABG, and SHFFT models. The primary impact of these changes are: (1) Incorporation of BPCI and CJR reconciliation payments and Medicare repayments in setting quality-adjusted target prices in performance years 3-5; and (2) updates to the calculation of composite quality scores.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Need for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 and intensive CR services are capable of achieving significant improvements in patient outcomes beyond the AMI and CABG model 90-day post-discharge care period. Despite evidence from multiple studies that CR services improve health outcomes, these services remain underutilized. Beneficiaries with CAD often receive care in many different settings from multiple providers over the long-term and subsequently commonly experience care that is fragmented and uncoordinated. Lack of coordination, of both care and financial incentives, across the continuum of CAD care, results in higher than necessary rates of adverse drug events, hospital readmissions, diagnostic errors, and other adverse outcomes, as well as lower than appropriate utilization of evidence-based treatments. The CR incentive payment model will test whether a financial incentive for hospitals that encourages the management of beneficiaries that have had an AMI or a CABG in ways that may contribute to long-term improvements in quality and reductions in Medicare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Aggregate Impact of EPMs, CJR, and CR Incentive Payment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detailed in Table 57, we estimate a total aggregate impact of $ 159 million in net Medicare savings over the duration of the AMI, CABG, and SHFFT models, July 2017 through December 2021. As detailed in Table 59, we estimate the changes in the CJR model finalized in this final rule, along with the revised assumption about the percentage of participating hospitals that will report voluntary quality data during the performance years, will lower the net Medicare savings by $ 26 million over the duration of the CJR model (April 2016 through December 2020) relative to the financial estimate published in the CJR final rule </w:t>
      </w:r>
      <w:hyperlink r:id="rId21" w:history="1">
        <w:r>
          <w:rPr>
            <w:rFonts w:ascii="arial" w:eastAsia="arial" w:hAnsi="arial" w:cs="arial"/>
            <w:b w:val="0"/>
            <w:i/>
            <w:strike w:val="0"/>
            <w:noProof w:val="0"/>
            <w:color w:val="0077CC"/>
            <w:position w:val="0"/>
            <w:sz w:val="20"/>
            <w:u w:val="single"/>
            <w:vertAlign w:val="baseline"/>
          </w:rPr>
          <w:t>(80 FR 73288).</w:t>
        </w:r>
      </w:hyperlink>
      <w:r>
        <w:rPr>
          <w:rFonts w:ascii="arial" w:eastAsia="arial" w:hAnsi="arial" w:cs="arial"/>
          <w:b w:val="0"/>
          <w:i w:val="0"/>
          <w:strike w:val="0"/>
          <w:noProof w:val="0"/>
          <w:color w:val="000000"/>
          <w:position w:val="0"/>
          <w:sz w:val="20"/>
          <w:u w:val="none"/>
          <w:vertAlign w:val="baseline"/>
        </w:rPr>
        <w:t xml:space="preserve"> These estimated impacts represent the net effect of federal transfers that incent hospitals for improving care while making it more efficient. Furthermore, the AMI, CABG, and SHFFT models may benefit beneficiaries since the models require participants to be accountable for episodes extending 90 days post-hospital discharge, which may potentially improve the coordination of FFS items and services, and encourage investment in infrastructure and redesigned care processes for high quality and efficient service delivery that demonstrate a dedication and focus toward patient-centered care. Although it is possible that participants may respond to the model test through improvements in the efficiency of care that reduce FFS Medicare spending during these episodes, such reductions in Medicare spending will be largely offset through greater reconciliation payments paid by the Medicare program to the participating hospital. As long as reductions in Medicare FFS spending for participating hospitals are equally offset through greater reconciliation payments from the Medicare program to those participating hospitals, the financial impact to the Medicare program should not be significantly different from our estimate.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detailed in Table 60, we estimate a total aggregate impact between $ 29 million in net Medicare costs and $ 32 million in net Medicare savings from July 2017 through December 2024 through the cardiac rehabilitation incentive payment model. These estimated impacts represent the net effect of federal transfers to CR-EPM and CR-FFS participants and savings related to decreased future utilization in beneficiaries who receive CR/ICR services. A range of potential impacts is provided due to uncertainty in the likely increase in CR/ICR utilization based on the CR incentive provided.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Overall Impact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examined the impacts of this rule as required by Executive Order </w:t>
      </w:r>
      <w:r>
        <w:rPr>
          <w:rFonts w:ascii="arial" w:eastAsia="arial" w:hAnsi="arial" w:cs="arial"/>
          <w:b/>
          <w:i w:val="0"/>
          <w:strike w:val="0"/>
          <w:noProof w:val="0"/>
          <w:color w:val="000000"/>
          <w:position w:val="0"/>
          <w:sz w:val="20"/>
          <w:u w:val="none"/>
          <w:vertAlign w:val="baseline"/>
        </w:rPr>
        <w:t> [*596] </w:t>
      </w:r>
      <w:r>
        <w:rPr>
          <w:rFonts w:ascii="arial" w:eastAsia="arial" w:hAnsi="arial" w:cs="arial"/>
          <w:b w:val="0"/>
          <w:i w:val="0"/>
          <w:strike w:val="0"/>
          <w:noProof w:val="0"/>
          <w:color w:val="000000"/>
          <w:position w:val="0"/>
          <w:sz w:val="20"/>
          <w:u w:val="none"/>
          <w:vertAlign w:val="baseline"/>
        </w:rPr>
        <w:t xml:space="preserve"> 12866 on Regulatory Planning and Review (September 30, 1993), Executive Order 13563 on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 (January 18, 2011), the Regulatory Flexibility Act (RFA) (September 19, 1980, </w:t>
      </w:r>
      <w:hyperlink r:id="rId140" w:history="1">
        <w:r>
          <w:rPr>
            <w:rFonts w:ascii="arial" w:eastAsia="arial" w:hAnsi="arial" w:cs="arial"/>
            <w:b w:val="0"/>
            <w:i/>
            <w:strike w:val="0"/>
            <w:noProof w:val="0"/>
            <w:color w:val="0077CC"/>
            <w:position w:val="0"/>
            <w:sz w:val="20"/>
            <w:u w:val="single"/>
            <w:vertAlign w:val="baseline"/>
          </w:rPr>
          <w:t>Pub. L. 96-354</w:t>
        </w:r>
      </w:hyperlink>
      <w:r>
        <w:rPr>
          <w:rFonts w:ascii="arial" w:eastAsia="arial" w:hAnsi="arial" w:cs="arial"/>
          <w:b w:val="0"/>
          <w:i w:val="0"/>
          <w:strike w:val="0"/>
          <w:noProof w:val="0"/>
          <w:color w:val="000000"/>
          <w:position w:val="0"/>
          <w:sz w:val="20"/>
          <w:u w:val="none"/>
          <w:vertAlign w:val="baseline"/>
        </w:rPr>
        <w:t xml:space="preserve">), section 1102(b) of the Social Security Act, section 202 of the Unfunded Mandates Reform Act of 1995 (March 22, 1995; </w:t>
      </w:r>
      <w:r>
        <w:rPr>
          <w:rFonts w:ascii="arial" w:eastAsia="arial" w:hAnsi="arial" w:cs="arial"/>
          <w:b w:val="0"/>
          <w:i/>
          <w:strike w:val="0"/>
          <w:noProof w:val="0"/>
          <w:color w:val="000000"/>
          <w:position w:val="0"/>
          <w:sz w:val="20"/>
          <w:u w:val="none"/>
          <w:vertAlign w:val="baseline"/>
        </w:rPr>
        <w:t>Pub. L. 104-4</w:t>
      </w:r>
      <w:r>
        <w:rPr>
          <w:rFonts w:ascii="arial" w:eastAsia="arial" w:hAnsi="arial" w:cs="arial"/>
          <w:b w:val="0"/>
          <w:i w:val="0"/>
          <w:strike w:val="0"/>
          <w:noProof w:val="0"/>
          <w:color w:val="000000"/>
          <w:position w:val="0"/>
          <w:sz w:val="20"/>
          <w:u w:val="none"/>
          <w:vertAlign w:val="baseline"/>
        </w:rPr>
        <w:t>), Executive Order 13132 on Federalism (August 4, 1999) and the Congressional Review Act (</w:t>
      </w:r>
      <w:hyperlink r:id="rId141" w:history="1">
        <w:r>
          <w:rPr>
            <w:rFonts w:ascii="arial" w:eastAsia="arial" w:hAnsi="arial" w:cs="arial"/>
            <w:b w:val="0"/>
            <w:i/>
            <w:strike w:val="0"/>
            <w:noProof w:val="0"/>
            <w:color w:val="0077CC"/>
            <w:position w:val="0"/>
            <w:sz w:val="20"/>
            <w:u w:val="single"/>
            <w:vertAlign w:val="baseline"/>
          </w:rPr>
          <w:t>5 U.S.C. 804(2)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Orders 12866 and 13563 direct agencies to assess all costs and benefits of available regulatory alternatives and, if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necessary, to select regulatory approaches that maximize net benefits (including potential economic, environmental, public health and safety effects, distributive impacts, and equity). Section 3(f) of Executive Order 12866 defines a "significant regulatory action" as an action that is likely to result in a rule: (1) Having an annual effect on the economy of $ 100 million or more in any 1 year, or adversely and materially affecting a sector of the economy, productivity,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jobs, the environment, public health or safety, or state, local or tribal governments or communities (also referred to as "economically significant"); (2) creating a serious inconsistency or otherwise interfering with an action taken or planned by another agency; (3) materially altering the budgetary impacts of entitlement grants, user fees, or loan programs or the rights and obligations of recipients thereof; or (4) raising novel legal or policy issues arising out of legal mandates, the President's priorities, or the principles set forth in the Executive Order. This final rule triggers these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13132 establishes certain requirements that an agency must meet when it publishes a proposed rule and subsequent final rule that imposes substantial direct requirement costs on state and local governments, pre-empts state law, or otherwise has federalism implications. We do not believe that there is anything in this final rule that either explicitly or implicitly pre-empts any state law, and furthermore we do not believe that this final rule will have a substantial direct effect on state or local governments, preempt states law, or otherwise have a federalism implication.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Anticipated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Overall Magnitude of the Model and Its Effects on the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Nationally, the total number of historical episodes ending in CY 2014 that began with IPPS hospitalizations and extended 90 days post-hospital discharge were approximately 168,000 for AMI; 48,000 for CABG; and 109,000 for SHFFT. The total Medicare spending for these historical episodes was approximately $ 4.1 billion, $ 2.3 billion, and $ 4.7 billion, respectively. Based on analysis of Medicare claims for historical episodes in 2012-2014, the mean estimated total payment for AMI episodes (defined based on ICD-CM diagnosis code and DRGs as described in section III.C of this final rule) is about $ 24,000, where approximately 61 percent of the spending is attributable to hospital inpatient services, 18 percent is attributable to post-acute care services and 21 percent to physician, outpatient hospital and other spending. For CABG episodes (defined based on DRGs as described in section III.C. of this final rule) the mean estimated total payment is about $ 47,000, where approximately 68 percent of the spending is attributable to hospital inpatient services, 12 percent is attributable to post-acute care services and 20 percent to physician, outpatient hospital and other spending. For SHFFT episodes (defined based on DRGs as described in section III.C. of this final rule) the mean estimated total payment is about $ 43,000, where approximately 33 percent of the spending is attributable to hospital inpatient services, 50 percent is attributable to post-acute care services and 17 percent to physician, outpatient hospital and other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finalized our proposal to test the AMI and CABG models in 98 MSAs out of 293 MSAs (we proposed to use 294 MSAs, however, due to the Vermont All Payer model being exempted from the final EPMs as discussed in section III.B.2 of this final rule, the number of eligible MSAs dropped to 293) eligible for selection, as described in section III.B.5. of this final rule; we finalized our proposal to test the SHFFT model in 67 MSAs in which CJR is currently operating as discussed in section III.B.4. of this final rule. In the 2014 calendar year there were 136,000 episodes for AMI, and 42,000 for CABG in the 294 MSAs proposed as eligible for selection, and 33,000 episodes for SHFFT in the 67 MSAs eligible for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CJR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overall magnitude of the CJR model is described in the CJR final rule </w:t>
      </w:r>
      <w:hyperlink r:id="rId21" w:history="1">
        <w:r>
          <w:rPr>
            <w:rFonts w:ascii="arial" w:eastAsia="arial" w:hAnsi="arial" w:cs="arial"/>
            <w:b w:val="0"/>
            <w:i/>
            <w:strike w:val="0"/>
            <w:noProof w:val="0"/>
            <w:color w:val="0077CC"/>
            <w:position w:val="0"/>
            <w:sz w:val="20"/>
            <w:u w:val="single"/>
            <w:vertAlign w:val="baseline"/>
          </w:rPr>
          <w:t>(80 FR 73288).</w:t>
        </w:r>
      </w:hyperlink>
      <w:r>
        <w:rPr>
          <w:rFonts w:ascii="arial" w:eastAsia="arial" w:hAnsi="arial" w:cs="arial"/>
          <w:b w:val="0"/>
          <w:i w:val="0"/>
          <w:strike w:val="0"/>
          <w:noProof w:val="0"/>
          <w:color w:val="000000"/>
          <w:position w:val="0"/>
          <w:sz w:val="20"/>
          <w:u w:val="none"/>
          <w:vertAlign w:val="baseline"/>
        </w:rPr>
        <w:t xml:space="preserve"> The modifications finalized in this rule are not related to episode definition or hospital selection and therefore do not affect the number of episodes included in the model or the mean episode payment. The primary impact of the changes we finalized relate to the calculation of quality-adjusted target prices, which will now incorporate reconciliation payments and Medicare repayments in years 3 through 5 of the model and include modifications to the calculation of composite quality scores. For the CJR final rule we assumed that hospitals would not report voluntary THA/TKA patient-reported outcome-based data to CMS. Given our experience with performance year 1 of CJR, we revised our assumption for this analysis to assume that 27 percent of participants in performance years 1 and 2, 63 percent of participants in performance year 3, and 99 percent of participants in performance years 4 and 5 will report this quality data. These modifications along with the revised assumptions regarding quality reporting raise the costs estimated to the Medicare program by $ 26 million from the estimate of $ 343 million in savings as published in the CJR final rule </w:t>
      </w:r>
      <w:hyperlink r:id="rId21" w:history="1">
        <w:r>
          <w:rPr>
            <w:rFonts w:ascii="arial" w:eastAsia="arial" w:hAnsi="arial" w:cs="arial"/>
            <w:b w:val="0"/>
            <w:i/>
            <w:strike w:val="0"/>
            <w:noProof w:val="0"/>
            <w:color w:val="0077CC"/>
            <w:position w:val="0"/>
            <w:sz w:val="20"/>
            <w:u w:val="single"/>
            <w:vertAlign w:val="baseline"/>
          </w:rPr>
          <w:t>(80 FR 73288).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finalized our proposal to test the CR incentive payment model in 45 of the 98 MSAs selected for the AMI and CABG EPMs, as well as 45 FFS MSAs selected through stratified random sampling, as described in section VI of this final rule. As discussed subsequently in this analysis and displayed in Table 60, this is likely to result in an impact between $ 29 million in net Medicare costs and $ 32 million in net Medicare savings from July 2017 through December 2024.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Aggregate Effects on the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may also be spillover effects in the non-Medicare market, or even in the Medicare market in other areas as a result of the EPM and CR models. Changes in Medicare payment policy often have substantial implications for non-Medicare payers. As an example, non-Medicare patients may benefit if participating EPM hospitals introduce system wide changes that improve the coordination and quality of health care. Other payers may also be developing episode payment models and may align their payment structures with the EPM and CR models or may utilize results from CMS evaluations of these models. </w:t>
      </w:r>
      <w:r>
        <w:rPr>
          <w:rFonts w:ascii="arial" w:eastAsia="arial" w:hAnsi="arial" w:cs="arial"/>
          <w:b/>
          <w:i w:val="0"/>
          <w:strike w:val="0"/>
          <w:noProof w:val="0"/>
          <w:color w:val="000000"/>
          <w:position w:val="0"/>
          <w:sz w:val="20"/>
          <w:u w:val="none"/>
          <w:vertAlign w:val="baseline"/>
        </w:rPr>
        <w:t> [*597] </w:t>
      </w:r>
      <w:r>
        <w:rPr>
          <w:rFonts w:ascii="arial" w:eastAsia="arial" w:hAnsi="arial" w:cs="arial"/>
          <w:b w:val="0"/>
          <w:i w:val="0"/>
          <w:strike w:val="0"/>
          <w:noProof w:val="0"/>
          <w:color w:val="000000"/>
          <w:position w:val="0"/>
          <w:sz w:val="20"/>
          <w:u w:val="none"/>
          <w:vertAlign w:val="baseline"/>
        </w:rPr>
        <w:t xml:space="preserve"> Because it is unclear whether and how spillover effects may apply to a test of a new payment model (as opposed to a change in permanent policy), our analyses assume that spillovers effects on non-Medicare payers will not occur, although this assumption is subject to considerable uncertainty.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Effects on the Medicare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final rule, we will test whether an EPM for AMI, CABG, and SHFFT episodes of care will reduce Medicare expenditures while preserving or enhancing the quality of care for Medicare beneficiaries. Payment approaches that reward providers for assuming financial and performance accountability for a particular episode of care can potentially create incentives for the implementation and coordination of care redesign between participants and other providers and suppliers such as physicians and post-acute care providers. The EPMs could enable hospitals to consider the most appropriate strategies for care redesign, including--(1) increasing post-hospitalization follow-up and medical management for patients; (2) coordinating across the inpatient and post-acute care spectrum; (3) conducting appropriate discharge planning; (4) improving adherence to treatment or drug regimens; (5) reducing readmissions and complications during the post-discharge period; (6) managing chronic diseases and conditions that may be related to the proposed EPM episodes; (7) choosing the most appropriate post-acute care setting; and (8) coordinating between providers and suppliers such as hospitals, physicians, and post-acute care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test and evaluate the impact of episode payment for the AMI, CABG, and SHFFT models in a variety of circumstances, including those hospitals that may not otherwise participate in such a test. The clinical circumstances of these episodes differ in important ways from the LEJR episodes included in the CJR model. We expect the patient population included in these episodes would be substantially different from the patient population in CJR episodes, due to the clinical nature of the cardiac and SHFFT episodes. Beneficiaries in these episodes commonly have chronic conditions that contribute to the initiation of the episodes, and need both planned and unplanned care throughout the EPM episode following discharge from the initial hospitalization that begins the episode. Both AMI and CABG model episodes primarily include beneficiaries with cardiovascular disease, a chronic condition which likely contributed to the acute events or procedures that initiate the episodes. About half the average AMI model historical episode spending was for the initial hospitalization, with the majority of spending following discharge from the initial hospitalization due to hospital readmissions, while there was relatively less spending on SNF services, Part B professional services, and hospital outpatient services. In CABG model historical episodes, about three-quarters of episode spending was for the initial hospitalization, with the remaining episode spending relatively evenly divided between Part B professional services and hospital readmissions, and a lesser percentage on SNF services. Similar to AMI episodes, post-acute care provider use was relatively uncommon in CABG model historical episodes, while hospital readmissions during CABG model historical episodes were relatively common. SHFFT model historical episodes also were accompanied by substantial spending for hospital readmissions, and post-acute care provider use in these episodes also was high. n180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n180 Episodes for AMI, CABG, and SHFFT beneficiaries initiated by all U.S. IPPS hospitals not in Maryland and constructed using standardized Medicare FFS Parts A and B claims, as proposed in this rule that end in CY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by requiring participation by a large number of hospitals with diverse characteristics, the EPMs will result in a robust data set for evaluating this payment approach, and will stimulate the rapid development of new evidence-based knowledge. Testing the EPMs in this manner will also allow us to learn more about patterns of inefficient utilization of health care services and how to possibly incentivize quality improvement for beneficiaries receiving services in AMI, CABG, and SHFFT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EPMs, as described further in section III.B.2. of this final rule, an AMI, CABG, or SHFFT model episode would begin with an inpatient admission assigned to one of the following MS-DRGs upon beneficiary discharge: For AMI episodes, AMI MS-DRGs (280-282) and those PCI MS-DRGs (246-251) representing IPPS admissions for AMI that are treated with PCIs; CABG MS-DRGs (231-236); and SHFFT MS-DRGs (480-482). Episodes will end 90 days after the date of discharge from the anchor hospitalization. The EPM episodes will include the inpatient stays and all related care covered under Medicare Parts A and B within the 90 days after discharge, including hospital care, post-acute care, and physician services. Furthermore, we have designated EPM participant hospitals to be the episode initiators and to be financially responsible for episode cost under the proposed EPMs. We require all hospitals paid under the IPPS and physically located in selected geographic areas to participate, with limited exceptions. Eligible beneficiaries who receive care at these hospitals will automatically be included in the models. Participating geographic areas, based on MSAs, were selected through a random sampling methodology. We believe the EPMs may have financial and quality of care effects on non-hospital providers that are involved in the care of Medicare beneficiaries during model episodes, improving the coordination of items and services paid for through Medicare FFS, encouraging more provider investment in infrastructure and redesigned care processes for higher quality and more efficient service delivery, and incentivizing higher value across the inpatient and post-acute care spectrum spanning the episode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section III.D.3. of this final rule, we will continue paying hospitals and other providers and suppliers according to the usual Medicare FFS payment systems. After the completion of a performance year, the Medicare claims payments for services furnished to the beneficiary during the EPM episode, based on claims data, will be combined to calculate an actual EPM episode payment. The actual EPM episode payment will then be reconciled against an established EPM quality-adjusted target price. The amount of this calculation, if positive, will be paid to the participant in a reconciliation payment. If negative, we will require repayment from the participant beginning in performance year 2 of the EPMs for participants who elect early downside risk and performance year 3 for participants who do not elect early downside risk. EPM participants' quality performance also will be assessed at reconciliation; each participant would receive a composite quality score and a corresponding quality category. EPM participants achieving a quality category of "acceptable" or higher will be eligible for a reconciliation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phase in the requirement that participants whose actual EPM episode payments exceed the quality-adjusted target price pay the difference back to Medicare during performance years 2, 3 and 4 for participants who elect early downside risk and during performance years 3 and 4 for those who do not elect </w:t>
      </w:r>
      <w:r>
        <w:rPr>
          <w:rFonts w:ascii="arial" w:eastAsia="arial" w:hAnsi="arial" w:cs="arial"/>
          <w:b/>
          <w:i w:val="0"/>
          <w:strike w:val="0"/>
          <w:noProof w:val="0"/>
          <w:color w:val="000000"/>
          <w:position w:val="0"/>
          <w:sz w:val="20"/>
          <w:u w:val="none"/>
          <w:vertAlign w:val="baseline"/>
        </w:rPr>
        <w:t> [*598] </w:t>
      </w:r>
      <w:r>
        <w:rPr>
          <w:rFonts w:ascii="arial" w:eastAsia="arial" w:hAnsi="arial" w:cs="arial"/>
          <w:b w:val="0"/>
          <w:i w:val="0"/>
          <w:strike w:val="0"/>
          <w:noProof w:val="0"/>
          <w:color w:val="000000"/>
          <w:position w:val="0"/>
          <w:sz w:val="20"/>
          <w:u w:val="none"/>
          <w:vertAlign w:val="baseline"/>
        </w:rPr>
        <w:t xml:space="preserve"> early downside risk. Under this final rule, Medicare will not require repayment from participants for performance year 1 for actual EPM episode payments that exceed their quality-adjusted target price in performance year 1, and an applicable discount factor would be used for calculating repayment amounts for performance years 2, 3 and 4 for participants who elect early downside risk beginning January 1, 2018 and for performance years 3 and 4 for participants who do not elect early downside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clinical characteristics and common patterns of care in AMI model episodes, we will perform payment adjustments in the cases of certain transfers and readmissions of beneficiaries to inpatient hospitals for these episodes. These payment adjustments are discussed in detail in section III.D. of this final rule. We also will limit how much a participant can gain or lose based on its actual EPM episode payments relative to quality-adjusted target prices; we are finalizing additional policies to further limit the risk of high payment cases for all EPM participants and for special categories of EPM participants as described in section III.D.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mix of financial and quality incentives, the EPMs could result in a range of possible outcomes for participants. The effects on hospitals of potential savings and liabilities will have varying degrees.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Assumptions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used standardized Medicare claims data from January 2013 through March 2016 to simulate the impact that the EPMs would have on Medicare spending for AMI, CABG, and SHFFT model episodes. Specifically, we applied the methodology provided in this final rule for calculating quality-adjusted target prices. For the SHFFT model, we applied this methodology to hospitals in the MSAs in which CJR is currently operating which have historical data for SHFFT procedures. For the AMI and CABG models, we applied this methodology to the hospitals in the 98 MSAs selected for participation in the cardiac EPMs. Quality-adjusted target prices were calculated based on hospital performance from 90-day episodes starting between January 2013 and December 2015. Specifically, all IPPS hospitals in the selected MSAs were included in this analysis after applying the model-specific hospital exclusions based on participation in BPCI Models 2 or 4 for the AMI, PCI, CABG, or SHFFT models, as appropriate, as established in this final rule. Individual episodes were removed if they initiated a BPCI episode that had precedence over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identified the anchor hospitalization based on episode definition criteria in section III.C. of this final rule and included the related spending that occurred 90 days after discharge. We removed payments excluded from the episode as unrelated to the EPM episode diagnosis and procedures based on clinical rationale, as defined in section III.C.3.b. of this final rule. Payments during the 90-day episodes were calculated using standardized Medicare payment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trended utilization and prices in the prior years to match national performance for episodes starting from January 2015 through December 2015. BPCI reconciliation payments were then credited to BPCI episodes during this time frame. We then incorporated the final outlier policy to cap spending for high cost outlier episodes such that payments were capped at the price MS-DRG anchor value that is 2 standard deviations above the regional mean as described in section III.D.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we pooled episodes for each price MS-DRG, we calculated average episode prices for each hospital and region, as well as a hospital-specific weight representing a case mix value for each hospital that is dependent only on episode volume for a given price MS-DRG and the national anchor factor. We then calculated blended prices for each hospital, with prices set at two-thirds of the hospital's experience and one-third of the region's average experience for performance years 1 and 2 of the model, as one-third of the hospital's experience and two-thirds of the region's experience performance year 3 of the model, and as the region's average experience for performance years 4 and 5 of the model. We made an exception for hospitals with low historical episode volume across the 3 historical years, with low volume as defined in section III.D.7.c. of this final rule, by setting their episode benchmark price as the region's experience. These average prices were then disaggregated based on the national severity factor of average episode spending as described in section III.D. of this final rule. The computed hospital-specific weight, the hospital's wage index, and a discount specific to the hospital's quality category based on historical quality performance for EPM participants was then applied back to the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calculating quality-adjusted target prices for applicable MS-DRGs for each hospital for performance years 1 and 2, we compared these quality-adjusted target prices against actual performance between January 2015 and December 2015. We capped actual spending for individual episodes based on the methodology in this final rule for high cost outlier spending episodes. After incorporating the outlier policy, total Medicare FFS spending was reconciled against the quality-adjusted target price and total number of episodes for the hospital. The aggregate impacts were then determined by multiplying by the total episodes for each price MS-DRG.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summed the difference between each episode's actual payment and the relevant quality-adjusted target price (calculated as quality-adjusted target price subtracted by actual episode payment) and aggregated the difference for all episodes for a participant within the performance year, creating the NPRA. Any positive NPRA amount greater than the stop-gain limit was capped at the stop-gain limit of 5 percent in performance years 1, 2, and 3, 10 percent in performance year 4, and 20 percent in performance year 5. In addition, any negative NPRA amount exceeding the stop-loss limit was capped at the stop-loss limit as described in section III.D. of this final rule, with a 5 percent repayment limit in performance year 2 (for participants who elect early downside risk), 5 percent repayment limit in performance year 3, 10 percent repayment limit in performance year 4, and 20 percent repayment limit in performance year 5. For rural hospitals, MDHS, SCHs and RRCs, the repayment limit was capped at the stop-loss limit as described in section III.A.2.a. of this final rule, with a 3 percent repayment limit in performance year 2 (for participants who elect early downside risk), 3 percent repayment limit in performance year 3, and 5 percent repayment limit in performance years 4 and 5. As described in section III.D.7.e. of this final rule, if average 30-day post-episode spending for an EPM participant in any given EPM performance year is greater than 3 standard deviations above the regional average 30-day post-episode spending, based on the 30-day post-episode spending for episodes attributed to all regional hospitals in the same region as the EPM participant hospital, the EPM participant hospital must repay Medicare for the difference. Assuming no change in hospital behavior, very few hospitals are expected to have average post-episode spending exceeding 3 standard deviations from their regional mean. Based on an analysis of 30-day </w:t>
      </w:r>
      <w:r>
        <w:rPr>
          <w:rFonts w:ascii="arial" w:eastAsia="arial" w:hAnsi="arial" w:cs="arial"/>
          <w:b/>
          <w:i w:val="0"/>
          <w:strike w:val="0"/>
          <w:noProof w:val="0"/>
          <w:color w:val="000000"/>
          <w:position w:val="0"/>
          <w:sz w:val="20"/>
          <w:u w:val="none"/>
          <w:vertAlign w:val="baseline"/>
        </w:rPr>
        <w:t> [*599] </w:t>
      </w:r>
      <w:r>
        <w:rPr>
          <w:rFonts w:ascii="arial" w:eastAsia="arial" w:hAnsi="arial" w:cs="arial"/>
          <w:b w:val="0"/>
          <w:i w:val="0"/>
          <w:strike w:val="0"/>
          <w:noProof w:val="0"/>
          <w:color w:val="000000"/>
          <w:position w:val="0"/>
          <w:sz w:val="20"/>
          <w:u w:val="none"/>
          <w:vertAlign w:val="baseline"/>
        </w:rPr>
        <w:t xml:space="preserve"> post episode spending for EPMs starting in the 2015 calendar year, very few hospitals in the MSAs selected for the EPM had average post-episode spending exceeding 3 standard deviations. The estimates in the impact analysis are rounded to the nearest million, and the estimated post-episode reconciliation payments to be made from hospitals to the Medicare program are minimal and estimated to round down to 0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section III.E. of this final rule, we are finalizing the use of a composite quality score for each EPM, where the composite quality score reflects a combination of outcome and patient experience measures, and, as described later in this section, we have incorporated this approach in our estimate of impacts. Under the EPMs, points for quality performance and improvement (as applicable) will be awarded for each episode measure and then summed to develop a composite quality score that will determine the EPM participant's quality category for the episode. Quality performance will make up the majority of available points in the composite quality score, with improvement points available as "bonus" points for the measure. Additionally, participants may voluntarily submit outcome measures data all EPMs, resulting in an extra 2 points in their overall quality scores, up to a maximum score of 20. The composite quality score will be used as part of a pay-for-performance methodology to assign respective EPM participants to four quality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Hospitals assigned as below acceptable' will not be eligible for a reconciliation payment and will be subject to a 3 percent discount. Hospitals assigned as acceptable' will be eligible for a reconciliation payment and will be subject to a 3 percent discount. Hospitals assigned as good' will be eligible for a reconciliation payment and will be subject to a 2 percent discount. Lastly, hospitals assigned as excellent' will be eligible for a reconciliation payment and will be subject to a 1.5 percent discount. We note that for participants who elect early downside risk, in performance years 2, 3 and 4, the applicable discount for repayment would be 1 percentage point less than the effective discount applied for a reconciliation payment while for hospitals who do not elect early downside risk the applicable discount for repayment in years 3 and 4 will be 1 percentage point less than the effective discount applied for a reconciliation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we used quality data as publicly reported on Hospital Compare in 2015 and 2016 to model the impact of this policy, with 2016 measures used to calculate performance and the difference between 2015 and 2016 measures used to calculate improvement. As discussed in section III.E. of this final rule, we calculated the HLMR by using 10 of the 11 publicly reported measures, taking the average of all publicly reported measures except how well hospital staff help patients manage pain, consistent with revisions under consideration for this HCAHPS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we used the following data to model the impact of this policy:</w:t>
      </w:r>
    </w:p>
    <w:p>
      <w:pPr>
        <w:keepNext w:val="0"/>
        <w:numPr>
          <w:numId w:val="9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calculate performance for the AMI model, we utilized: Hospital 30-day, all-cause, risk-standardized mortality rate following acute myocardial infarction hospitalization (NQF #0230) measure results based on the performance period of April 1, 2012 through March 31, 2015; excess days in acute care after hospitalization for acute myocardial infarction measure results based on the performance period of April 1, 2012 through March 31, 2015; and HCAHPS survey data (NQF #0166) 2015 based on the performance period of January 1, 2015 through December 31, 2015.</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calculate improvement for the AMI model, we utilized: Hospital 30-day, all-cause, risk-standardized mortality rate following acute myocardial infarction hospitalization (NQF #0230) measure results based on the performance period of April 1, 2011 through March 31, 2014; excess days in acute care after hospitalization for acute myocardial infarction measure results based on the performance period of April 1, 2011 through March 31, 2014; and HCAHPS survey data (NQF #0166) 2015 based on the performance period of January 1, 2014 through December 31, 2014.</w:t>
      </w:r>
    </w:p>
    <w:p>
      <w:pPr>
        <w:keepNext w:val="0"/>
        <w:numPr>
          <w:numId w:val="9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calculate performance for the CABG model, we utilized hospital 30-day, all-cause, risk-standardized mortality rate following coronary artery bypass graft surgery (NQF #2558) measure results based on the performance period of April 1, 2012 through March 31, 2015 and HCAHPS survey data (NQF #0166) 2015 based on the performance period of January 1, 2015 through December 31, 2015.</w:t>
      </w:r>
    </w:p>
    <w:p>
      <w:pPr>
        <w:keepNext w:val="0"/>
        <w:numPr>
          <w:numId w:val="9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calculate improvement for the CABG model, we utilized hospital 30-day, all-cause, risk-standardized mortality rate following coronary artery bypass graft surgery (NQF #2558) measure results based on the performance period of April 1, 2011 through March 31, 2014 and HCAHPS survey data (NQF #0166) 2015 based on the performance period of January 1, 2014 through December 31, 2014.</w:t>
      </w:r>
    </w:p>
    <w:p>
      <w:pPr>
        <w:keepNext w:val="0"/>
        <w:numPr>
          <w:numId w:val="9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calculate performance for the SHFFT model, we utilized hospital-level risk-standardized complication rate following elective primary total hip arthroplasty (THA) and/or total knee arthroplasty (TKA) measure results based on the performance period of April 1, 2012 through March 31, 2015 and HCAHPS survey data (NQF #0166) 2015 based on the performance period of January 1, 2015 through December 31, 2015.</w:t>
      </w:r>
    </w:p>
    <w:p>
      <w:pPr>
        <w:keepNext w:val="0"/>
        <w:numPr>
          <w:numId w:val="9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calculate improvement for SHFFT, we utilized hospital-level risk-standardized complication rate following elective primary total hip arthroplasty (THA) and/or total knee arthroplasty (TKA) measure results based on the performance periods of April 1, 2011 through March 31, 2015 and HCAHPS survey data (NQF #0166) 2015 based on the performance period of January 1, 2014 through December 31,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Early experience in CJR shows that 27 percent of hospitals submitted voluntary quality data in performance year 1. In addition, prior experience in the Medicare program indicates that when payment is tied to voluntary reporting of quality measures most hospitals report such measures. For this analysis, we assume that hospitals will report voluntary measure increasingly throughout the performance years and that most hospitals in the EPMs will submit voluntary measures to qualify for the reduced discount by the fourth and fifth performance year. Therefore, for this analysis we assume in performance year 1 and 2 that 27 percent of hospitals will submit voluntary quality data. We anticipate that 27 percent will submit quality data in performance year 2, and assume 63 percent submission of quality data in performance year 3, and 99 percent in performance years 4 and 5 for the EPM and CJR models. For the AMI and CABG models, we developed composite quality scores for all eligible hospitals among the 98 selected MSAs. Hospitals in these MSAs were assigned to a performance percentile and assigned the corresponding quality performance score points listed in Tables 24 and 28 of this final rule, based on their performance in the historical performance data described earlier. Hospitals that did not have a reported measure result were assigned to the 50th performance percentile. Hospitals assigned a quality measure performance percentile for the most recent year that were in the top 10 percent of the improvement distribution received quality improvement points. Because 2015 data were not available for the AMI excess days measure, we randomly assigned improvement points for this </w:t>
      </w:r>
      <w:r>
        <w:rPr>
          <w:rFonts w:ascii="arial" w:eastAsia="arial" w:hAnsi="arial" w:cs="arial"/>
          <w:b/>
          <w:i w:val="0"/>
          <w:strike w:val="0"/>
          <w:noProof w:val="0"/>
          <w:color w:val="000000"/>
          <w:position w:val="0"/>
          <w:sz w:val="20"/>
          <w:u w:val="none"/>
          <w:vertAlign w:val="baseline"/>
        </w:rPr>
        <w:t> [*600] </w:t>
      </w:r>
      <w:r>
        <w:rPr>
          <w:rFonts w:ascii="arial" w:eastAsia="arial" w:hAnsi="arial" w:cs="arial"/>
          <w:b w:val="0"/>
          <w:i w:val="0"/>
          <w:strike w:val="0"/>
          <w:noProof w:val="0"/>
          <w:color w:val="000000"/>
          <w:position w:val="0"/>
          <w:sz w:val="20"/>
          <w:u w:val="none"/>
          <w:vertAlign w:val="baseline"/>
        </w:rPr>
        <w:t xml:space="preserve"> measure (0.5 points) to 10 percent of hospitals. For SHFFT, hospitals in the participating MSAs were assigned to a performance percentile and assigned the corresponding quality performance score points listed in Table 30 of this final rule, based on their performance in the historical performance data described earlier. Hospitals that did not have a reported measure result were assigned to the 50th performance percentile. Hospitals assigned a quality measure performance percentile for the most recent year that improved by at least 2 deciles from the prior year received quality improvement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these composite quality scores, hospitals were assigned to a quality category of "below acceptable", "acceptable", "good" or "excellent" based on their composite quality scores. As discussed in section III.E. of this final rule, composite quality scores will affect hospitals' eligibility for reconciliation payments and determine hospitals' effective discount percentages at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simulate the impact for performance year 1 (July 1, 2017 through December 31, 2017), we calculated the NPRA using a blended quality-adjusted target price calculated for performance year 1, that is two-thirds hospital experience and one-third region experience, and applied no downside risk to participants as described in section III.D. of this final rule. Additionally, as part of this estimate, we accounted for whether a participant met the minimum composite quality score to be eligible for a reconciliation payment. Lastly, we applied the 5 percent stop-gain limit on the estimated reconciliation payments made to participants with a 3 percent cap for rural hospitals, sole community hospitals, Medicare dependent hospitals, and rural referral centers.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simulation in performance year 2, we used a blended quality-adjusted target price calculated for performance year 2 that is two-thirds hospital experience and one-third regional experience. A 5 percent stop-loss and stop-gain limit was applied to reconciliation payments and repayments for 1 percent of the hospitals to model an estimated rate of participants who will elect voluntary downside risk, a 5 percent stop-gain limit was applied to reconciliation payments for the remaining 99 percent of participants to model those who will not elect voluntary downside risk. Finally, a 3 percent stop-loss and stop-gain limit was applied for rural hospitals, sole community hospitals, Medicare dependent hospitals, rural referral centers and low-volume participants as defined in section III.D.2.c.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simulation in performance year 3, we rebased episode prices to incorporate the reconciliation payments (as described in section III.D. of this final rule) simulated from the first performance year. To simulate reconciliation for performance year 3, we used the quality-adjusted target price calculated as one-third of the hospital's experience and two-thirds of the regional experience. We included a 5 percent stop-loss and stop-gain limit on reconciliation payments and repayments for participants with the exception of a 3 percent stop-loss and stop-gain limit on reconciliation payments and repayments from rural hospitals, sole community hospitals, Medicare dependent hospitals, rural referral centers, and certain low-volume hospitals as defined in section III.D.2.c.of this final rule. For performance year 4, we simulated the reconciliation process using the episode quality-adjusted target price based on 100 percent of the regional experience, and a stop-loss and stop-gain limit set to 10 percent for all participants, with the exception of a 5 percent stop-loss and stop-gain limit for rural hospitals, sole community hospitals, Medicare dependent hospitals, rural referral centers, and low-volume hospitals as defined in section III.D.2.c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performance year 5, we rebased prices to include the simulated EPM reconciliation payments and repayments from performance years 1, 2, and 3. We simulated reconciliation in the fifth performance year using quality-adjusted target prices that are based on 100 percent of the regional experience, and applied the stop-loss and stop-gain limits of 20 percent for all participants, with the exception of a 5 percent stop-loss and stop-gain limit for rural hospitals, sole community hospitals, Medicare dependent hospitals, rural referral centers, and certain low-volume hospitals as defined in section III.D.2.c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results were then adjusted under the assumption that the percentage of EPM episodes excluded due to enrollment in Next Generation ACOs, Shared Savings Program ACOs in Track 3, and End Stage Renal Disease (ESRD) Seamless Care Organizations for performance years 1 through 5 would match the percentage of the FFS population prospectively assigned to these models for 2017. It was also assumed that 99 percent of EPM revenue would come from hospitals that choose not to elect downside risk in year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Analyses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080"/>
        <w:gridCol w:w="720"/>
        <w:gridCol w:w="720"/>
        <w:gridCol w:w="720"/>
        <w:gridCol w:w="720"/>
        <w:gridCol w:w="72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Table 57--Estimates of Impact on the Medicare Program by the Final EPM *</w:t>
            </w: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1680" w:type="dxa"/>
          </w:tcP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36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Year(s)</w:t>
            </w:r>
          </w:p>
        </w:tc>
        <w:tc>
          <w:tcPr>
            <w:tcW w:w="1680" w:type="dxa"/>
          </w:tcP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720" w:type="dxa"/>
            <w:tcBorders>
              <w:bottom w:val="nil"/>
              <w:right w:val="nil"/>
            </w:tcBorders>
          </w:tcPr>
          <w:p/>
        </w:tc>
        <w:tc>
          <w:tcPr>
            <w:tcW w:w="1680" w:type="dxa"/>
          </w:tcP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2017</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2018</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2019</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2020</w:t>
            </w:r>
          </w:p>
        </w:tc>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2021</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Across all 5</w:t>
            </w: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years</w:t>
            </w: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proposed</w:t>
            </w: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720" w:type="dxa"/>
            <w:tcBorders>
              <w:bottom w:val="nil"/>
              <w:right w:val="nil"/>
            </w:tcBorders>
            <w:tcMar>
              <w:top w:w="20" w:type="dxa"/>
              <w:bottom w:w="20" w:type="dxa"/>
            </w:tcMar>
            <w:vAlign w:val="top"/>
          </w:tcP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models</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AMI net financial impact</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9</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fn8</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(27)</w:t>
            </w:r>
          </w:p>
        </w:tc>
        <w:tc>
          <w:tcPr>
            <w:tcW w:w="16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(34)</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CABG net financial impact</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fn5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fn6</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(14)</w:t>
            </w:r>
          </w:p>
        </w:tc>
        <w:tc>
          <w:tcPr>
            <w:tcW w:w="16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(16)</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SHFFT net financial impact</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11</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(21)</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(32)</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(71)</w:t>
            </w:r>
          </w:p>
        </w:tc>
        <w:tc>
          <w:tcPr>
            <w:tcW w:w="16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(109)</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Total: Net financial impact of</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25</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(34)</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(49)</w:t>
            </w:r>
          </w:p>
        </w:tc>
        <w:tc>
          <w:tcPr>
            <w:tcW w:w="7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(112)</w:t>
            </w:r>
          </w:p>
        </w:tc>
        <w:tc>
          <w:tcPr>
            <w:tcW w:w="16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(159)</w:t>
            </w:r>
          </w:p>
        </w:tc>
      </w:tr>
      <w:tr>
        <w:tblPrEx>
          <w:tblW w:w="0" w:type="auto"/>
          <w:jc w:val="center"/>
          <w:tblLayout w:type="fixed"/>
          <w:tblCellMar>
            <w:left w:w="108" w:type="dxa"/>
            <w:right w:w="108" w:type="dxa"/>
          </w:tblCellMar>
        </w:tblPrEx>
        <w:trPr>
          <w:jc w:val="center"/>
        </w:trPr>
        <w:tc>
          <w:tcPr>
            <w:tcW w:w="40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all EPM proposals</w:t>
            </w:r>
          </w:p>
        </w:tc>
        <w:tc>
          <w:tcPr>
            <w:tcW w:w="720" w:type="dxa"/>
            <w:tcBorders>
              <w:right w:val="nil"/>
            </w:tcBorders>
          </w:tcPr>
          <w:p/>
        </w:tc>
        <w:tc>
          <w:tcPr>
            <w:tcW w:w="720" w:type="dxa"/>
            <w:tcBorders>
              <w:right w:val="nil"/>
            </w:tcBorders>
          </w:tcPr>
          <w:p/>
        </w:tc>
        <w:tc>
          <w:tcPr>
            <w:tcW w:w="720" w:type="dxa"/>
            <w:tcBorders>
              <w:right w:val="nil"/>
            </w:tcBorders>
          </w:tcPr>
          <w:p/>
        </w:tc>
        <w:tc>
          <w:tcPr>
            <w:tcW w:w="720" w:type="dxa"/>
            <w:tcBorders>
              <w:right w:val="nil"/>
            </w:tcBorders>
          </w:tcPr>
          <w:p/>
        </w:tc>
        <w:tc>
          <w:tcPr>
            <w:tcW w:w="720" w:type="dxa"/>
            <w:tcBorders>
              <w:right w:val="nil"/>
            </w:tcBorders>
          </w:tcPr>
          <w:p/>
        </w:tc>
        <w:tc>
          <w:tcPr>
            <w:tcW w:w="16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Note: In millions. Totals do not necessarily equal the sums of rounded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57 summarizes the estimated impact for the AMI, CABG, and SHFFT models. Our model estimates that the Medicare program will save $ 159 million over the 5 performance years (2017 through 2021).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performance year of the EPMs is expected to cost the Medicare program $ 10 million in reconciliation payments made to participants. Participants that receive reconciliation payments must earn a quality rating of "Acceptable" or better and are the participants that provide lower cost care relative to quality adjusted target prices, which reflect both hospital and regional historical spending. </w:t>
      </w:r>
      <w:r>
        <w:rPr>
          <w:rFonts w:ascii="arial" w:eastAsia="arial" w:hAnsi="arial" w:cs="arial"/>
          <w:b/>
          <w:i w:val="0"/>
          <w:strike w:val="0"/>
          <w:noProof w:val="0"/>
          <w:color w:val="000000"/>
          <w:position w:val="0"/>
          <w:sz w:val="20"/>
          <w:u w:val="none"/>
          <w:vertAlign w:val="baseline"/>
        </w:rPr>
        <w:t> [*601]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second performance year of the EPMs, the Medicare program on net is expected to pay $ 25 million to participants. This includes $ 26 million in reconciliation payments made by the Medicare program to participants, and $ 1 million in payments made to the Medicare program from participants that elect downside risk in year 2. Participants may elect early downside risk beginning January 1, 2018 as discussed in section III.D.2.c. of this final rule. For participants who do not elect early downside risk, downside risk will not be applied for the entirety of the second performance year. For participants who elect early downside risk in performance year 2, a 5 percent stop-loss and stop-gain limit will apply, subject to a 3 percent stop-loss and stop-gain limit for rural hospitals, sole community hospitals, Medicare dependent hospitals, rural referral center hospitals and certain low-volume hospitals. These limits would cap the total amount of repayments paid by participants to the Medicare program. For this analysis, we assumed 10 percent of participants will elect early downside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third performance year of the models, net reconciliation payments are expected to be $ 34 million in savings to the Medicare program. This includes $ 33 million in payments from the Medicare program to participants, and $ 67 million in payments from participants to the Medicare program. For performance years 4 and 5 of the models, the episode quality-adjusted target price will be based on full regional pricing. This is expected to create greater variation between the quality-adjusted target price and participants' own experience. The stop-gain and stop-loss limits of 20 percent for performance year 5 apply, with a stop-gain and stop-loss limit of 5 percent for rural hospitals, sole community hospitals, Medicare dependent hospitals, rural referral centers hospitals, and certain low-volume hospitals. As a result, net payments are expected to be $ 49 million from participants to the Medicare program in the fourth year and $ 112 million in the fifth year. In performance year 4 this includes $ 59 million in payments from the Medicare program to participants, and $ 108 million in payments from participants to the Medicare program. In performance year 5 this includes $ 59 million in payments from the Medicare program to participants, and $ 171 million in payments from participants to the Medicare program. These estimated savings in years 4 and 5 represent an average of 2.1 percent of total episode spending in those years. The total savings to the Medicare program after the 5 performance years is expected to be $ 159 million out of $ 15.0 billion or 1.0 percent of total episode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58 summarizes the estimated reconciliation payments for the AMI, CABG, and SHFFT models over the 5 performance years (2017 through 2021) for the selected MSAs.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1200"/>
        <w:gridCol w:w="960"/>
        <w:gridCol w:w="960"/>
        <w:gridCol w:w="960"/>
        <w:gridCol w:w="96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Table 58--Estimates of Reconciliation Payments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624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Performance Period</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Numbers in millions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July</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2018</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2019</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2020</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2021</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Over 5</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2017-</w:t>
            </w: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years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December</w:t>
            </w: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2017</w:t>
            </w: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All EPM episodes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Total dollars included in</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$ 743</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$ 3,259</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$ 3,440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$ 3,670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$ 3,912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$ 15,023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NRPA calculation</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Net reconciliation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-34</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-49</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-112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-159</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repayment dollars</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Payments from CMS to</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26</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33</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59</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187</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hospitals</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Repayments from hospitals</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-67</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-108</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-171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-346</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to CMS</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Financial impact as a</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1.4%</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0.8%</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-1.3%</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percentage of dollars</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included in model</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Acute Myocardial Infarction episodes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Total dollars included in</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235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1,026</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1,079</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1,151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1,227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4,718</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NRPA calculation</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Net reconciliation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9</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repayment dollars</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Payments from CMS to</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9</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13</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22</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68</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hospitals</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Repayments from hospitals</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-32</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to CMS</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Financial impact as a</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1.3%</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0.9%</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-0.7%</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-0.9%</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-0.7%</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percentage of dollars</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included in model</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Coronary Artery Bypass Grafting episodes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Total dollars included in</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146</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669</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704</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751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800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3,070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NRPA calculation</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Net reconciliation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-16</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repayment dollars</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Payments from CMS to</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12</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38</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hospitals</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Repayments from hospitals</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-18</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to CMS</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Financial impact as a</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1.8%</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0.9%</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-0.7%</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-0.8%</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-0.5%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percentage of dollars</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included in model</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Hip and Femur Procedures Except Major Joint episodes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Total dollars included in</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362</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1,564</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1,657</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1,768</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1,884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7,235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NRPA calculation</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Net reconciliation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-32</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-71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-109</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repayment dollars</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Payments from CMS to</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14</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26</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hospitals</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Repayments from hospitals</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-58</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-97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-190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to CMS</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Financial impact as a</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1.2%</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0.7%</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-1.3%</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-1.8%</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percentage of dollars</w:t>
            </w:r>
          </w:p>
        </w:tc>
        <w:tc>
          <w:tcPr>
            <w:tcW w:w="120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included in model</w:t>
            </w:r>
          </w:p>
        </w:tc>
        <w:tc>
          <w:tcPr>
            <w:tcW w:w="1200" w:type="dxa"/>
            <w:tcBorders>
              <w:right w:val="nil"/>
            </w:tcBorders>
          </w:tcPr>
          <w:p/>
        </w:tc>
        <w:tc>
          <w:tcPr>
            <w:tcW w:w="960" w:type="dxa"/>
            <w:tcBorders>
              <w:right w:val="nil"/>
            </w:tcBorders>
          </w:tcPr>
          <w:p/>
        </w:tc>
        <w:tc>
          <w:tcPr>
            <w:tcW w:w="960" w:type="dxa"/>
            <w:tcBorders>
              <w:right w:val="nil"/>
            </w:tcBorders>
          </w:tcPr>
          <w:p/>
        </w:tc>
        <w:tc>
          <w:tcPr>
            <w:tcW w:w="960" w:type="dxa"/>
            <w:tcBorders>
              <w:right w:val="nil"/>
            </w:tcBorders>
          </w:tcPr>
          <w:p/>
        </w:tc>
        <w:tc>
          <w:tcPr>
            <w:tcW w:w="96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Uncertainties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estimates are somewhat uncertain. As a result, the EPMs could produce more Medicare savings or could result in additional costs to the Medicare program. This analysis assumes that the incentives under the models drive no change in utilization of services within the episode, as this would not materially affect the estimated financial impacts to the Medicare program. The prospective prices for the episodes incorporate price updates from the FFS payment systems, but no change in utilization for the performance years is assumed. If there is a national increase in utilization within each episode that is not driven by the incentives under the models, then savings to the Medicare program may increase due to greater repayments paid back to Medicare. If there is a national decrease in utilization within each episode that is not driven by the incentives under the models, then costs to the Medicare program may increase due to greater reconciliation payments paid by Medicare to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assume that 27 percent of hospitals will submit voluntary measures in performance years 1 and 2, consistent with current experience in performance year 1 for CJR. We assume the percentage of hospitals that submit quality data will increase in 63 percent in performance year 3, and 99 percent in performance years 4 and 5 to qualify for the reduced discount. As a sensitivity test, if no hospitals report the voluntary measures for any of the three EPMs, the models together are estimated to save the Medicare program an additional $ 27 million over the 5 performance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were unable to fully estimate the impact of the proposal in section III.D. of this final rule which addresses beneficiaries in EPMs who are also aligned or attributed to a Medicare Shared Savings Program participant or a participant in an ACO model initiated by the CMS Innovation Center. Savings achieved during an EPM episode will be attributed to the EPM participant, with EPM reconciliation payments for ACO-aligned beneficiaries treated as ACO expenditures, which should serve to minimize the financial impact of ACO overlap on overall savings. As described in section III.D.6. of this final rule, beginning in July 2017 we will exclude from AMI, CABG, and SHFFT episodes beneficiaries aligned to ACOs in the Next Generation ACO model, Shared Savings Program Track 3, and ESRD ESCOs in the Comprehensive ESRD Care Initiative in tracks with downside risk for financial losses. Excluding these beneficiaries from the EPMs will have the effect of reducing the number of eligible episodes and therefore the expected savings generated by implementation of the EPMs. To model the impact of these exclusions, we assume that the percentage of the FFS population aligned to the Next Generation ACO model, Shared Savings Program Track 3, and ESRD ESCOs in the Comprehensive ESRD Care initiative remains constant over the 5 performance years of the EPM model, and is similar to the distribution of beneficiaries aligned to these models for the 2017 calendar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uncertainty of estimating the impacts of the EPMs, actual results could be higher or lower than these estimates. Additionally, we note that for these estimates, we did not make assumptions for changes in efficiency or utilization over the course of the performance period. Our analysis presents the cost and transfer payment effects of this final rule to the best of our ability. We solicited comments on the assumptions and analysis presented.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noted that the impacts in the proposed rule did not present costs and savings attributable to the cardiac rehabilitation incentive payment model separate from the AMI, CABG and SHFFT EPM costs and savings and requested that we provide this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interest of the commenter to obtain a breakdown of costs and savings attributable to the cardiac rehabilitation incentive payment model. We have presented disaggregated cardiac rehabilitation incentive payment model costs and savings in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concern for the potential economic impact that the EPMs may have on beneficiaries' families and family caregivers such as increased home health care needs. The commenter stated that they believe there is a great deal of economic impact on families due to missed work or other out of pocket costs which might increase due to shortened stays at inpatient or rehabilitation facilities resulting from the EPMs. The commenter requested that CMS provide detailed modeling of the economic impacts on family caregivers, including direct out of pocket costs and missed work associated with caring for family members who are beneficiaries in an EPM.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concern for the potential economic impact on in-home family care providers. However, we do not believe that this is something that can be accurately modeled given the high amount of uncertainty regarding the volume of additional in-home family-provided care that might potentially be spurred by the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requested that we provide greater detail with regard to the modeling methods utilized in our estimates. The commenter requested that we further explain the implication on physician practice under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Our estimates of the impacts of the EPMs do not include assumptions about behavioral change on the part of providers and suppliers or other entities other than participating hospitals as a result of the EPMs. The EPMs could enable participants to consider the most appropriate strategies for care redesign with collaborating entities including physicians, such as--(1) increasing post-hospitalization follow-up and medical management for patients; (2) coordinating across the inpatient and post-acute care spectrum; (3) conducting appropriate discharge planning; (4) improving adherence to treatment or drug regimens; (5) reducing readmissions and complications during the post-discharge period; (6) managing chronic diseases and conditions that may be related to the proposed EPM episodes; (7) choosing the most appropriate post-acute care setting; and </w:t>
      </w:r>
      <w:r>
        <w:rPr>
          <w:rFonts w:ascii="arial" w:eastAsia="arial" w:hAnsi="arial" w:cs="arial"/>
          <w:b/>
          <w:i w:val="0"/>
          <w:strike w:val="0"/>
          <w:noProof w:val="0"/>
          <w:color w:val="000000"/>
          <w:position w:val="0"/>
          <w:sz w:val="20"/>
          <w:u w:val="none"/>
          <w:vertAlign w:val="baseline"/>
        </w:rPr>
        <w:t> [*603] </w:t>
      </w:r>
      <w:r>
        <w:rPr>
          <w:rFonts w:ascii="arial" w:eastAsia="arial" w:hAnsi="arial" w:cs="arial"/>
          <w:b w:val="0"/>
          <w:i w:val="0"/>
          <w:strike w:val="0"/>
          <w:noProof w:val="0"/>
          <w:color w:val="000000"/>
          <w:position w:val="0"/>
          <w:sz w:val="20"/>
          <w:u w:val="none"/>
          <w:vertAlign w:val="baseline"/>
        </w:rPr>
        <w:t xml:space="preserve"> (8) coordinating between providers and suppliers such as hospitals, physicians, and post-acute care providers.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as discussed in section I.B.5. of this final rule, the EPMs create an opportunity for physicians to collaborate in order to participate in Track 1 of the EPMs to be eligible for qualification for Advanced APM. For purposes of modeling impacts, we have assumed that only 1 percent of participants will elect to take on downside risk in performance year 2 to qualify as an Advanced APM. Participation in the Advanced APMs may result in net profits or losses for collaborating physicians. For more information on Advanced APMs, please see the MIPS and Alternative Payment Model (APM) Incentive Under the Physician Fee Schedule, and Criteria for Physician-Focused Payment Models final rule with comment period </w:t>
      </w:r>
      <w:hyperlink r:id="rId15" w:history="1">
        <w:r>
          <w:rPr>
            <w:rFonts w:ascii="arial" w:eastAsia="arial" w:hAnsi="arial" w:cs="arial"/>
            <w:b w:val="0"/>
            <w:i/>
            <w:strike w:val="0"/>
            <w:noProof w:val="0"/>
            <w:color w:val="0077CC"/>
            <w:position w:val="0"/>
            <w:sz w:val="20"/>
            <w:u w:val="single"/>
            <w:vertAlign w:val="baseline"/>
          </w:rPr>
          <w:t>(81 FR 77008</w:t>
        </w:r>
      </w:hyperlink>
      <w:r>
        <w:rPr>
          <w:rFonts w:ascii="arial" w:eastAsia="arial" w:hAnsi="arial" w:cs="arial"/>
          <w:b w:val="0"/>
          <w:i w:val="0"/>
          <w:strike w:val="0"/>
          <w:noProof w:val="0"/>
          <w:color w:val="000000"/>
          <w:position w:val="0"/>
          <w:sz w:val="20"/>
          <w:u w:val="none"/>
          <w:vertAlign w:val="baseline"/>
        </w:rPr>
        <w:t xml:space="preserve"> through 77831). We refer readers to Table 57, where we provide the estimated impact associated with the implementation of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our proposal to modify the CJR model to include reconciliation payments and Medicare repayments in our calculations when updating CJR episode quality-adjusted target prices for performance years 3 through 5. We are also finalizing our proposal to create consistency between the CJR composite quality scores and SHFFT composite quality scores by--(1) awarding quality improvement points based on an improvement of 2 deciles (rather than 3 deciles as in the final CJR rule); (2) capping the total composite quality score at 20; and (3) utilizing an updated HCAHPS algorithm.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Assumptions and Uncertainties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used final action Medicare claims data from January 1, 2012 through December 31, 2014 to update the impact originally outlined in the CJR final rule </w:t>
      </w:r>
      <w:hyperlink r:id="rId21" w:history="1">
        <w:r>
          <w:rPr>
            <w:rFonts w:ascii="arial" w:eastAsia="arial" w:hAnsi="arial" w:cs="arial"/>
            <w:b w:val="0"/>
            <w:i/>
            <w:strike w:val="0"/>
            <w:noProof w:val="0"/>
            <w:color w:val="0077CC"/>
            <w:position w:val="0"/>
            <w:sz w:val="20"/>
            <w:u w:val="single"/>
            <w:vertAlign w:val="baseline"/>
          </w:rPr>
          <w:t>(80 FR 73288)</w:t>
        </w:r>
      </w:hyperlink>
      <w:r>
        <w:rPr>
          <w:rFonts w:ascii="arial" w:eastAsia="arial" w:hAnsi="arial" w:cs="arial"/>
          <w:b w:val="0"/>
          <w:i w:val="0"/>
          <w:strike w:val="0"/>
          <w:noProof w:val="0"/>
          <w:color w:val="000000"/>
          <w:position w:val="0"/>
          <w:sz w:val="20"/>
          <w:u w:val="none"/>
          <w:vertAlign w:val="baseline"/>
        </w:rPr>
        <w:t xml:space="preserve"> to reflect the changes finalized in this final rule for the CJR model. Specifically, we estimated the effect of including BPCI and CJR reconciliation payments and Medicare repayments in setting quality-adjusted target prices for performance years 3-5. We also updated our prior assumption regarding CJR participation with voluntary reporting of quality data to be more consistent with prior experience. The estimates assume that 27 percent of CJR participants will submit quality data in performance years 1 and 2, consistent with preliminary results regarding quality reporting in performance year 1. The model then assumes that more hospitals will submit quality data over time to qualify for a lower discount, with 63 percent reporting quality data in performance year 3, and 99 percent in performance years 4 and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simulate changes in the calculation of the CJR composite scores, we used quality data as publicly reported on Hospital Compare in 2015 and 2016 to estimate the impact of this policy, with 2016 measures used to calculate performance and the difference between 2015 and 2016 measures used to calculate improvement. We calculated the HLMR by using 10 of the 11 publicly reported measures, taking the average of all publicly reported measures except how well hospital staff help patients manage pain, consistent with revisions under consideration for this HCAHPS measure. Calculations are as follows:</w:t>
      </w:r>
    </w:p>
    <w:p>
      <w:pPr>
        <w:keepNext w:val="0"/>
        <w:numPr>
          <w:numId w:val="9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calculate performance for the CJR model, we utilized hospital-level risk-standardized complication rate following elective primary total hip arthroplasty (THA) and/or total knee arthroplasty (TKA) measure results based on the performance period of April 1, 2012 through March 31, 2015 and HCAHPS survey data (NQF #0166) 2015 based on the performance period of January 1, 2015 through December 31, 2015.</w:t>
      </w:r>
    </w:p>
    <w:p>
      <w:pPr>
        <w:keepNext w:val="0"/>
        <w:numPr>
          <w:numId w:val="9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calculate improvement for CJR, we utilized hospital-level risk-standardized complication rate following elective primary total hip arthroplasty (THA) and/or total knee arthroplasty (TKA) measure results based on the performance periods of April 1, 2011 through March 31, 2015 and HCAHPS survey data (NQF #0166) 2015 based on the performance period of January 1, 2014 through December 31,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 of this analysis, we assumed that 99 percent of hospitals participating in the CJR model will voluntarily submit patient-reported outcome measures to qualify for the lower discount by performance year 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CJR participants were assigned to a performance percentile and assigned the corresponding quality performance score as described in the CJR final rule </w:t>
      </w:r>
      <w:hyperlink r:id="rId21" w:history="1">
        <w:r>
          <w:rPr>
            <w:rFonts w:ascii="arial" w:eastAsia="arial" w:hAnsi="arial" w:cs="arial"/>
            <w:b w:val="0"/>
            <w:i/>
            <w:strike w:val="0"/>
            <w:noProof w:val="0"/>
            <w:color w:val="0077CC"/>
            <w:position w:val="0"/>
            <w:sz w:val="20"/>
            <w:u w:val="single"/>
            <w:vertAlign w:val="baseline"/>
          </w:rPr>
          <w:t>(80 FR 73288).</w:t>
        </w:r>
      </w:hyperlink>
      <w:r>
        <w:rPr>
          <w:rFonts w:ascii="arial" w:eastAsia="arial" w:hAnsi="arial" w:cs="arial"/>
          <w:b w:val="0"/>
          <w:i w:val="0"/>
          <w:strike w:val="0"/>
          <w:noProof w:val="0"/>
          <w:color w:val="000000"/>
          <w:position w:val="0"/>
          <w:sz w:val="20"/>
          <w:u w:val="none"/>
          <w:vertAlign w:val="baseline"/>
        </w:rPr>
        <w:t xml:space="preserve"> Hospitals that did not have a reported measure result were assigned to the 50th performance percentile. Hospitals assigned a quality measure performance percentile for the most recent year that improved by at least 2 deciles from the prior year received quality improvement points, with the total composite quality score capped at 20. These composite quality scores, consistent with the methodology finalized in section III.E., were then applied to the development of quality-adjusted target prices as described in the CJR final rule </w:t>
      </w:r>
      <w:hyperlink r:id="rId21" w:history="1">
        <w:r>
          <w:rPr>
            <w:rFonts w:ascii="arial" w:eastAsia="arial" w:hAnsi="arial" w:cs="arial"/>
            <w:b w:val="0"/>
            <w:i/>
            <w:strike w:val="0"/>
            <w:noProof w:val="0"/>
            <w:color w:val="0077CC"/>
            <w:position w:val="0"/>
            <w:sz w:val="20"/>
            <w:u w:val="single"/>
            <w:vertAlign w:val="baseline"/>
          </w:rPr>
          <w:t>(80 FR 73288).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we finalized a modification to the application of the stop-loss and stop-gain limits to exclude hospital responsibility for post-episode spending from the application of these limits. The number of hospitals estimated to be affected by the post-episode spending calculation is anticipated to be small, and the estimated post-episode reconciliation amount is estimated to round down to 0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Analyses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960"/>
        <w:gridCol w:w="960"/>
        <w:gridCol w:w="960"/>
        <w:gridCol w:w="960"/>
        <w:gridCol w:w="96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Table 59--Estimates of Impact on the Medicare Program by the CJR Model *</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4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Year(s)</w:t>
            </w:r>
          </w:p>
        </w:tc>
        <w:tc>
          <w:tcPr>
            <w:tcW w:w="144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2016</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2017</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2018</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2019</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2020</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Across all</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5 years of</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the</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proposed</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model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Original CJR net</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(36)</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(71)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(120)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(127)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(343)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financial impact from</w:t>
            </w: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final rule</w:t>
            </w: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CJR modifications net</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26</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financial impact</w:t>
            </w:r>
          </w:p>
        </w:tc>
        <w:tc>
          <w:tcPr>
            <w:tcW w:w="960" w:type="dxa"/>
            <w:tcBorders>
              <w:right w:val="nil"/>
            </w:tcBorders>
          </w:tcPr>
          <w:p/>
        </w:tc>
        <w:tc>
          <w:tcPr>
            <w:tcW w:w="960" w:type="dxa"/>
            <w:tcBorders>
              <w:right w:val="nil"/>
            </w:tcBorders>
          </w:tcPr>
          <w:p/>
        </w:tc>
        <w:tc>
          <w:tcPr>
            <w:tcW w:w="960" w:type="dxa"/>
            <w:tcBorders>
              <w:right w:val="nil"/>
            </w:tcBorders>
          </w:tcPr>
          <w:p/>
        </w:tc>
        <w:tc>
          <w:tcPr>
            <w:tcW w:w="960" w:type="dxa"/>
            <w:tcBorders>
              <w:right w:val="nil"/>
            </w:tcBorders>
          </w:tcPr>
          <w:p/>
        </w:tc>
        <w:tc>
          <w:tcPr>
            <w:tcW w:w="96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millions. Totals do not necessarily equal the sums of rounded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Modifications to the CJR model as established in this final rule would begin at the time of reconciliation for performance year 1 and therefore affect estimates of the impact of the model from April 2016-December 2020. The change in the estimated net financial impact to the Medicare program from the CJR model modifications in this final rule is $ 22 million in spending, and the updated assumptions regarding the number of hospitals that will report </w:t>
      </w:r>
      <w:r>
        <w:rPr>
          <w:rFonts w:ascii="arial" w:eastAsia="arial" w:hAnsi="arial" w:cs="arial"/>
          <w:b/>
          <w:i w:val="0"/>
          <w:strike w:val="0"/>
          <w:noProof w:val="0"/>
          <w:color w:val="000000"/>
          <w:position w:val="0"/>
          <w:sz w:val="20"/>
          <w:u w:val="none"/>
          <w:vertAlign w:val="baseline"/>
        </w:rPr>
        <w:t> [*604] </w:t>
      </w:r>
      <w:r>
        <w:rPr>
          <w:rFonts w:ascii="arial" w:eastAsia="arial" w:hAnsi="arial" w:cs="arial"/>
          <w:b w:val="0"/>
          <w:i w:val="0"/>
          <w:strike w:val="0"/>
          <w:noProof w:val="0"/>
          <w:color w:val="000000"/>
          <w:position w:val="0"/>
          <w:sz w:val="20"/>
          <w:u w:val="none"/>
          <w:vertAlign w:val="baseline"/>
        </w:rPr>
        <w:t xml:space="preserve"> quality data result in an increase of $ 4 million in spending. The total estimated net financial impact to the Medicare program from both the modifications in the final rule and revised assumptions are $ 26 million in Medicare spending. Due to the uncertainty of estimating the impacts of this model, actual results could be higher or lower than this estimate. We are also unable at this time to estimate the impacts of considering certain CJR and EPM providers and Affiliated Practitioners to be participating in Advanced APMs. Eligible clinicians that qualify as QPs for a year through participation in EPMs and CJR will receive a bonus equal to 5 percent of their prior year Medicare payments, thereby increasing Medicare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detailed in section VI of this final rule, the CR incentive payment model will test whether a financial incentive for hospitals that encourages the management of beneficiaries that have had an AMI or a CABG in ways that may contribute to long-term improvements in quality and reductions in Medicare spending. The CR incentive payment model will test the effects on quality of care and Medicare expenditures of providing explicit financial incentives to CR participants for beneficiaries hospitalized for treatment of AMI or CABG to encourage care coordination and greater utilization of medically necessary CR/ICR services for 90 days post-hospital discharge where the beneficiary's overall care is paid under either an EPM or the Medicare FFS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CR incentive payment model, we will provide a CR incentive payment to selected hospitals with financial responsibility for AMI or CABG model episodes (hereinafter EPM-CR participants) because they are already engaged in managing the AMI or CABG model beneficiary's overall care for a period of time following hospital discharge. We will also provide a CR incentive payment to selected hospitals that are not AMI or CABG model participants (hereinafter FFS-CR participants), enabling us to test and improve our understanding of the effects of the CR incentive payment within the context of an EPM and the Medicare FFS program, as well as to identify potential interactions between the CR incentive payment and the underlying EPM and FFS payment methodologies. We will test the CR incentive payment model in 45 of the 98 MSAs selected for the AMI and CABG EPMs, as well as 45 FFS MSAs selected through stratified random sampling.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Assumptions and Uncertainties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used final action Medicare claims data from January 1, 2012 through December 31, 2015 to identify CR and ICR services that count towards CR incentive payments on the basis of the presence of the HCPCS codes on PFS and OPPS claims and APC codes on OPPS claims that report CR/ICR services. We then compared total Medicare spending over 3 years post hospital discharge for AMI and CABG for beneficiaries that received cardiac rehabilitation services within 90 days of discharge, to beneficiaries that did not receive cardiac rehabilitation services within 90 days of discharge. We found that among beneficiaries continuously enrolled over 3 years in FFS Medicare Part A and B those receiving cardiac rehabilitation services within 90 days of discharge from an AMI and or CABG hospitalization had lower Medicare spending relative to beneficiaries whom did not receive cardiac rehabilitation services post discharge from an AMI and or CABG hospitalization, even after adjusting for differences in age, sex, and case-mix between the two populations. The difference in average spending between the group that received cardiac rehabilitation services and the group that did not receive cardiac rehabilitation services within 90 days of discharge represents the reduction in Medicare spending we would anticipate from an additional beneficiary receiving cardiac rehabilitation services due to the cardiac rehabilitation incentive payment model. However, adjusting for age, sex and case-mix may not fully account for other characteristics in the cardiac rehabilitation population compared to patients who did not receive such services that may account for the difference in Medicare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 incentive payments apply to CR/ICR sessions during the 90-day episode (for EPM participants) or 90-day care period (for FFS participants) from date of discharge. CR and ICR services paid by Medicare to any provider or supplier for model beneficiaries during AMI or CABG model episodes/care periods would result in participant eligibility for CR incentive payments. To model the impact of the cardiac rehabilitation incentive payment model, we calculated the costs of the incentive payments for beneficiaries receiving cardiac rehabilitation services, as well as any reduction in Medicare spending due to more beneficiaries receiving cardiac rehabilitation services. For the 90 MSAs selected for the cardiac rehabilitation incentive payment model, we used final action Medicare claims data for the 2015 calendar year to calculate what the cardiac rehabilitation incentive payments would be for all beneficiaries receiving cardiac rehabilitation services within 90 days of an AMI and CABG hospitalization. For a given increase in the proportion of beneficiaries observed in the 2015 calendar year that received cardiac rehabilitation services (see table 60), we calculated both the cost of the cardiac rehabilitation incentive payments for these additional beneficiaries, as well as the estimated reduction in Medicare spending over a 3-year period due to these additional beneficiaries receiving cardiac rehabilitation services. We estimated spending based on the pricing structure described in section VI.E. of this final rule. For a given rate of beneficiaries receiving cardiac rehabilitation services, we summed the costs of CR incentive payments. We then subtracted the estimated reduction in Medicare spending due to the increase in the rate of beneficiaries receiving cardiac rehabilitation services relative to the rate receiving such services in the 2015 calendar year to arrive at the net financial impact. This analysis considers the impact of increased utilization on transfer payments from Medicare to providers, as well as beneficiary copays and coinsurance.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utilization of CR/ICR services is driven by many factors, and we lack sufficient data to reliably estimate the effect of a CR incentive payment on beneficiary utilization of CR/ICR services, particularly during the 90-day episode/care period. Therefore, we calculated a range of potential impacts based on alternatives in the increase in cardiac rehabilitation utilization, ranging from no change to an increase in utilization of 4 percentage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Analyses </w:t>
      </w:r>
      <w:r>
        <w:rPr>
          <w:rFonts w:ascii="arial" w:eastAsia="arial" w:hAnsi="arial" w:cs="arial"/>
          <w:b/>
          <w:i w:val="0"/>
          <w:strike w:val="0"/>
          <w:noProof w:val="0"/>
          <w:color w:val="000000"/>
          <w:position w:val="0"/>
          <w:sz w:val="20"/>
          <w:u w:val="none"/>
          <w:vertAlign w:val="baseline"/>
        </w:rPr>
        <w:t> [*605]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Table 60--Range of Potential Long-Term Impact of Cardiac Rehabilitation</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Incentive Payment Model *</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68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Increase in cardiac rehabilitation utilization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Year</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No increase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 percentage</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4 percentage</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points</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points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2017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2018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2019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2020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2021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2022</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(8)</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2023</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2024</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Total: 2017-2024</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29</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millions of dollars. Totals do not necessarily equal the sums of rounded components.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60 summarizes the estimated impact for the CR incentive payment model. Our model estimates that the impact on Medicare spending may range from up to $ 29 million of spending to $ 32 million of savings between 2017 and 2024, depending on the change in utilization of CR/ICR services under the model. The estimate only considers the financial effects of additional beneficiaries receiving CR/ICR services, and does not take into account potential changes in the volume of CR/ICR services that beneficiaries may receive within 90-days of hospital discharge. Increasing CR/ICR services within 90 days of hospital discharge will increase CR/ICR incentive payments, and may influence Medicare spending after the 90 day episode. Due to the uncertainty of estimating the impacts of this model, actual results could be higher or lower than this estimate. Our analysis presents the cost and transfer payment effects of this final rule to the best of our ability. We solicited comments on our assumptions and analysis presented in the proposed rule </w:t>
      </w:r>
      <w:hyperlink r:id="rId9" w:history="1">
        <w:r>
          <w:rPr>
            <w:rFonts w:ascii="arial" w:eastAsia="arial" w:hAnsi="arial" w:cs="arial"/>
            <w:b w:val="0"/>
            <w:i/>
            <w:strike w:val="0"/>
            <w:noProof w:val="0"/>
            <w:color w:val="0077CC"/>
            <w:position w:val="0"/>
            <w:sz w:val="20"/>
            <w:u w:val="single"/>
            <w:vertAlign w:val="baseline"/>
          </w:rPr>
          <w:t>(81 FR 50989</w:t>
        </w:r>
      </w:hyperlink>
      <w:r>
        <w:rPr>
          <w:rFonts w:ascii="arial" w:eastAsia="arial" w:hAnsi="arial" w:cs="arial"/>
          <w:b w:val="0"/>
          <w:i w:val="0"/>
          <w:strike w:val="0"/>
          <w:noProof w:val="0"/>
          <w:color w:val="000000"/>
          <w:position w:val="0"/>
          <w:sz w:val="20"/>
          <w:u w:val="none"/>
          <w:vertAlign w:val="baseline"/>
        </w:rPr>
        <w:t xml:space="preserve"> through 51002). However, we did not receive comments on this topic.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Further Consideration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use our experience in previous implementation of bundled payment models to help inform our impact analyses. We have previously used our statutory authority to create payment models such as the BPCI initiative and the ACE Demonstration to test bundled payments, as well as the CJR model. Under the authority of section 1866C of the Act, the Medicare program funded a 3-year demonstration, the ACE Demonstration. The demonstration used a prospective global payment for a single episode-of-care as an alternative approach to payment for service delivery under traditional Medicare FFS. The episode-of-care was defined as a combination of Parts A and B services furnished to Medicare FFS beneficiaries during an inpatient hospital stay for any one of a specified set of cardiac and orthopedic MS-DRGs. The discounted bundled payments generated an average gross savings to Medicare of $ 585 per episode for a total of $ 7.3 million across all episodes (12,501 episodes) or 3.1 percent of the total expected costs for these episodes. After netting out the savings produced by the Medicare Parts A and B discounted payments and some increased PAC costs that were observed at two sites, Medicare saved approximately $ 4 million, or 1.72 percent of the total expected Medicare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are currently testing the BPCI initiative. Under this initiative, entities enter into payment arrangements with CMS that include financial and performance accountability for episodes of care. The BPCI initiative is evaluating the effects of episode-based payment approaches on patient experience of care, outcomes, and cost of care for Medicare FFS beneficiaries. We believe that our experiences with BPCI support the design of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there is some evidence from BPCI and ACE suggesting that providers may improve their performance, the participants that volunteered to participate may be in a better position to reduce episode spending relative to the average provider. The CJR model is testing the first bundled payment model under the Innovation Center authority in which providers are required to participate. The CJR model test began in April 2016 and we are finalizing refinements to the CJR in this final rule to support successful implementation. The design of the EPMs finalized in this rule incorporates early learnings from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although we project savings to Medicare under the EPMs and updated CJR, as stated earlier, we note that under section 1115A(b)(3)(B) of the Act, the Secretary is required to terminate or modify a model unless certain findings can be made with respect to savings and quality after the model has begun. If during the course of testing it is determined that termination or modification is necessary, such actions would be undertaken through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Effects on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episode payment models may have the potential to benefit beneficiaries because the intent of the models is to test whether providers under episode payment models are able to improve the coordination and transition of care, invest in infrastructure and redesigned care processes for high quality and efficient service delivery, and incentivize higher value care across the inpatient and post-acute care spectrum spanning the episode of care. We believe that episode payment models have a patient-centered focus such that they incentivize improved healthcare delivery and communication delivered around the needs of the beneficiary, thus potentially benefitting the beneficiary community. However, the EPMs do not affect beneficiary cost sharing for services or premiums paid by beneficiaries. If there is a shift in services utilized within each episode, then beneficiary cost sharing could be higher or lower than would otherwise be experienced.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finalized the use of several patient outcomes and patient experience measures to tie payment to quality performance with the intent that this approach encourages the provider community to focus on and deliver improved quality care for Medicare beneficiaries. Additionally, participants must meet an acceptable level of quality performance in order to qualify to </w:t>
      </w:r>
      <w:r>
        <w:rPr>
          <w:rFonts w:ascii="arial" w:eastAsia="arial" w:hAnsi="arial" w:cs="arial"/>
          <w:b/>
          <w:i w:val="0"/>
          <w:strike w:val="0"/>
          <w:noProof w:val="0"/>
          <w:color w:val="000000"/>
          <w:position w:val="0"/>
          <w:sz w:val="20"/>
          <w:u w:val="none"/>
          <w:vertAlign w:val="baseline"/>
        </w:rPr>
        <w:t> [*606] </w:t>
      </w:r>
      <w:r>
        <w:rPr>
          <w:rFonts w:ascii="arial" w:eastAsia="arial" w:hAnsi="arial" w:cs="arial"/>
          <w:b w:val="0"/>
          <w:i w:val="0"/>
          <w:strike w:val="0"/>
          <w:noProof w:val="0"/>
          <w:color w:val="000000"/>
          <w:position w:val="0"/>
          <w:sz w:val="20"/>
          <w:u w:val="none"/>
          <w:vertAlign w:val="baseline"/>
        </w:rPr>
        <w:t xml:space="preserve"> receive a reconciliation payment. The accountability of participants for both quality and cost of care provided for Medicare beneficiaries within episodes provides participants with new incentives to improve the health and well-being of the Medicare beneficiaries they treat.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EPMs and CJR do not affect the beneficiary's freedom of choice to obtain health services from any individual or organization qualified to participate in the Medicare program guaranteed under section 1802 of the Act. Eligible beneficiaries who choose to receive services from a participant would not have the option to opt out of inclusion in the models. Although the EPMs and CJR allow participants to enter into risk-sharing arrangements with certain other providers, and participants may recommend those providers to the beneficiary, participants may not prevent or restrict beneficiaries to any list of preferred or recommended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controls exist under Medicare to ensure beneficiary access and quality, and we have proposed to use our existing authority, if necessary, to audit participants if claims analysis indicates an inappropriate change in delivered services. As described in section III.G. of this final rule, given that participants would receive a reconciliation payment when they are able to reduce average spending per episode and achieve acceptable or greater quality performance, they could have an incentive to avoid complex, high cost cases by referring them to nearby facilities or specialty referral centers. We intend to monitor the claims data from participants--for example, to compare a hospital's case mix relative to a pre-model historical baseline to determine whether complex cases are being systematically excluded. Furthermore, we also proposed to require providers to supply beneficiaries with written information regarding the design and implications of these EPMs as well as their rights under Medicare, including their right to use their provider of choice.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proposed to implement several safeguards to ensure that Medicare beneficiaries do not experience a delay in services. We believe that the longer the episode duration, the lower the risk of delaying care beyond the episode duration, and we believe that a 90-day post-hospital discharge episode duration is sufficiently long to minimize the risk that any episode-related care will be delayed beyond the end of the episode. Moreover, we are finalizing that as part of the payment definition (see section III.D. of this final rule) that participants would be financially responsible for certain outlier post-episode payments occurring in the 30-day window subsequent to the end of the 90-day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we note that Medicare payments for services will continue to be made for each Medicare FFS payment system under the CJR model and the EPMs. Because we are finalizing our proposal to waive beneficiary coinsurance for reconciliation payments and repayments, beneficiaries will be subject to copayments, deductibles, and coinsurance consistent with Medicare FFS payments, rather than as determined by quality-adjusted target prices. In our analysis of impacts, we assume that beneficiary payments will not be affected, as only the participant will be subject to the reconciliation process. If participants are successful in improving quality or care while reducing costs, beneficiaries may benefit through reduced out-of-pocket expenditures across the episode. Alternatively, if participants respond to the incentives under the models by shifting medical care outside of the 90-day bundle, than this may negatively impact the quality of care that beneficiaries receive.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Effects on Small Rural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1102(b) of the Social Security Act requires us to prepare a regulatory impact analysis if a proposed rule or final rule may have a significant impact on the operations of a substantial number of small rural hospitals. This analysis must conform to the provisions of section 604 of the RFA. For purposes of section 1102(b) of the Act, a small rural hospital is defined as a hospital that is located outside of an MSA and has fewer than 100 beds. The models finalized in this rule do not require participation of hospitals located outside of MSAs. We have included a more protective stop-loss policy for certain IPPS hospitals that are located in a rural area in accordance with § 412.64(b) or in a rural census tract within an MSA defined at § 412.103(a)(1) or reclassified to rural in accordance with § 412.103. The models finalized in this rule will affect some rural hospitals based on this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our concerns that rural hospitals may have lower risk tolerance and less infrastructure and support to achieve efficiencies for high payment episodes, we have finalized additional financial protections for rural hospitals (in addition to other protections under the EPMs for Medicare Dependent Hospitals, Rural Referral Centers, Sole Community and certain low-volume participants). In performance year 2, a rural hospital which qualifies for reduced stop-loss and stop-gain limits and elects downside risk could owe Medicare no more than 3 percent of the sum of quality-adjusted target prices for the hospital's episodes in an EPM. In performance year 3, a rural hospital could owe Medicare no more than 3 percent of quality-adjusted target prices for the hospital's episodes in an EPM. In performance years 4 and 5, a rural hospital could owe Medicare no more than 5 percent of the sum of quality-adjusted target prices for the hospital's episode in an EPM. Although we are finalizing these additional protections, we believe that few rural hospitals will be included in the models, and therefore that few will need these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 CABG, and SHFFT episodes account for less than 5 percent of all discharges, and because relatively few of these procedures are performed at small rural hospitals, and because the EPMs are designed to minimize adverse effects on rural hospitals, we do not believe that rural hospitals will experience significant adverse economic impacts. Accordingly, we conclude that this final rule would not have a significant impact on the operations of a substantial number of small rural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solicited public comments on our estimates and analysis of the impact of our proposals on small rural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were concerned that this rule may have a negative impact or create unnecessary burden on small rural hospitals. One commenter reported concern that the EPMs could have a negative financial impact on small rural hospitals. Another commenter stated that the EPMs may reduce access for rehabilitation services in rural areas. This commenter stated that they are concerned non-rural EPM participant hospitals may encourage beneficiaries to receive care at providers affiliated with or within close proximity to the non-rural EPM participant hospital, which could negatively impact volume of services provided by rural hospitals. The commenter also stated that beneficiaries living in rural settings might therefore be forced to choose between relocating to less rural areas to receive appropriate care or to simply not receive appropriate post-acute care and follow-up.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understand the commenters' concern that the EPMs may have negative financial implications on rural hospitals. To limit the impact on rural hospitals, we have largely excluded them from the MSAs </w:t>
      </w:r>
      <w:r>
        <w:rPr>
          <w:rFonts w:ascii="arial" w:eastAsia="arial" w:hAnsi="arial" w:cs="arial"/>
          <w:b/>
          <w:i w:val="0"/>
          <w:strike w:val="0"/>
          <w:noProof w:val="0"/>
          <w:color w:val="000000"/>
          <w:position w:val="0"/>
          <w:sz w:val="20"/>
          <w:u w:val="none"/>
          <w:vertAlign w:val="baseline"/>
        </w:rPr>
        <w:t> [*607] </w:t>
      </w:r>
      <w:r>
        <w:rPr>
          <w:rFonts w:ascii="arial" w:eastAsia="arial" w:hAnsi="arial" w:cs="arial"/>
          <w:b w:val="0"/>
          <w:i w:val="0"/>
          <w:strike w:val="0"/>
          <w:noProof w:val="0"/>
          <w:color w:val="000000"/>
          <w:position w:val="0"/>
          <w:sz w:val="20"/>
          <w:u w:val="none"/>
          <w:vertAlign w:val="baseline"/>
        </w:rPr>
        <w:t xml:space="preserve"> eligible for EPM. As discussed in section III.D.7.c.(1) of this final rule, we provide additional protections for rural hospitals in the EPMs. We have also established, in § 512.450, that participants may not limit beneficiary choice to any list of providers or suppliers in any manner other than that permitted under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small rural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rural IPPS hospitals, SCHs, MDH and RRCs often serve as the only sites of care for beneficiaries living in rural areas, and these providers may have limited resources to contain costs under the EPMs. Additionally, they may have a limited number of providers and suppliers with which to coordinate care, such as CAHs that are reimbursed at a higher cost-based rate. As a result, we have provided for more protective stop-loss limits for these groups of IPPS hospitals in order to include them in the models while alleviating some financial risk. We believe that these models will not have a significant impact on the operations of a substantial number of small rural hospitals. The discussion of separate financial loss limits for certain hospitals that may be less equipped to tolerate risk is included in § 512.305(c)(2)(iii)(C).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the comment regarding the potential impact of this model on rural providers, particularly small rural hospitals. As we note in section III.D.7.c.(1) of this final rule, we are providing additional protections for rural IPPS hospitals, SCHs, MDHs, RRCs and certain low-volume hospitals located in the MSAs selected for participation in the models. As discussed in section III.D.7.c.(1), we note that these categories of hospitals often have special payment protections or additional payment benefits under the Medicare program because we recognize the importance of preserving Medicare beneficiaries' access to care from these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Effects on Small Entities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RFA requires agencies to analyze options for regulatory relief of small entities, if a rule has a significant impact on a substantial number of small entities. For purposes of the RFA, small entities include small businesses, nonprofit organizations, and small governmental jurisdictions. We estimate that most hospitals and most other providers and suppliers are small entities, either by virtue of their nonprofit status or by qualifying as small businesses under the Small Business Administration's size standards (revenues of less than $ 7.5 to $ 38.5 million in any 1 year; NAIC Sector-62 series). States and individuals are not included in the definition of a small entity. For details, see the Small Business Administration's Web site at </w:t>
      </w:r>
      <w:hyperlink r:id="rId142" w:history="1">
        <w:r>
          <w:rPr>
            <w:rFonts w:ascii="arial" w:eastAsia="arial" w:hAnsi="arial" w:cs="arial"/>
            <w:b w:val="0"/>
            <w:i/>
            <w:strike w:val="0"/>
            <w:noProof w:val="0"/>
            <w:color w:val="0077CC"/>
            <w:position w:val="0"/>
            <w:sz w:val="20"/>
            <w:u w:val="single"/>
            <w:vertAlign w:val="baseline"/>
          </w:rPr>
          <w:t>http://www.sba.gov/content/smallbusiness-size-standards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purposes of the RFA, we generally consider all hospitals and other providers and suppliers to be small entities. We believe that the provisions of this final rule relating to acute care hospitals would have some effects on a substantial number of other providers involved in these episodes of care including surgeons and other physicians, skilled nursing facilities, physical therapists, and other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acknowledge that many of the affected entities are small entities, and the analysis discussed throughout this final rule discusses aspects of episode payment models that may or will affect them, we have no reason to assume that these effects will reach the threshold level of 3 percent of revenues used by HHS to identify what are likely to be "significant" impacts. We assume that all or almost all of these entities will continue to serve beneficiaries, and receive payments in accordance with Medicare FFS payment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we have determined that this final rule will not have a significant impact on a substantial number of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Effects on Collection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three primary sets of information collection activities that EPM participants may be engaged in: Activities related to quality reporting, activities related to Advanced APM participation, and ad hoc reporting of beneficiary notification upon request by CMS. Here, we briefly describe the anticipated scope and effects of information collection in each of these three areas for EPM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Quality reporting associated with the EPMs includes EPM-specific quality measures, HCAHPS, and voluntarily reported quality measures (AMI, CABG and SHFFT models), described in more detail in section III.E. of this final rule. IPPS hospitals are subject to incentives under quality reporting incentives such as the HVBP program and Medicare Electronic Health Record (EHR) Incentive Program, among others. Most IPPS hospitals already report information for the EPM-specific quality measures and HCAHPS for other CMS programs, and those hospitals that do not otherwise report this information to CMS would not be required to report under the EPMs. Thus, for EPM participants there will be no required information collection activities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AMI model, participants have the option of reporting data for the Hybrid AMI Mortality measure. This measure includes a combination of claims and EHR data for a total of five EHR-based clinical data elements and six claims-based elements. AMI voluntary data submission must occur within 60 days of most recent data collection period. Successful submission of optional Hybrid AMI Mortality measure data will be based upon inclusion of five key clinical data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anticipate that participants who choose to engage in voluntary reporting of the Hybrid AMI Mortality measure will engage in the following process:</w:t>
      </w:r>
    </w:p>
    <w:p>
      <w:pPr>
        <w:keepNext w:val="0"/>
        <w:numPr>
          <w:numId w:val="9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Hospitals receive the measure authoring tool (MAT) output, a template layout for the data reporting file, and other artifacts that describe what they are supposed to do and how. The only data elements required are simple labs and vital signs that are collected consistently in structured fields. All hospitals with EHRs should be able to extract these from structured fields. Many will have some experience based on work with eCQMs.</w:t>
      </w:r>
    </w:p>
    <w:p>
      <w:pPr>
        <w:keepNext w:val="0"/>
        <w:numPr>
          <w:numId w:val="9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Hospitals review the MAT output and submit questions or request clarification via ongoing Q&amp;A.</w:t>
      </w:r>
    </w:p>
    <w:p>
      <w:pPr>
        <w:keepNext w:val="0"/>
        <w:numPr>
          <w:numId w:val="9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Hospitals create a query for their EHR database using the MAT output and populate the reporting file with the core clinical data elements (CCDE). The hospital IT staff will typically run some queries on a small set of admissions and look at the corresponding charts to make sure they are getting the right data and may modify the query if needed.</w:t>
      </w:r>
    </w:p>
    <w:p>
      <w:pPr>
        <w:keepNext w:val="0"/>
        <w:numPr>
          <w:numId w:val="9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Hospitals submit the CCDE to CMS on the prescribed template (QRDA, consolidated clinical document architecture (CCDA), or simple excel file are all options).</w:t>
      </w:r>
    </w:p>
    <w:p>
      <w:pPr>
        <w:keepNext w:val="0"/>
        <w:numPr>
          <w:numId w:val="9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Hospitals do not need to do any measure calculation. Once data elements are submitted, CMS will link with claims data to calculate measure scores.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this process, the initial effort of establishing operability will create the majority of burden. Once the initial effort of establishing the query is complete, the burden will be minimal, as the same query can be run against the EHR for ongoing reporting. We assume that the primary cost for a hospital will be the IT support to set up the initial query and ensure the correct data is being pulled from the EHR. The data elements should be less burdensome than a typical eCQM because participants do not need to create new fields, all data is feasibly accessed in </w:t>
      </w:r>
      <w:r>
        <w:rPr>
          <w:rFonts w:ascii="arial" w:eastAsia="arial" w:hAnsi="arial" w:cs="arial"/>
          <w:b/>
          <w:i w:val="0"/>
          <w:strike w:val="0"/>
          <w:noProof w:val="0"/>
          <w:color w:val="000000"/>
          <w:position w:val="0"/>
          <w:sz w:val="20"/>
          <w:u w:val="none"/>
          <w:vertAlign w:val="baseline"/>
        </w:rPr>
        <w:t> [*608] </w:t>
      </w:r>
      <w:r>
        <w:rPr>
          <w:rFonts w:ascii="arial" w:eastAsia="arial" w:hAnsi="arial" w:cs="arial"/>
          <w:b w:val="0"/>
          <w:i w:val="0"/>
          <w:strike w:val="0"/>
          <w:noProof w:val="0"/>
          <w:color w:val="000000"/>
          <w:position w:val="0"/>
          <w:sz w:val="20"/>
          <w:u w:val="none"/>
          <w:vertAlign w:val="baseline"/>
        </w:rPr>
        <w:t xml:space="preserve"> current EHRs without creating new clinical workflows, and hospitals do not need to do any measure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 model participants must meet the following requirements for each performance year in order to fulfill the successful Hybrid AMI Mortality data collection criterion. In performance year 1, participants will be required to submit this data for 50 percent of eligible AMI episodes occurring during the 2-month period between July 1, 2017 and August 31, 2017. In performance year 2, AMI voluntary data submission will be for 10 months of eligible discharges. In performance years 3 through 5, participants will need to submit data for the entire performance year. Furthermore, in performance years 2 through 5, participants will need to submit the five key clinical data elements for at least 90 percent of eligible AMI discharges to receive credit for successful submission and two additional points toward the participant's AMI model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unable to provide a direct cost estimate for hospitals at this time, but expect to learn more as part of model testing. The voluntary data submission initiative will allow AMI model participants to build processes to extract and report the EHR data elements, as well as support CMS testing of systems required for Hybrid AMI Mortality measure (NQF #2473) production including data receiving and auditing, the merging EHR and claims data, calculation and production of measure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CABG model, the voluntary quality measure is successful submission of data to the Society of Thoracic Surgeons Adult Cardiac Surgery Database (STS measure). We anticipate that for the majority of CABG model participants, there will be no additional burden of reporting as the STS measure as most CABG participants are already submitting data for this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anticipate significant operational difficulties as we plan to work collaboratively with the STS Registry to receive the data files following each data collection period as prescribed by the STS Registry. EPM participants who are not members of the STS Proprietary Registry, but are a HQR participating facility would have access to SFT. Data files can be securely sent via SFT in a transitional submission format available to systems using a spreadsheet-based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unable to provide a direct cost estimate for hospitals at this time, but expect to learn more as part of the CABG model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SHFFT model, the voluntary quality measure is based on THA/TKA patient-reported outcome-based measure data submission, which draws upon patient interviews to gain insights into patient experience and related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anticipate that participants who choose to engage in voluntary reporting of the THA/TKA patient-reported outcome-based data will engage in the following process:</w:t>
      </w:r>
    </w:p>
    <w:p>
      <w:pPr>
        <w:keepNext w:val="0"/>
        <w:numPr>
          <w:numId w:val="9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Participating hospitals will need to establish a means to collect patient-reported outcome data from patients pre-operatively and, again, post-operatively. In addition, they would need to collect select additional risk variables from patient charts.</w:t>
      </w:r>
    </w:p>
    <w:p>
      <w:pPr>
        <w:keepNext w:val="0"/>
        <w:numPr>
          <w:numId w:val="9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specific instruments (and risk variables) have been vetted by a Technical Expert Panel and public comment: Veterans RAND 12 Item Health Survey (VR-12) or Patient-Reported Outcomes Measurement Information System (PROMIS) Global-10 generic PRO survey; Hip disability and Osteoarthritis Outcome Score (HOOS)/Knee injury and Osteoarthritis Outcome Score (KOOS) Jr. or HOOS/KOOS subscales PRO survey; additional risk variables that can be physician-reported or chart-abstracted.</w:t>
      </w:r>
    </w:p>
    <w:p>
      <w:pPr>
        <w:keepNext w:val="0"/>
        <w:numPr>
          <w:numId w:val="9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hospitals select the least burdensome instruments, data collection requires patients to answer 16 through 17 outcome questions and 3 risk factor questions. Estimates from instrument developers, input from the patient members of a Technical Expert Panel, and empirical results from a survey of physicians collecting similar data on THA/TKA patients support minimal patient burden (under 5 minutes) to collect the required data.</w:t>
      </w:r>
    </w:p>
    <w:p>
      <w:pPr>
        <w:keepNext w:val="0"/>
        <w:numPr>
          <w:numId w:val="9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Pre-operative survey completion could be arranged to be completed online, by phone, or at pre-operative clinic or hospital admission intake visits. Post-operative survey completion must occur between 270 and 365 days after the eligible elective primary procedure, and may occur in a variety of ways, such as online or by phone.</w:t>
      </w:r>
    </w:p>
    <w:p>
      <w:pPr>
        <w:keepNext w:val="0"/>
        <w:numPr>
          <w:numId w:val="9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Hospitals will collect or extract 6 risk variables that are commonly available in the medical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available data suggests costs associated with information collection for this measure can vary tremendously. We anticipate the SHFFT patient-reported outcomes reporting costs to a participant hospital would decrease over time as the collection process is streamlined and integrated into clinical care workflows. A number of hospitals are already collecting this data either as a part of an established registry or for participation in the existing CJR. For these participants, the burden of developing data collection systems will be minimal.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Participating hospitals must meet the following information submission requirements for each performance year in order to fulfill the successful THA/TKA patient-reported outcome-based data collection criterion. In performance year 1, participants must submit pre-operative data for at least 60 percent of eligible procedures or at least 75 cases performed between September 1, 2016 and June 30, 2017. In performance year 2, participants must submit post-operative data for at least 60 percent of eligible procedures or at least 75 cases performed between September 1, 2016 and June 30, 2017 and also must submit pre-operative data for at least 70 percent of eligible procedures or at least 100 cases. In performance year 3, participants must submit post-operative data for at least 70 percent of eligible procedures or at least 100 cases performed between July 1, 2017 and June 30, 2018 and also must submit pre-operative data for at least 80 percent of eligible procedures or at least 200 cases performed between July 1, 2018 and June 30, 2019. In performance year 4, participants must submit post-operative data for at least 80 percent of eligible procedures or at least 200 cases performed between July 1, 2018 and June 30, 2019 and also must submit pre-operative data for at least 80 percent of eligible procedures or at least 200 cases performed between July 1, 2019 and June 30, 2020. In performance year 5, participants must submit post-operative data for at least 80 percent of eligible procedures or at least 200 cases performed between July 1, 2019 and June 30, 2020 and also must submit pre-operative data for at least 80 percent of eligible procedures or at least 200 cases performed between July 1, 2020 and June 30, 2021.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unable to provide a direct cost estimate for hospitals at this time, but expect to learn more as part of SHFFT and CJR model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we anticipate the net burden of voluntary data submissions in the AMI, CABG and SHFFT models will be marginal, as we anticipate hospitals will only choose to proceed with optional data submission if they believe the net financial benefit will be positive.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Information collection related to the Track 1 EPMs and the Track 1 CJR model to meet the Advanced APM requirements included in the Quality Payment Program proposed rule and to operationalize the EPMs and CJR as Advanced APMs includes EPM and CJR participant attestation to CEHRT and clinician financial arrangements lists </w:t>
      </w:r>
      <w:r>
        <w:rPr>
          <w:rFonts w:ascii="arial" w:eastAsia="arial" w:hAnsi="arial" w:cs="arial"/>
          <w:b/>
          <w:i w:val="0"/>
          <w:strike w:val="0"/>
          <w:noProof w:val="0"/>
          <w:color w:val="000000"/>
          <w:position w:val="0"/>
          <w:sz w:val="20"/>
          <w:u w:val="none"/>
          <w:vertAlign w:val="baseline"/>
        </w:rPr>
        <w:t> [*609] </w:t>
      </w:r>
      <w:r>
        <w:rPr>
          <w:rFonts w:ascii="arial" w:eastAsia="arial" w:hAnsi="arial" w:cs="arial"/>
          <w:b w:val="0"/>
          <w:i w:val="0"/>
          <w:strike w:val="0"/>
          <w:noProof w:val="0"/>
          <w:color w:val="000000"/>
          <w:position w:val="0"/>
          <w:sz w:val="20"/>
          <w:u w:val="none"/>
          <w:vertAlign w:val="baseline"/>
        </w:rPr>
        <w:t xml:space="preserve"> submission. We believe that the selection by EPM and CJR participants to meet and attest to the CEHRT use requirement would create no significant additional administrative burden on EPM and CJR model participants. The submission of clinician financial arrangements lists (no more frequently than quarterly) for Track 1 EPMs and the Track 1 CJR model may create some additional administrative requirements for certain EPM and CJR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expect that participants are able to produce lists of beneficiaries who have received compliant notification of participation in model. We provided flexible guidelines for this requirement as specific record keeping methods can be chosen by individual participants so long as the necessary information is maintained readily available to report upon request. We sought comment on any burden derived from this requirement. In total, we anticipate marginal additional reporting burden resulting from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expressed concern over increased quality data reporting in the EPMs and the CJR model. The commenter stated that, to date, they have utilized extensive resources to maintain compliance with CJR quality reporting requirements and are concerned about further quality reporting requirements for the EPMs. The commenter requested that CMS delay quality reporting requirements due to the resource investment necessary to comply with EPM quality reporting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concern over potential burden associated with quality data reporting in the EPMs. As discussed in section III.E.3. of this final rule, EPM participants are not required to report quality data for reconciliation payment eligibility. While EPM participants may choose to increase their financial opportunity under the model by successfully submitting data for future measure development, as discussed in sections III.E.3.d. of this final rule, reporting data for future measure development is not required for reconciliation payment eligibility.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Unfunded Mandates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202 of the Unfunded Mandates Reform Act of 1995 (UMRA) also requires that agencies assess anticipated costs and benefits before issuing any rule whose mandates require spending in any 1 year of $ 100 million in 1995 dollars, updated annually for inflation. In 2016, that is approximately $ 146 million. This final rule does not include any mandate that would result in spending by state, local or tribal governments, in the aggregate, or by the private sector in the amount of $ 146 million in any 1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Alternatives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this final rule, we have identified the policies and alternatives that we have considered, and provided information as to the possible effects of these alternatives and the rationale for each of the policies we have finalized. We solicited and welcomed comments on our proposals, on the alternatives we identified, and on other alternatives that we should consider, as well as on the costs, benefits, or other effects of these.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our estimates are limited to hospitals in the CJR model, hospitals that will be included in the SHFFT model, hospitals selected to participate in the AMI and CABG models, and the FFS-CR participants. This final rule will not impinge directly on hospitals that are not participating in CJR or the EPMs. However, it may encourage innovations in health care delivery in other areas or in care paid through other payers. For example, a hospital and affiliated providers may choose to extend their arrangements for an EPM to other payers, not just those beneficiaries paid under Medicare FFS. Alternatively, a hospital and affiliated providers in one city may decide to hold themselves forth as "centers of excellence" for patients from other cities, both those included and not included in the EPMs. We welcomed comments that address these or other possibilities.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present the implications of alternatives considered in the development of the EPMs here. As discussed in section III.C. of this final rule, we will define beneficiary inclusion in the AMI model by discharge under an AMI MS-DRG (280-282), representing those individuals admitted with AMI who receive medical therapy but no revascularization, and discharge under a PCI MS-DRG (246-251) with an ICD-10-CM diagnosis code of AMI on the IPPS claim for the anchor hospitalization in the principal or secondary diagnosis code position. Alternately, we could have defined beneficiary inclusion based only on the principal diagnosis code which would have reduced the number of episodes included in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III.E. of this final rule, we allow participants to qualify for a higher composite quality score in the AMI, CABG and SHFFT models based on submission of voluntary measures or data. If we had not provided the option for participants to achieve an increased composite quality score for voluntary reporting (or if we assume no hospitals report this data), the AMI, CABG and SHFFT models are estimated to result in an additional $ 27 million savings over the 5 performance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VI of this final rule, we have finalized our proposal for the selection of CR MSAs via a modified stratified random selection based on several key dimensions related to CR/ICR service provision, including percent of eligible cases in the MSA who receive CR/ICR services, percent who complete CR or ICR services, and the number of CR/ICR providers. In the proposed rule, we outlined alternative MSA selection strategies and solicited comments on the MSA selection approach. We anticipate that, because these approaches draw from the same pool of eligible MSAs without regard to MSA size or total cost of care during the episode or care period, the overall financial impact of different selection methodologies will be minimal, and the primary impact of varied MSA selection approaches will be on balance among model arms for evaluation.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Accounting Statement and 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required by OMB Circular A-4 under Executive Order 12866 (available at </w:t>
      </w:r>
      <w:hyperlink r:id="rId143" w:history="1">
        <w:r>
          <w:rPr>
            <w:rFonts w:ascii="arial" w:eastAsia="arial" w:hAnsi="arial" w:cs="arial"/>
            <w:b w:val="0"/>
            <w:i/>
            <w:strike w:val="0"/>
            <w:noProof w:val="0"/>
            <w:color w:val="0077CC"/>
            <w:position w:val="0"/>
            <w:sz w:val="20"/>
            <w:u w:val="single"/>
            <w:vertAlign w:val="baseline"/>
          </w:rPr>
          <w:t>http://www.whitehouse.gov/omb/circulars_a004_a-4</w:t>
        </w:r>
      </w:hyperlink>
      <w:r>
        <w:rPr>
          <w:rFonts w:ascii="arial" w:eastAsia="arial" w:hAnsi="arial" w:cs="arial"/>
          <w:b w:val="0"/>
          <w:i w:val="0"/>
          <w:strike w:val="0"/>
          <w:noProof w:val="0"/>
          <w:color w:val="000000"/>
          <w:position w:val="0"/>
          <w:sz w:val="20"/>
          <w:u w:val="none"/>
          <w:vertAlign w:val="baseline"/>
        </w:rPr>
        <w:t xml:space="preserve">) in Table 61, we have prepared an accounting statement showing the classification of transfers, benefits, and costs associated with the provisions in this final rule. The accounting statement is based on estimates provided in this regulatory impact analysis. As described in Table 57, we estimate this final EPM model will result in savings to the federal government of $ 159 million over the 5 performance years of the model from 2017 to 2021. Table 58 shows the annualized change in net federal monetary transfers, and potential reconciliation payments to participants net of repayments from participants that are associated with the EPM provisions of this final rule as compared to baseline. As described in Table 59, we estimate the modifications to the CJR model finalized in this final rule will result in a reduced savings to the federal government of $ 26 million over the 5 performance years of the model from 2016 to 2020. As described in Table 60, we estimate the range of impact for this final CR model to be between a cost of $ 29 to a savings of $ 32 million over 2017 to 2024. In Table 61, the overall annualized change in payments (for all provisions finalized in this final rule) based on a 7 percent and 3 percent discount rate, results in net federal monetary transfer from the participant </w:t>
      </w:r>
      <w:r>
        <w:rPr>
          <w:rFonts w:ascii="arial" w:eastAsia="arial" w:hAnsi="arial" w:cs="arial"/>
          <w:b/>
          <w:i w:val="0"/>
          <w:strike w:val="0"/>
          <w:noProof w:val="0"/>
          <w:color w:val="000000"/>
          <w:position w:val="0"/>
          <w:sz w:val="20"/>
          <w:u w:val="none"/>
          <w:vertAlign w:val="baseline"/>
        </w:rPr>
        <w:t> [*610] </w:t>
      </w:r>
      <w:r>
        <w:rPr>
          <w:rFonts w:ascii="arial" w:eastAsia="arial" w:hAnsi="arial" w:cs="arial"/>
          <w:b w:val="0"/>
          <w:i w:val="0"/>
          <w:strike w:val="0"/>
          <w:noProof w:val="0"/>
          <w:color w:val="000000"/>
          <w:position w:val="0"/>
          <w:sz w:val="20"/>
          <w:u w:val="none"/>
          <w:vertAlign w:val="baseline"/>
        </w:rPr>
        <w:t xml:space="preserve"> IPPS hospitals to the federal government of $ 13 million and $ 16 million respectively over the period of 2016 to 2024. For purposes of the accounting statement, we assumed no change in the rate of beneficiaries receiving cardiac rehabilitation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does not result in any significant additional administrative burden on participants.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Table 61--Accounting Statement (2016-2024), Estimated Impacts for Episode</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Payment Models (2017-2021), Changes to Comprehensive Care for Joint</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Replacement (2016-2020), and Cardiac Rehabilitation Incentive Payment Model</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(2017-2024) Assuming No Change in the Rate of Patients Receiving Cardiac</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Rehabilitation Services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Category</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Primary</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Source citation</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estimate</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(RIA, preamble, etc.)</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(millions)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Transfers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Annualized monetized</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$ 13</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Change from baseline to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transfers: Discount rate</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final changes (Tables 57,</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7%</w:t>
            </w:r>
          </w:p>
        </w:tc>
        <w:tc>
          <w:tcPr>
            <w:tcW w:w="3120" w:type="dxa"/>
            <w:tcBorders>
              <w:right w:val="nil"/>
            </w:tcBorders>
            <w:tcMar>
              <w:top w:w="20" w:type="dxa"/>
              <w:bottom w:w="20" w:type="dxa"/>
            </w:tcMar>
            <w:vAlign w:val="top"/>
          </w:tcPr>
          <w:p/>
        </w:tc>
        <w:tc>
          <w:tcPr>
            <w:tcW w:w="3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59, and 60).</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Conclusion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analysis, together with the remainder of this preamble, provides the Regulatory Impact Analysis of a rule with a significant economic effect. As a result of this final rule, we estimate that the financial impact of the AMI, CABG, and SHFFT EPM models proposed here would be net federal savings of $ 159 million over a 5-year performance period (2017 through 2021), the financial impact of the CJR model as modified here with the revised assumptions on hospital reporting of quality data would be an estimated net federal decrease in savings of $ 26 million over a 5-year period (2016 through 2020) relative to the estimates published in the CJR final rule. The financial impact of the CR incentive payment model would be net change in federal spending between $ 29 million in additional costs and $ 32 million in savings to the Medicare program over an 8-year period (2017 through 2024).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the provisions of Executive Order 12866,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reviewed by the Office of Management and Budget.</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46"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42 CFR Part 510</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Administrative Practice and Procedure, Health facilities, Health professions, Medicare, and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42 CFR Part 512</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Administrative practice and procedure, Health facilities, Medicare, Reporting and recordkeeping requirements.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set forth in the preamble, under the authority at section 1115A of the Social Security Act, the Centers for Medicare &amp; Medicaid Services amends 42 CFR Chapter IV as follows:</w:t>
      </w:r>
    </w:p>
    <w:p>
      <w:pPr>
        <w:numPr>
          <w:numId w:val="926"/>
        </w:numPr>
        <w:spacing w:before="120" w:line="240" w:lineRule="atLeast"/>
      </w:pPr>
      <w:r>
        <w:rPr>
          <w:b/>
          <w:i w:val="0"/>
          <w:sz w:val="20"/>
        </w:rPr>
        <w:t>rastructure and Model Programs</w:t>
      </w:r>
    </w:p>
    <w:p>
      <w:pPr>
        <w:numPr>
          <w:numId w:val="927"/>
        </w:numPr>
        <w:spacing w:before="120" w:line="240" w:lineRule="atLeast"/>
      </w:pPr>
      <w:r>
        <w:rPr>
          <w:b/>
          <w:i w:val="0"/>
          <w:sz w:val="20"/>
        </w:rPr>
        <w:t>FOR JOINT REPLACEMENT MODEL</w:t>
      </w:r>
    </w:p>
    <w:p>
      <w:pPr>
        <w:keepNext w:val="0"/>
        <w:numPr>
          <w:numId w:val="9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510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Secs. 1102, 1115A, and 1871 of the Social Security Act (</w:t>
      </w:r>
      <w:hyperlink r:id="rId144" w:history="1">
        <w:r>
          <w:rPr>
            <w:rFonts w:ascii="arial" w:eastAsia="arial" w:hAnsi="arial" w:cs="arial"/>
            <w:b w:val="0"/>
            <w:i/>
            <w:strike w:val="0"/>
            <w:noProof w:val="0"/>
            <w:color w:val="0077CC"/>
            <w:position w:val="0"/>
            <w:sz w:val="20"/>
            <w:u w:val="single"/>
            <w:vertAlign w:val="baseline"/>
          </w:rPr>
          <w:t>42 U.S.C. 1302</w:t>
        </w:r>
      </w:hyperlink>
      <w:r>
        <w:rPr>
          <w:rFonts w:ascii="arial" w:eastAsia="arial" w:hAnsi="arial" w:cs="arial"/>
          <w:b w:val="0"/>
          <w:i w:val="0"/>
          <w:strike w:val="0"/>
          <w:noProof w:val="0"/>
          <w:color w:val="000000"/>
          <w:position w:val="0"/>
          <w:sz w:val="20"/>
          <w:u w:val="none"/>
          <w:vertAlign w:val="baseline"/>
        </w:rPr>
        <w:t xml:space="preserve">, </w:t>
      </w:r>
      <w:hyperlink r:id="rId145" w:history="1">
        <w:r>
          <w:rPr>
            <w:rFonts w:ascii="arial" w:eastAsia="arial" w:hAnsi="arial" w:cs="arial"/>
            <w:b w:val="0"/>
            <w:i/>
            <w:strike w:val="0"/>
            <w:noProof w:val="0"/>
            <w:color w:val="0077CC"/>
            <w:position w:val="0"/>
            <w:sz w:val="20"/>
            <w:u w:val="single"/>
            <w:vertAlign w:val="baseline"/>
          </w:rPr>
          <w:t>1315(a)</w:t>
        </w:r>
      </w:hyperlink>
      <w:r>
        <w:rPr>
          <w:rFonts w:ascii="arial" w:eastAsia="arial" w:hAnsi="arial" w:cs="arial"/>
          <w:b w:val="0"/>
          <w:i w:val="0"/>
          <w:strike w:val="0"/>
          <w:noProof w:val="0"/>
          <w:color w:val="000000"/>
          <w:position w:val="0"/>
          <w:sz w:val="20"/>
          <w:u w:val="none"/>
          <w:vertAlign w:val="baseline"/>
        </w:rPr>
        <w:t xml:space="preserve">, and </w:t>
      </w:r>
      <w:hyperlink r:id="rId146" w:history="1">
        <w:r>
          <w:rPr>
            <w:rFonts w:ascii="arial" w:eastAsia="arial" w:hAnsi="arial" w:cs="arial"/>
            <w:b w:val="0"/>
            <w:i/>
            <w:strike w:val="0"/>
            <w:noProof w:val="0"/>
            <w:color w:val="0077CC"/>
            <w:position w:val="0"/>
            <w:sz w:val="20"/>
            <w:u w:val="single"/>
            <w:vertAlign w:val="baseline"/>
          </w:rPr>
          <w:t>1395hh</w:t>
        </w:r>
      </w:hyperlink>
      <w:r>
        <w:rPr>
          <w:rFonts w:ascii="arial" w:eastAsia="arial" w:hAnsi="arial" w:cs="arial"/>
          <w:b w:val="0"/>
          <w:i w:val="0"/>
          <w:strike w:val="0"/>
          <w:noProof w:val="0"/>
          <w:color w:val="000000"/>
          <w:position w:val="0"/>
          <w:sz w:val="20"/>
          <w:u w:val="none"/>
          <w:vertAlign w:val="baseline"/>
        </w:rPr>
        <w:t>).</w:t>
      </w:r>
    </w:p>
    <w:p>
      <w:pPr>
        <w:keepNext w:val="0"/>
        <w:numPr>
          <w:numId w:val="9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510.2 is amended by--</w:t>
      </w:r>
    </w:p>
    <w:p>
      <w:pPr>
        <w:keepNext w:val="0"/>
        <w:numPr>
          <w:numId w:val="9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in alphabetical order definitions for "Applicable discount factor", "Area", "CEHRT", "CJR beneficiary," and "Episode benchmark price";</w:t>
      </w:r>
    </w:p>
    <w:p>
      <w:pPr>
        <w:keepNext w:val="0"/>
        <w:numPr>
          <w:numId w:val="9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the definition of "Episode target price";</w:t>
      </w:r>
    </w:p>
    <w:p>
      <w:pPr>
        <w:keepNext w:val="0"/>
        <w:numPr>
          <w:numId w:val="9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definitions of "HCPCS", "HHA", and "Historical episode payment";</w:t>
      </w:r>
    </w:p>
    <w:p>
      <w:pPr>
        <w:keepNext w:val="0"/>
        <w:numPr>
          <w:numId w:val="9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in alphabetical order a definition for "Hospital";</w:t>
      </w:r>
    </w:p>
    <w:p>
      <w:pPr>
        <w:keepNext w:val="0"/>
        <w:numPr>
          <w:numId w:val="9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the definition of "IPPS hospital (or hospital)";</w:t>
      </w:r>
    </w:p>
    <w:p>
      <w:pPr>
        <w:keepNext w:val="0"/>
        <w:numPr>
          <w:numId w:val="9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in alphabetical order a definition for "Quality-adjusted target price";</w:t>
      </w:r>
    </w:p>
    <w:p>
      <w:pPr>
        <w:keepNext w:val="0"/>
        <w:numPr>
          <w:numId w:val="9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definition of "Quality improvement points"; and</w:t>
      </w:r>
    </w:p>
    <w:p>
      <w:pPr>
        <w:keepNext w:val="0"/>
        <w:numPr>
          <w:numId w:val="9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in alphabetical order a definition of "Therapist in private practice".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additions and revisions read as follows:</w:t>
      </w:r>
    </w:p>
    <w:p>
      <w:pPr>
        <w:numPr>
          <w:numId w:val="930"/>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Applicable discount factor</w:t>
      </w:r>
      <w:r>
        <w:rPr>
          <w:rFonts w:ascii="arial" w:eastAsia="arial" w:hAnsi="arial" w:cs="arial"/>
          <w:b w:val="0"/>
          <w:i w:val="0"/>
          <w:strike w:val="0"/>
          <w:noProof w:val="0"/>
          <w:color w:val="000000"/>
          <w:position w:val="0"/>
          <w:sz w:val="20"/>
          <w:u w:val="none"/>
          <w:vertAlign w:val="baseline"/>
        </w:rPr>
        <w:t xml:space="preserve"> means the discount percentage established by the participant hospital's quality category as determined in § 510.315 and that is applied to the episode benchmark price for purposes of determining a participant hospital's Medicare repayment in performance years 2 and 3.</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Area</w:t>
      </w:r>
      <w:r>
        <w:rPr>
          <w:rFonts w:ascii="arial" w:eastAsia="arial" w:hAnsi="arial" w:cs="arial"/>
          <w:b w:val="0"/>
          <w:i w:val="0"/>
          <w:strike w:val="0"/>
          <w:noProof w:val="0"/>
          <w:color w:val="000000"/>
          <w:position w:val="0"/>
          <w:sz w:val="20"/>
          <w:u w:val="none"/>
          <w:vertAlign w:val="baseline"/>
        </w:rPr>
        <w:t xml:space="preserve"> means, as defined in § 400.200 of this chapter, the geographical area within the boundaries of a State, or a State or other jurisdiction, designated as constituting an area with respect to which a Professional Standards Review Organization or a Utilization and Quality Control Peer Review Organization has been or may be designated.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CEHRT</w:t>
      </w:r>
      <w:r>
        <w:rPr>
          <w:rFonts w:ascii="arial" w:eastAsia="arial" w:hAnsi="arial" w:cs="arial"/>
          <w:b w:val="0"/>
          <w:i w:val="0"/>
          <w:strike w:val="0"/>
          <w:noProof w:val="0"/>
          <w:color w:val="000000"/>
          <w:position w:val="0"/>
          <w:sz w:val="20"/>
          <w:u w:val="none"/>
          <w:vertAlign w:val="baseline"/>
        </w:rPr>
        <w:t xml:space="preserve"> means certified electronic health record technology that meets the requirements of </w:t>
      </w:r>
      <w:hyperlink r:id="rId147" w:history="1">
        <w:r>
          <w:rPr>
            <w:rFonts w:ascii="arial" w:eastAsia="arial" w:hAnsi="arial" w:cs="arial"/>
            <w:b w:val="0"/>
            <w:i/>
            <w:strike w:val="0"/>
            <w:noProof w:val="0"/>
            <w:color w:val="0077CC"/>
            <w:position w:val="0"/>
            <w:sz w:val="20"/>
            <w:u w:val="single"/>
            <w:vertAlign w:val="baseline"/>
          </w:rPr>
          <w:t>45 CFR 170.102</w:t>
        </w:r>
      </w:hyperlink>
      <w:r>
        <w:rPr>
          <w:rFonts w:ascii="arial" w:eastAsia="arial" w:hAnsi="arial" w:cs="arial"/>
          <w:b w:val="0"/>
          <w:i w:val="0"/>
          <w:strike w:val="0"/>
          <w:noProof w:val="0"/>
          <w:color w:val="000000"/>
          <w:position w:val="0"/>
          <w:sz w:val="20"/>
          <w:u w:val="none"/>
          <w:vertAlign w:val="baseline"/>
        </w:rPr>
        <w:t>.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CJR beneficiary</w:t>
      </w:r>
      <w:r>
        <w:rPr>
          <w:rFonts w:ascii="arial" w:eastAsia="arial" w:hAnsi="arial" w:cs="arial"/>
          <w:b w:val="0"/>
          <w:i w:val="0"/>
          <w:strike w:val="0"/>
          <w:noProof w:val="0"/>
          <w:color w:val="000000"/>
          <w:position w:val="0"/>
          <w:sz w:val="20"/>
          <w:u w:val="none"/>
          <w:vertAlign w:val="baseline"/>
        </w:rPr>
        <w:t xml:space="preserve"> means a beneficiary who meets the beneficiary inclusion criteria in § 510.205 and who is in a CJR episode.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Episode benchmark price</w:t>
      </w:r>
      <w:r>
        <w:rPr>
          <w:rFonts w:ascii="arial" w:eastAsia="arial" w:hAnsi="arial" w:cs="arial"/>
          <w:b w:val="0"/>
          <w:i w:val="0"/>
          <w:strike w:val="0"/>
          <w:noProof w:val="0"/>
          <w:color w:val="000000"/>
          <w:position w:val="0"/>
          <w:sz w:val="20"/>
          <w:u w:val="none"/>
          <w:vertAlign w:val="baseline"/>
        </w:rPr>
        <w:t xml:space="preserve"> means a dollar amount assigned to CJR episodes based on historical episode payment data (3 years of historical Medicare payment data grouped into CJR episodes according to the episode definition as described in § 510.200(b)) prior to the application of the effective discount factor or applicable discount factor, as described in § 510.300(c).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HCPCS</w:t>
      </w:r>
      <w:r>
        <w:rPr>
          <w:rFonts w:ascii="arial" w:eastAsia="arial" w:hAnsi="arial" w:cs="arial"/>
          <w:b w:val="0"/>
          <w:i w:val="0"/>
          <w:strike w:val="0"/>
          <w:noProof w:val="0"/>
          <w:color w:val="000000"/>
          <w:position w:val="0"/>
          <w:sz w:val="20"/>
          <w:u w:val="none"/>
          <w:vertAlign w:val="baseline"/>
        </w:rPr>
        <w:t xml:space="preserve"> stands for Healthcare Common Procedure Coding System.</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HHA means a Medicare-enrolled home health agency.</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Historical episode payment</w:t>
      </w:r>
      <w:r>
        <w:rPr>
          <w:rFonts w:ascii="arial" w:eastAsia="arial" w:hAnsi="arial" w:cs="arial"/>
          <w:b w:val="0"/>
          <w:i w:val="0"/>
          <w:strike w:val="0"/>
          <w:noProof w:val="0"/>
          <w:color w:val="000000"/>
          <w:position w:val="0"/>
          <w:sz w:val="20"/>
          <w:u w:val="none"/>
          <w:vertAlign w:val="baseline"/>
        </w:rPr>
        <w:t xml:space="preserve"> means the expenditures for historical episodes that occurred during the historical period used to determine the episode benchmark price.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Hospital</w:t>
      </w:r>
      <w:r>
        <w:rPr>
          <w:rFonts w:ascii="arial" w:eastAsia="arial" w:hAnsi="arial" w:cs="arial"/>
          <w:b w:val="0"/>
          <w:i w:val="0"/>
          <w:strike w:val="0"/>
          <w:noProof w:val="0"/>
          <w:color w:val="000000"/>
          <w:position w:val="0"/>
          <w:sz w:val="20"/>
          <w:u w:val="none"/>
          <w:vertAlign w:val="baseline"/>
        </w:rPr>
        <w:t xml:space="preserve"> means a provider subject to the prospective payment system specified in § 412.1(a)(1)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 </w:t>
      </w:r>
      <w:r>
        <w:rPr>
          <w:rFonts w:ascii="arial" w:eastAsia="arial" w:hAnsi="arial" w:cs="arial"/>
          <w:b/>
          <w:i w:val="0"/>
          <w:strike w:val="0"/>
          <w:noProof w:val="0"/>
          <w:color w:val="000000"/>
          <w:position w:val="0"/>
          <w:sz w:val="20"/>
          <w:u w:val="none"/>
          <w:vertAlign w:val="baseline"/>
        </w:rPr>
        <w:t> [*611]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Quality-adjusted target price</w:t>
      </w:r>
      <w:r>
        <w:rPr>
          <w:rFonts w:ascii="arial" w:eastAsia="arial" w:hAnsi="arial" w:cs="arial"/>
          <w:b w:val="0"/>
          <w:i w:val="0"/>
          <w:strike w:val="0"/>
          <w:noProof w:val="0"/>
          <w:color w:val="000000"/>
          <w:position w:val="0"/>
          <w:sz w:val="20"/>
          <w:u w:val="none"/>
          <w:vertAlign w:val="baseline"/>
        </w:rPr>
        <w:t xml:space="preserve"> means the dollar amount assigned to CJR episodes as the result of adjusting the episode benchmark price by the participant hospital's effective discount factor or applicable discount factor based on the participant hospital's quality category, as described in §§ 510.300(c) and 510.315(f).</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Quality improvement points</w:t>
      </w:r>
      <w:r>
        <w:rPr>
          <w:rFonts w:ascii="arial" w:eastAsia="arial" w:hAnsi="arial" w:cs="arial"/>
          <w:b w:val="0"/>
          <w:i w:val="0"/>
          <w:strike w:val="0"/>
          <w:noProof w:val="0"/>
          <w:color w:val="000000"/>
          <w:position w:val="0"/>
          <w:sz w:val="20"/>
          <w:u w:val="none"/>
          <w:vertAlign w:val="baseline"/>
        </w:rPr>
        <w:t xml:space="preserve"> are points that CMS adds to a participant hospital's composite quality score for a measure if the hospital's performance percentile on an individual quality measure for performance years 2 through 5 increases from the previous performance year by at least 2 deciles on the performance percentile scale, as described in § 510.315(d). For performance year 1, CMS adds quality improvement points to a participant hospital's composite quality score for a measure if the hospital's performance percentile on an individual quality measure increases from the corresponding time period in the previous year by at least 2 deciles on the performance percentile scale, as described in § 510.315(d).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Therapist in private practice</w:t>
      </w:r>
      <w:r>
        <w:rPr>
          <w:rFonts w:ascii="arial" w:eastAsia="arial" w:hAnsi="arial" w:cs="arial"/>
          <w:b w:val="0"/>
          <w:i w:val="0"/>
          <w:strike w:val="0"/>
          <w:noProof w:val="0"/>
          <w:color w:val="000000"/>
          <w:position w:val="0"/>
          <w:sz w:val="20"/>
          <w:u w:val="none"/>
          <w:vertAlign w:val="baseline"/>
        </w:rPr>
        <w:t xml:space="preserve"> means a therapist that--</w:t>
      </w:r>
    </w:p>
    <w:p>
      <w:pPr>
        <w:keepNext w:val="0"/>
        <w:numPr>
          <w:numId w:val="9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Complies with the special provisions for physical therapists in private practice in § 410.60(c) of this chapter;</w:t>
      </w:r>
    </w:p>
    <w:p>
      <w:pPr>
        <w:keepNext w:val="0"/>
        <w:numPr>
          <w:numId w:val="9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Complies with the special provisions for occupational therapists in private practice in § 410.59(c) of this chapter; or</w:t>
      </w:r>
    </w:p>
    <w:p>
      <w:pPr>
        <w:keepNext w:val="0"/>
        <w:numPr>
          <w:numId w:val="9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Complies with the special provisions for speech-language pathologists in private practice in § 410.62(c) of this chapter.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510.2 is further amended, effective July 1, 2017, by--</w:t>
      </w:r>
    </w:p>
    <w:p>
      <w:pPr>
        <w:keepNext w:val="0"/>
        <w:numPr>
          <w:numId w:val="9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definition of "ACO";</w:t>
      </w:r>
    </w:p>
    <w:p>
      <w:pPr>
        <w:keepNext w:val="0"/>
        <w:numPr>
          <w:numId w:val="9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in alphabetical order definitions for "ACO participant" and "ACO provider/supplier";</w:t>
      </w:r>
    </w:p>
    <w:p>
      <w:pPr>
        <w:keepNext w:val="0"/>
        <w:numPr>
          <w:numId w:val="9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definition for "Alignment payment";</w:t>
      </w:r>
    </w:p>
    <w:p>
      <w:pPr>
        <w:keepNext w:val="0"/>
        <w:numPr>
          <w:numId w:val="9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definition of "CJR collaborator";</w:t>
      </w:r>
    </w:p>
    <w:p>
      <w:pPr>
        <w:keepNext w:val="0"/>
        <w:numPr>
          <w:numId w:val="9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in alphabetical order a definition for "Collaboration agent";</w:t>
      </w:r>
    </w:p>
    <w:p>
      <w:pPr>
        <w:keepNext w:val="0"/>
        <w:numPr>
          <w:numId w:val="9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the definition of "Collaborator agreement";</w:t>
      </w:r>
    </w:p>
    <w:p>
      <w:pPr>
        <w:keepNext w:val="0"/>
        <w:numPr>
          <w:numId w:val="9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in alphabetical order a definition for "CORF";</w:t>
      </w:r>
    </w:p>
    <w:p>
      <w:pPr>
        <w:keepNext w:val="0"/>
        <w:numPr>
          <w:numId w:val="9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definitions of "Distribution arrangement" and "Distribution payment";</w:t>
      </w:r>
    </w:p>
    <w:p>
      <w:pPr>
        <w:keepNext w:val="0"/>
        <w:numPr>
          <w:numId w:val="9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in alphabetical order definitions for "Downstream collaboration agent", "Downstream distribution arrangement", "Downstream distribution payment",</w:t>
      </w:r>
    </w:p>
    <w:p>
      <w:pPr>
        <w:keepNext w:val="0"/>
        <w:numPr>
          <w:numId w:val="9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in alphabetical order definitions for "Member of the NPPGP or NPPGP member", "Member of the TGP or TGP member", and "NPPGP";</w:t>
      </w:r>
    </w:p>
    <w:p>
      <w:pPr>
        <w:keepNext w:val="0"/>
        <w:numPr>
          <w:numId w:val="9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the definition of "Practice collaboration agent";</w:t>
      </w:r>
    </w:p>
    <w:p>
      <w:pPr>
        <w:keepNext w:val="0"/>
        <w:numPr>
          <w:numId w:val="9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definition of "Provider of outpatient therapy services";</w:t>
      </w:r>
    </w:p>
    <w:p>
      <w:pPr>
        <w:keepNext w:val="0"/>
        <w:numPr>
          <w:numId w:val="9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in alphabetical order definitions of "TGP"; and</w:t>
      </w:r>
    </w:p>
    <w:p>
      <w:pPr>
        <w:keepNext w:val="0"/>
        <w:numPr>
          <w:numId w:val="9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definition of "Therapist" by removing the phrase "the following as defined at § 484.4:" and adding in its place the phrase "the following individuals as defined at § 484.4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additions and revisions read as follows:</w:t>
      </w:r>
    </w:p>
    <w:p>
      <w:pPr>
        <w:numPr>
          <w:numId w:val="933"/>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ACO</w:t>
      </w:r>
      <w:r>
        <w:rPr>
          <w:rFonts w:ascii="arial" w:eastAsia="arial" w:hAnsi="arial" w:cs="arial"/>
          <w:b w:val="0"/>
          <w:i w:val="0"/>
          <w:strike w:val="0"/>
          <w:noProof w:val="0"/>
          <w:color w:val="000000"/>
          <w:position w:val="0"/>
          <w:sz w:val="20"/>
          <w:u w:val="none"/>
          <w:vertAlign w:val="baseline"/>
        </w:rPr>
        <w:t xml:space="preserve"> means an accountable care organization, as defined at § 425.20 of this chapter, that participates in the Shared Savings Program and is not in Track 3.</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ACO participant</w:t>
      </w:r>
      <w:r>
        <w:rPr>
          <w:rFonts w:ascii="arial" w:eastAsia="arial" w:hAnsi="arial" w:cs="arial"/>
          <w:b w:val="0"/>
          <w:i w:val="0"/>
          <w:strike w:val="0"/>
          <w:noProof w:val="0"/>
          <w:color w:val="000000"/>
          <w:position w:val="0"/>
          <w:sz w:val="20"/>
          <w:u w:val="none"/>
          <w:vertAlign w:val="baseline"/>
        </w:rPr>
        <w:t xml:space="preserve"> has the meaning set forth in § 425.20 of this chapter.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ACO provider/supplier</w:t>
      </w:r>
      <w:r>
        <w:rPr>
          <w:rFonts w:ascii="arial" w:eastAsia="arial" w:hAnsi="arial" w:cs="arial"/>
          <w:b w:val="0"/>
          <w:i w:val="0"/>
          <w:strike w:val="0"/>
          <w:noProof w:val="0"/>
          <w:color w:val="000000"/>
          <w:position w:val="0"/>
          <w:sz w:val="20"/>
          <w:u w:val="none"/>
          <w:vertAlign w:val="baseline"/>
        </w:rPr>
        <w:t xml:space="preserve"> has the meaning set forth in § 425.20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Alignment payment</w:t>
      </w:r>
      <w:r>
        <w:rPr>
          <w:rFonts w:ascii="arial" w:eastAsia="arial" w:hAnsi="arial" w:cs="arial"/>
          <w:b w:val="0"/>
          <w:i w:val="0"/>
          <w:strike w:val="0"/>
          <w:noProof w:val="0"/>
          <w:color w:val="000000"/>
          <w:position w:val="0"/>
          <w:sz w:val="20"/>
          <w:u w:val="none"/>
          <w:vertAlign w:val="baseline"/>
        </w:rPr>
        <w:t xml:space="preserve"> means a payment from a CJR collaborator to a participant hospital under a sharing arrangement, for the sole purpose of sharing the participant hospital's responsibility for making repayments to Medicare.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CJR activities</w:t>
      </w:r>
      <w:r>
        <w:rPr>
          <w:rFonts w:ascii="arial" w:eastAsia="arial" w:hAnsi="arial" w:cs="arial"/>
          <w:b w:val="0"/>
          <w:i w:val="0"/>
          <w:strike w:val="0"/>
          <w:noProof w:val="0"/>
          <w:color w:val="000000"/>
          <w:position w:val="0"/>
          <w:sz w:val="20"/>
          <w:u w:val="none"/>
          <w:vertAlign w:val="baseline"/>
        </w:rPr>
        <w:t xml:space="preserve"> means activities related to promoting accountability for the quality, cost, and overall care for CJR beneficiaries, including managing and coordinating care; encouraging investment in infrastructure enabling technologies and redesigned care processes for high quality and efficient service delivery; the provision of items and services during a CJR episode in a manner that reduces costs and improves quality; or carrying out any other obligation or duty under CJR.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CJR collaborator</w:t>
      </w:r>
      <w:r>
        <w:rPr>
          <w:rFonts w:ascii="arial" w:eastAsia="arial" w:hAnsi="arial" w:cs="arial"/>
          <w:b w:val="0"/>
          <w:i w:val="0"/>
          <w:strike w:val="0"/>
          <w:noProof w:val="0"/>
          <w:color w:val="000000"/>
          <w:position w:val="0"/>
          <w:sz w:val="20"/>
          <w:u w:val="none"/>
          <w:vertAlign w:val="baseline"/>
        </w:rPr>
        <w:t xml:space="preserve"> means an ACO or one of the following Medicare-enrolled individuals or entities that enters into a sharing arrangement:</w:t>
      </w:r>
    </w:p>
    <w:p>
      <w:pPr>
        <w:keepNext w:val="0"/>
        <w:numPr>
          <w:numId w:val="9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SNF.</w:t>
      </w:r>
    </w:p>
    <w:p>
      <w:pPr>
        <w:keepNext w:val="0"/>
        <w:numPr>
          <w:numId w:val="9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HHA.</w:t>
      </w:r>
    </w:p>
    <w:p>
      <w:pPr>
        <w:keepNext w:val="0"/>
        <w:numPr>
          <w:numId w:val="9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LTCH.</w:t>
      </w:r>
    </w:p>
    <w:p>
      <w:pPr>
        <w:keepNext w:val="0"/>
        <w:numPr>
          <w:numId w:val="9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IRF.</w:t>
      </w:r>
    </w:p>
    <w:p>
      <w:pPr>
        <w:keepNext w:val="0"/>
        <w:numPr>
          <w:numId w:val="9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w:t>
      </w:r>
    </w:p>
    <w:p>
      <w:pPr>
        <w:keepNext w:val="0"/>
        <w:numPr>
          <w:numId w:val="9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Nonphysician practitioner.</w:t>
      </w:r>
    </w:p>
    <w:p>
      <w:pPr>
        <w:keepNext w:val="0"/>
        <w:numPr>
          <w:numId w:val="9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Therapist in private practice.</w:t>
      </w:r>
    </w:p>
    <w:p>
      <w:pPr>
        <w:keepNext w:val="0"/>
        <w:numPr>
          <w:numId w:val="9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CORF.</w:t>
      </w:r>
    </w:p>
    <w:p>
      <w:pPr>
        <w:keepNext w:val="0"/>
        <w:numPr>
          <w:numId w:val="9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 of outpatient therapy services.</w:t>
      </w:r>
    </w:p>
    <w:p>
      <w:pPr>
        <w:keepNext w:val="0"/>
        <w:numPr>
          <w:numId w:val="9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 Group Practice (PGP).</w:t>
      </w:r>
    </w:p>
    <w:p>
      <w:pPr>
        <w:keepNext w:val="0"/>
        <w:numPr>
          <w:numId w:val="9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w:t>
      </w:r>
    </w:p>
    <w:p>
      <w:pPr>
        <w:keepNext w:val="0"/>
        <w:numPr>
          <w:numId w:val="9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CAH.</w:t>
      </w:r>
    </w:p>
    <w:p>
      <w:pPr>
        <w:keepNext w:val="0"/>
        <w:numPr>
          <w:numId w:val="9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Non-Physician Provider Group Practice (NPPGP).</w:t>
      </w:r>
    </w:p>
    <w:p>
      <w:pPr>
        <w:keepNext w:val="0"/>
        <w:numPr>
          <w:numId w:val="9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Therapy Group Practice (TGP).</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Collaboration agent</w:t>
      </w:r>
      <w:r>
        <w:rPr>
          <w:rFonts w:ascii="arial" w:eastAsia="arial" w:hAnsi="arial" w:cs="arial"/>
          <w:b w:val="0"/>
          <w:i w:val="0"/>
          <w:strike w:val="0"/>
          <w:noProof w:val="0"/>
          <w:color w:val="000000"/>
          <w:position w:val="0"/>
          <w:sz w:val="20"/>
          <w:u w:val="none"/>
          <w:vertAlign w:val="baseline"/>
        </w:rPr>
        <w:t xml:space="preserve"> means an individual or entity that is not a CJR collaborator and that is either of the following:</w:t>
      </w:r>
    </w:p>
    <w:p>
      <w:pPr>
        <w:keepNext w:val="0"/>
        <w:numPr>
          <w:numId w:val="9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member of a PGP, NPPGP, or TGP that has entered into a distribution arrangement with the same PGP, NPPGP, or TGP in which he or she is an owner or employee, and where the PGP, NPPGP, or TGP is a CJR collaborator.</w:t>
      </w:r>
    </w:p>
    <w:p>
      <w:pPr>
        <w:keepNext w:val="0"/>
        <w:numPr>
          <w:numId w:val="9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ACO participant or ACO provider/supplier that has entered into a distribution arrangement with the same ACO in which it is participating, and where the ACO is a CJR collaborator.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CORF</w:t>
      </w:r>
      <w:r>
        <w:rPr>
          <w:rFonts w:ascii="arial" w:eastAsia="arial" w:hAnsi="arial" w:cs="arial"/>
          <w:b w:val="0"/>
          <w:i w:val="0"/>
          <w:strike w:val="0"/>
          <w:noProof w:val="0"/>
          <w:color w:val="000000"/>
          <w:position w:val="0"/>
          <w:sz w:val="20"/>
          <w:u w:val="none"/>
          <w:vertAlign w:val="baseline"/>
        </w:rPr>
        <w:t xml:space="preserve"> stands for comprehensive outpatient rehabilitation facility.</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Distribution arrangement</w:t>
      </w:r>
      <w:r>
        <w:rPr>
          <w:rFonts w:ascii="arial" w:eastAsia="arial" w:hAnsi="arial" w:cs="arial"/>
          <w:b w:val="0"/>
          <w:i w:val="0"/>
          <w:strike w:val="0"/>
          <w:noProof w:val="0"/>
          <w:color w:val="000000"/>
          <w:position w:val="0"/>
          <w:sz w:val="20"/>
          <w:u w:val="none"/>
          <w:vertAlign w:val="baseline"/>
        </w:rPr>
        <w:t xml:space="preserve"> means a financial arrangement between a CJR collaborator that is an ACO, PGP, NPPGP, or TGP and a collaboration agent for the sole purpose of distributing some or all of a gainsharing payment received by the ACO, PGP, NPPGP, or TGP.</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Distribution payment</w:t>
      </w:r>
      <w:r>
        <w:rPr>
          <w:rFonts w:ascii="arial" w:eastAsia="arial" w:hAnsi="arial" w:cs="arial"/>
          <w:b w:val="0"/>
          <w:i w:val="0"/>
          <w:strike w:val="0"/>
          <w:noProof w:val="0"/>
          <w:color w:val="000000"/>
          <w:position w:val="0"/>
          <w:sz w:val="20"/>
          <w:u w:val="none"/>
          <w:vertAlign w:val="baseline"/>
        </w:rPr>
        <w:t xml:space="preserve"> means a payment from a CJR collaborator that is an ACO, PGP, NPPGP, or TGP to a collaboration agent, under a distribution arrangement, composed only of gainsharing payments.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Downstream collaboration agent</w:t>
      </w:r>
      <w:r>
        <w:rPr>
          <w:rFonts w:ascii="arial" w:eastAsia="arial" w:hAnsi="arial" w:cs="arial"/>
          <w:b w:val="0"/>
          <w:i w:val="0"/>
          <w:strike w:val="0"/>
          <w:noProof w:val="0"/>
          <w:color w:val="000000"/>
          <w:position w:val="0"/>
          <w:sz w:val="20"/>
          <w:u w:val="none"/>
          <w:vertAlign w:val="baseline"/>
        </w:rPr>
        <w:t xml:space="preserve"> means an individual who is not a CJR collaborator or a collaboration agent and who is a PGP member, an NPPGP member, or a TGP member that has entered into a downstream distribution arrangement with the same PGP, NPPGP, or TGP in which he or she is an owner or employee, and where the PGP, NPPGP, or TGP is a collaboration agent.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Downstream distribution arrangement</w:t>
      </w:r>
      <w:r>
        <w:rPr>
          <w:rFonts w:ascii="arial" w:eastAsia="arial" w:hAnsi="arial" w:cs="arial"/>
          <w:b w:val="0"/>
          <w:i w:val="0"/>
          <w:strike w:val="0"/>
          <w:noProof w:val="0"/>
          <w:color w:val="000000"/>
          <w:position w:val="0"/>
          <w:sz w:val="20"/>
          <w:u w:val="none"/>
          <w:vertAlign w:val="baseline"/>
        </w:rPr>
        <w:t xml:space="preserve"> means a financial arrangement between a collaboration agent that is both a PGP, NPPGP, or TGP and an ACO participant and a downstream collaboration agent for the sole purpose of distributing some or all of a distribution payment received by the PGP, NPPGP, or TGP.</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Downstream distribution payment</w:t>
      </w:r>
      <w:r>
        <w:rPr>
          <w:rFonts w:ascii="arial" w:eastAsia="arial" w:hAnsi="arial" w:cs="arial"/>
          <w:b w:val="0"/>
          <w:i w:val="0"/>
          <w:strike w:val="0"/>
          <w:noProof w:val="0"/>
          <w:color w:val="000000"/>
          <w:position w:val="0"/>
          <w:sz w:val="20"/>
          <w:u w:val="none"/>
          <w:vertAlign w:val="baseline"/>
        </w:rPr>
        <w:t xml:space="preserve"> means a payment from a collaboration agent that is both a PGP, NPPGP, or TGP and an ACO participant to a downstream collaboration agent, under a downstream distribution arrangement, </w:t>
      </w:r>
      <w:r>
        <w:rPr>
          <w:rFonts w:ascii="arial" w:eastAsia="arial" w:hAnsi="arial" w:cs="arial"/>
          <w:b/>
          <w:i w:val="0"/>
          <w:strike w:val="0"/>
          <w:noProof w:val="0"/>
          <w:color w:val="000000"/>
          <w:position w:val="0"/>
          <w:sz w:val="20"/>
          <w:u w:val="none"/>
          <w:vertAlign w:val="baseline"/>
        </w:rPr>
        <w:t> [*612] </w:t>
      </w:r>
      <w:r>
        <w:rPr>
          <w:rFonts w:ascii="arial" w:eastAsia="arial" w:hAnsi="arial" w:cs="arial"/>
          <w:b w:val="0"/>
          <w:i w:val="0"/>
          <w:strike w:val="0"/>
          <w:noProof w:val="0"/>
          <w:color w:val="000000"/>
          <w:position w:val="0"/>
          <w:sz w:val="20"/>
          <w:u w:val="none"/>
          <w:vertAlign w:val="baseline"/>
        </w:rPr>
        <w:t xml:space="preserve"> composed only of distribution payments.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Member of the NPPGP</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NPPGP member</w:t>
      </w:r>
      <w:r>
        <w:rPr>
          <w:rFonts w:ascii="arial" w:eastAsia="arial" w:hAnsi="arial" w:cs="arial"/>
          <w:b w:val="0"/>
          <w:i w:val="0"/>
          <w:strike w:val="0"/>
          <w:noProof w:val="0"/>
          <w:color w:val="000000"/>
          <w:position w:val="0"/>
          <w:sz w:val="20"/>
          <w:u w:val="none"/>
          <w:vertAlign w:val="baseline"/>
        </w:rPr>
        <w:t xml:space="preserve"> means a nonphysician practitioner or therapist who is an owner or employee of an NPPGP and who has reassigned to the NPPGP his or her right to receive Medicare payment.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Member of the TGP</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TGP member</w:t>
      </w:r>
      <w:r>
        <w:rPr>
          <w:rFonts w:ascii="arial" w:eastAsia="arial" w:hAnsi="arial" w:cs="arial"/>
          <w:b w:val="0"/>
          <w:i w:val="0"/>
          <w:strike w:val="0"/>
          <w:noProof w:val="0"/>
          <w:color w:val="000000"/>
          <w:position w:val="0"/>
          <w:sz w:val="20"/>
          <w:u w:val="none"/>
          <w:vertAlign w:val="baseline"/>
        </w:rPr>
        <w:t xml:space="preserve"> means a therapist who is an owner or employee of a TGP and who has reassigned to the TGP his or her right to receive Medicare payment.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NPPGP</w:t>
      </w:r>
      <w:r>
        <w:rPr>
          <w:rFonts w:ascii="arial" w:eastAsia="arial" w:hAnsi="arial" w:cs="arial"/>
          <w:b w:val="0"/>
          <w:i w:val="0"/>
          <w:strike w:val="0"/>
          <w:noProof w:val="0"/>
          <w:color w:val="000000"/>
          <w:position w:val="0"/>
          <w:sz w:val="20"/>
          <w:u w:val="none"/>
          <w:vertAlign w:val="baseline"/>
        </w:rPr>
        <w:t xml:space="preserve"> means an entity that is enrolled in Medicare as a group practice, includes at least one owner or employee who is a nonphysician practitioner, does not include a physician owner or employee, and has a valid and active TIN.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Provider of outpatient therapy services</w:t>
      </w:r>
      <w:r>
        <w:rPr>
          <w:rFonts w:ascii="arial" w:eastAsia="arial" w:hAnsi="arial" w:cs="arial"/>
          <w:b w:val="0"/>
          <w:i w:val="0"/>
          <w:strike w:val="0"/>
          <w:noProof w:val="0"/>
          <w:color w:val="000000"/>
          <w:position w:val="0"/>
          <w:sz w:val="20"/>
          <w:u w:val="none"/>
          <w:vertAlign w:val="baseline"/>
        </w:rPr>
        <w:t xml:space="preserve"> means an entity that is enrolled in Medicare as a provider of therapy services and furnishes one or more of the following:</w:t>
      </w:r>
    </w:p>
    <w:p>
      <w:pPr>
        <w:keepNext w:val="0"/>
        <w:numPr>
          <w:numId w:val="9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Outpatient physical therapy services as defined in § 410.60 of this chapter.</w:t>
      </w:r>
    </w:p>
    <w:p>
      <w:pPr>
        <w:keepNext w:val="0"/>
        <w:numPr>
          <w:numId w:val="9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Outpatient occupational therapy services as defined in § 410.59 of this chapter.</w:t>
      </w:r>
    </w:p>
    <w:p>
      <w:pPr>
        <w:keepNext w:val="0"/>
        <w:numPr>
          <w:numId w:val="9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Outpatient speech-language pathology services as defined in § 410.62 of this chapter.</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TGP</w:t>
      </w:r>
      <w:r>
        <w:rPr>
          <w:rFonts w:ascii="arial" w:eastAsia="arial" w:hAnsi="arial" w:cs="arial"/>
          <w:b w:val="0"/>
          <w:i w:val="0"/>
          <w:strike w:val="0"/>
          <w:noProof w:val="0"/>
          <w:color w:val="000000"/>
          <w:position w:val="0"/>
          <w:sz w:val="20"/>
          <w:u w:val="none"/>
          <w:vertAlign w:val="baseline"/>
        </w:rPr>
        <w:t xml:space="preserve"> means an entity that is enrolled in Medicare as a therapy group in private practice, includes at least one owner or employee who is a therapist in private practice, does not include an owner or employee who is a physician or nonphysician practitioner, and has a valid and active TIN.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510.110 is added to subpart B, effective July 1, 2017, to read as follows:</w:t>
      </w:r>
    </w:p>
    <w:p>
      <w:pPr>
        <w:numPr>
          <w:numId w:val="942"/>
        </w:numPr>
        <w:spacing w:before="120" w:line="240" w:lineRule="atLeast"/>
      </w:pPr>
      <w:r>
        <w:rPr>
          <w:b/>
          <w:i w:val="0"/>
          <w:sz w:val="20"/>
        </w:rPr>
        <w:t>d retention.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Participant hospitals, CJR collaborators, collaboration agents, downstream collaboration agents, and any other individuals or entities performing CJR activities must do all of the following:</w:t>
      </w:r>
    </w:p>
    <w:p>
      <w:pPr>
        <w:keepNext w:val="0"/>
        <w:numPr>
          <w:numId w:val="9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Allow the Government, including CMS, OIG, HHS and the Comptroller General or their designees, scheduled and unscheduled access to all books, contracts, records, documents and other evidence (including data related to utilization and payments, quality criteria, billings, lists of CJR collaborators, sharing arrangements, distribution arrangements, downstream distribution arrangements and the documentation required under §§ 510.500(d) and 510.525(c)) sufficient to enable the audit, evaluation, inspection or investigation of any of the following:</w:t>
      </w:r>
    </w:p>
    <w:p>
      <w:pPr>
        <w:keepNext w:val="0"/>
        <w:numPr>
          <w:numId w:val="9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individual's or entity's compliance with CJR model requirements.</w:t>
      </w:r>
    </w:p>
    <w:p>
      <w:pPr>
        <w:keepNext w:val="0"/>
        <w:numPr>
          <w:numId w:val="9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calculation, distribution, receipt, or recoupment of gainsharing payments, alignment payments, distribution payments, and downstream distribution payments.</w:t>
      </w:r>
    </w:p>
    <w:p>
      <w:pPr>
        <w:keepNext w:val="0"/>
        <w:numPr>
          <w:numId w:val="9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obligation to repay any reconciliation payments owed to CMS.</w:t>
      </w:r>
    </w:p>
    <w:p>
      <w:pPr>
        <w:keepNext w:val="0"/>
        <w:numPr>
          <w:numId w:val="9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quality of the services furnished to a CJR beneficiary during a CJR episode.</w:t>
      </w:r>
    </w:p>
    <w:p>
      <w:pPr>
        <w:keepNext w:val="0"/>
        <w:numPr>
          <w:numId w:val="9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sufficiency of CJR beneficiary notifications.</w:t>
      </w:r>
    </w:p>
    <w:p>
      <w:pPr>
        <w:keepNext w:val="0"/>
        <w:numPr>
          <w:numId w:val="9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accuracy of the CJR participant hospital's submissions under CEHRT use requirements.</w:t>
      </w:r>
    </w:p>
    <w:p>
      <w:pPr>
        <w:keepNext w:val="0"/>
        <w:numPr>
          <w:numId w:val="9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all such books, contracts, records, documents, and other evidence for a period of 10 years from the last day of the participant hospital's participation in the CJR model or from the date of completion of any audit, evaluation, inspection, or investigation, whichever is later, unless--</w:t>
      </w:r>
    </w:p>
    <w:p>
      <w:pPr>
        <w:keepNext w:val="0"/>
        <w:numPr>
          <w:numId w:val="9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determines a particular record or group of records should be retained for a longer period and notifies the participant hospital at least 30 calendar days before the disposition date; or</w:t>
      </w:r>
    </w:p>
    <w:p>
      <w:pPr>
        <w:keepNext w:val="0"/>
        <w:numPr>
          <w:numId w:val="9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has been a dispute or allegation of fraud or similar fault against the participant hospital, CJR collaborator, collaboration agents, downstream collaboration agent, or any other individual or entity performing CJR activities in which case the records must be maintained for 6 years from the date of any resulting final resolution of the dispute or allegation of fraud or similar fault.</w:t>
      </w:r>
    </w:p>
    <w:p>
      <w:pPr>
        <w:keepNext w:val="0"/>
        <w:numPr>
          <w:numId w:val="9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510.120 is added to subpart B to read as follows:</w:t>
      </w:r>
    </w:p>
    <w:p>
      <w:pPr>
        <w:numPr>
          <w:numId w:val="946"/>
        </w:numPr>
        <w:spacing w:before="120" w:line="240" w:lineRule="atLeast"/>
      </w:pPr>
      <w:r>
        <w:rPr>
          <w:b/>
          <w:i w:val="0"/>
          <w:sz w:val="20"/>
        </w:rPr>
        <w:t>ital CEHRT track requirements.</w:t>
      </w:r>
    </w:p>
    <w:p>
      <w:pPr>
        <w:keepNext w:val="0"/>
        <w:numPr>
          <w:numId w:val="9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years 2 through 5, CJR participant hospitals choose either of the following:</w:t>
      </w:r>
    </w:p>
    <w:p>
      <w:pPr>
        <w:keepNext w:val="0"/>
        <w:numPr>
          <w:numId w:val="9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attest in a form and manner specified by CMS to their use of CEHRT as defined in § 414.1305 of this chapter to document and communicate clinical care with patients and other health professionals.</w:t>
      </w:r>
    </w:p>
    <w:p>
      <w:pPr>
        <w:keepNext w:val="0"/>
        <w:numPr>
          <w:numId w:val="9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do not attest in a form and manner specified by CMS to their use of CEHRT as defined in § 414.1305 of this chapter to document and communicate clinical care with patients and other health professionals.</w:t>
      </w:r>
    </w:p>
    <w:p>
      <w:pPr>
        <w:keepNext w:val="0"/>
        <w:numPr>
          <w:numId w:val="950"/>
        </w:numPr>
        <w:spacing w:before="120" w:after="0" w:line="260" w:lineRule="atLeast"/>
        <w:ind w:right="0"/>
        <w:jc w:val="both"/>
      </w:pPr>
      <w:r>
        <w:rPr>
          <w:b/>
          <w:i/>
          <w:sz w:val="20"/>
        </w:rPr>
        <w:t>ements list.</w:t>
      </w:r>
      <w:r>
        <w:rPr>
          <w:rFonts w:ascii="arial" w:eastAsia="arial" w:hAnsi="arial" w:cs="arial"/>
          <w:b w:val="0"/>
          <w:i w:val="0"/>
          <w:strike w:val="0"/>
          <w:noProof w:val="0"/>
          <w:color w:val="000000"/>
          <w:position w:val="0"/>
          <w:sz w:val="20"/>
          <w:u w:val="none"/>
          <w:vertAlign w:val="baseline"/>
        </w:rPr>
        <w:t>Each participant hospital that chooses CEHRT use as provided in paragraph (a)(1) of this section must submit to CMS a clinician financial arrangements list in a form and manner specified by CMS on a no more than quarterly basis. The list must include the following information on individuals and entities for the period of the CJR performance year specified by CMS:</w:t>
      </w:r>
    </w:p>
    <w:p>
      <w:pPr>
        <w:keepNext w:val="0"/>
        <w:numPr>
          <w:numId w:val="9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physician, nonphysician practitioner, or therapist in private practice who is a CJR collaborator during the period of the CJR performance year specified by CMS:</w:t>
      </w:r>
    </w:p>
    <w:p>
      <w:pPr>
        <w:keepNext w:val="0"/>
        <w:numPr>
          <w:numId w:val="9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TIN, and NPI of the CJR collaborator.</w:t>
      </w:r>
    </w:p>
    <w:p>
      <w:pPr>
        <w:keepNext w:val="0"/>
        <w:numPr>
          <w:numId w:val="9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start date and, if applicable, end date, for the sharing arrangement between the CJR participant hospital and the CJR collaborator.</w:t>
      </w:r>
    </w:p>
    <w:p>
      <w:pPr>
        <w:keepNext w:val="0"/>
        <w:numPr>
          <w:numId w:val="954"/>
        </w:numPr>
        <w:spacing w:before="120" w:after="0" w:line="260" w:lineRule="atLeast"/>
        <w:ind w:right="0"/>
        <w:jc w:val="both"/>
      </w:pPr>
      <w:r>
        <w:rPr>
          <w:b/>
          <w:i/>
          <w:sz w:val="20"/>
        </w:rPr>
        <w:t>nts.</w:t>
      </w:r>
      <w:r>
        <w:rPr>
          <w:rFonts w:ascii="arial" w:eastAsia="arial" w:hAnsi="arial" w:cs="arial"/>
          <w:b w:val="0"/>
          <w:i w:val="0"/>
          <w:strike w:val="0"/>
          <w:noProof w:val="0"/>
          <w:color w:val="000000"/>
          <w:position w:val="0"/>
          <w:sz w:val="20"/>
          <w:u w:val="none"/>
          <w:vertAlign w:val="baseline"/>
        </w:rPr>
        <w:t>For each physician, nonphysician practitioner, or therapist who is a practice collaboration agent during the period of the CJR performance year specified by CMS:</w:t>
      </w:r>
    </w:p>
    <w:p>
      <w:pPr>
        <w:keepNext w:val="0"/>
        <w:numPr>
          <w:numId w:val="9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and TIN of the CJR collaborator and the name, TIN, and NPI of the practice collaboration agent.</w:t>
      </w:r>
    </w:p>
    <w:p>
      <w:pPr>
        <w:keepNext w:val="0"/>
        <w:numPr>
          <w:numId w:val="9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start date and, if applicable, end date, for the distribution arrangement between the CJR collaborator and the practice collaboration agent.</w:t>
      </w:r>
    </w:p>
    <w:p>
      <w:pPr>
        <w:keepNext w:val="0"/>
        <w:numPr>
          <w:numId w:val="9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958"/>
        </w:numPr>
        <w:spacing w:before="120" w:after="0" w:line="260" w:lineRule="atLeast"/>
        <w:ind w:right="0"/>
        <w:jc w:val="both"/>
      </w:pPr>
      <w:r>
        <w:rPr>
          <w:b/>
          <w:i/>
          <w:sz w:val="20"/>
        </w:rPr>
        <w:t>als.</w:t>
      </w:r>
      <w:r>
        <w:rPr>
          <w:rFonts w:ascii="arial" w:eastAsia="arial" w:hAnsi="arial" w:cs="arial"/>
          <w:b w:val="0"/>
          <w:i w:val="0"/>
          <w:strike w:val="0"/>
          <w:noProof w:val="0"/>
          <w:color w:val="000000"/>
          <w:position w:val="0"/>
          <w:sz w:val="20"/>
          <w:u w:val="none"/>
          <w:vertAlign w:val="baseline"/>
        </w:rPr>
        <w:t>If there are no individuals that meet the requirements to be reported, as specified in paragraphs (b)(1) through (3) of this section, the CJR participant hospital must attest in a form and manner required by CMS that there are no individuals to report on the clinician financial arrangements list.</w:t>
      </w:r>
    </w:p>
    <w:p>
      <w:pPr>
        <w:numPr>
          <w:numId w:val="959"/>
        </w:numPr>
        <w:spacing w:before="120" w:line="240" w:lineRule="atLeast"/>
      </w:pPr>
      <w:r>
        <w:rPr>
          <w:b/>
          <w:i/>
          <w:sz w:val="20"/>
        </w:rPr>
        <w:t>.</w:t>
      </w:r>
    </w:p>
    <w:p>
      <w:pPr>
        <w:keepNext w:val="0"/>
        <w:numPr>
          <w:numId w:val="9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CJR participant hospital that chooses CEHRT use as provided in paragraph (a)(1) of this section must maintain documentation of their attestation to CEHRT use and clinician financial arrangements lists.</w:t>
      </w:r>
    </w:p>
    <w:p>
      <w:pPr>
        <w:keepNext w:val="0"/>
        <w:numPr>
          <w:numId w:val="9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9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510.120 is amended, effective July 1, 2017, by revising paragraph (b)(2) and by adding paragraphs (b)(3) and (c)(2) to read as follows:</w:t>
      </w:r>
    </w:p>
    <w:p>
      <w:pPr>
        <w:numPr>
          <w:numId w:val="961"/>
        </w:numPr>
        <w:spacing w:before="120" w:line="240" w:lineRule="atLeast"/>
      </w:pPr>
      <w:r>
        <w:rPr>
          <w:b/>
          <w:i w:val="0"/>
          <w:sz w:val="20"/>
        </w:rPr>
        <w:t>ital CEHRT track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9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9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each physician, nonphysician practitioner, or </w:t>
      </w:r>
      <w:r>
        <w:rPr>
          <w:rFonts w:ascii="arial" w:eastAsia="arial" w:hAnsi="arial" w:cs="arial"/>
          <w:b/>
          <w:i w:val="0"/>
          <w:strike w:val="0"/>
          <w:noProof w:val="0"/>
          <w:color w:val="000000"/>
          <w:position w:val="0"/>
          <w:sz w:val="20"/>
          <w:u w:val="none"/>
          <w:vertAlign w:val="baseline"/>
        </w:rPr>
        <w:t> [*613] </w:t>
      </w:r>
      <w:r>
        <w:rPr>
          <w:rFonts w:ascii="arial" w:eastAsia="arial" w:hAnsi="arial" w:cs="arial"/>
          <w:b w:val="0"/>
          <w:i w:val="0"/>
          <w:strike w:val="0"/>
          <w:noProof w:val="0"/>
          <w:color w:val="000000"/>
          <w:position w:val="0"/>
          <w:sz w:val="20"/>
          <w:u w:val="none"/>
          <w:vertAlign w:val="baseline"/>
        </w:rPr>
        <w:t xml:space="preserve"> therapist who is a collaboration agent during the period of the CJR performance year specified by CMS:</w:t>
      </w:r>
    </w:p>
    <w:p>
      <w:pPr>
        <w:keepNext w:val="0"/>
        <w:numPr>
          <w:numId w:val="9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and TIN of the CJR collaborator and the name, TIN, and NPI of the collaboration agent.</w:t>
      </w:r>
    </w:p>
    <w:p>
      <w:pPr>
        <w:keepNext w:val="0"/>
        <w:numPr>
          <w:numId w:val="9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start date and, if applicable, end date, for the distribution arrangement between the CJR collaborator and the collaboration agent.</w:t>
      </w:r>
    </w:p>
    <w:p>
      <w:pPr>
        <w:keepNext w:val="0"/>
        <w:numPr>
          <w:numId w:val="966"/>
        </w:numPr>
        <w:spacing w:before="120" w:after="0" w:line="260" w:lineRule="atLeast"/>
        <w:ind w:right="0"/>
        <w:jc w:val="both"/>
      </w:pPr>
      <w:r>
        <w:rPr>
          <w:b/>
          <w:i/>
          <w:sz w:val="20"/>
        </w:rPr>
        <w:t>gents.</w:t>
      </w:r>
      <w:r>
        <w:rPr>
          <w:rFonts w:ascii="arial" w:eastAsia="arial" w:hAnsi="arial" w:cs="arial"/>
          <w:b w:val="0"/>
          <w:i w:val="0"/>
          <w:strike w:val="0"/>
          <w:noProof w:val="0"/>
          <w:color w:val="000000"/>
          <w:position w:val="0"/>
          <w:sz w:val="20"/>
          <w:u w:val="none"/>
          <w:vertAlign w:val="baseline"/>
        </w:rPr>
        <w:t>For each physician, nonphysician practitioner, or therapist who is a downstream collaboration agent during the period of the CJR performance year specified by CMS--</w:t>
      </w:r>
    </w:p>
    <w:p>
      <w:pPr>
        <w:keepNext w:val="0"/>
        <w:numPr>
          <w:numId w:val="9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and TIN of the CJR collaborator and the name and TIN of the collaboration agent and the name, TIN, and NPI of the downstream collaboration agent.</w:t>
      </w:r>
    </w:p>
    <w:p>
      <w:pPr>
        <w:keepNext w:val="0"/>
        <w:numPr>
          <w:numId w:val="9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start date and, if applicable, end date, for the downstream distribution arrangement between the collaboration agent and the downstream collaboration agent.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9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CJR participant hospital must retain and provide access to the required documentation in accordance with § 510.110.</w:t>
      </w:r>
    </w:p>
    <w:p>
      <w:pPr>
        <w:keepNext w:val="0"/>
        <w:numPr>
          <w:numId w:val="9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510.205 is amended by adding paragraph (a)(6) to read as follows:</w:t>
      </w:r>
    </w:p>
    <w:p>
      <w:pPr>
        <w:numPr>
          <w:numId w:val="970"/>
        </w:numPr>
        <w:spacing w:before="120" w:line="240" w:lineRule="atLeast"/>
      </w:pPr>
      <w:r>
        <w:rPr>
          <w:b/>
          <w:i w:val="0"/>
          <w:sz w:val="20"/>
        </w:rPr>
        <w:t>n criteria.</w:t>
      </w:r>
    </w:p>
    <w:p>
      <w:pPr>
        <w:keepNext w:val="0"/>
        <w:numPr>
          <w:numId w:val="9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9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episodes beginning on or after July 1, 2017, are not prospectively assigned to--</w:t>
      </w:r>
    </w:p>
    <w:p>
      <w:pPr>
        <w:keepNext w:val="0"/>
        <w:numPr>
          <w:numId w:val="9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ACO in the Next Generation ACO model;</w:t>
      </w:r>
    </w:p>
    <w:p>
      <w:pPr>
        <w:keepNext w:val="0"/>
        <w:numPr>
          <w:numId w:val="9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ACO in a track of the Comprehensive ESRD Care Model incorporating downside risk for financial losses; or</w:t>
      </w:r>
    </w:p>
    <w:p>
      <w:pPr>
        <w:keepNext w:val="0"/>
        <w:numPr>
          <w:numId w:val="9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Shared Savings Program ACO in Track 3.</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510.300 is amended by--</w:t>
      </w:r>
    </w:p>
    <w:p>
      <w:pPr>
        <w:keepNext w:val="0"/>
        <w:numPr>
          <w:numId w:val="9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section heading;</w:t>
      </w:r>
    </w:p>
    <w:p>
      <w:pPr>
        <w:keepNext w:val="0"/>
        <w:numPr>
          <w:numId w:val="9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(a) introductory text and (a)(1) through (3);</w:t>
      </w:r>
    </w:p>
    <w:p>
      <w:pPr>
        <w:keepNext w:val="0"/>
        <w:numPr>
          <w:numId w:val="9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 (a)(5) as paragraph (a)(6);</w:t>
      </w:r>
    </w:p>
    <w:p>
      <w:pPr>
        <w:keepNext w:val="0"/>
        <w:numPr>
          <w:numId w:val="9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a new paragraph (a)(5);</w:t>
      </w:r>
    </w:p>
    <w:p>
      <w:pPr>
        <w:keepNext w:val="0"/>
        <w:numPr>
          <w:numId w:val="9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paragraph (b) subject heading and revising paragraphs (b)(1) introductory text and (b)(3), (5), and (7);</w:t>
      </w:r>
    </w:p>
    <w:p>
      <w:pPr>
        <w:keepNext w:val="0"/>
        <w:numPr>
          <w:numId w:val="9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(b)(8); and</w:t>
      </w:r>
    </w:p>
    <w:p>
      <w:pPr>
        <w:keepNext w:val="0"/>
        <w:numPr>
          <w:numId w:val="9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977"/>
        </w:numPr>
        <w:spacing w:before="120" w:line="240" w:lineRule="atLeast"/>
      </w:pPr>
      <w:r>
        <w:rPr>
          <w:b/>
          <w:i w:val="0"/>
          <w:sz w:val="20"/>
        </w:rPr>
        <w:t>sode quality-adjusted target prices.</w:t>
      </w:r>
    </w:p>
    <w:p>
      <w:pPr>
        <w:keepNext w:val="0"/>
        <w:numPr>
          <w:numId w:val="9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establishes episode quality-adjusted target prices for participant hospitals for each performance year of the model as specified in this section. Episode quality-adjusted target prices are established according to the following:</w:t>
      </w:r>
    </w:p>
    <w:p>
      <w:pPr>
        <w:keepNext w:val="0"/>
        <w:numPr>
          <w:numId w:val="979"/>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MS-DRG assigned at discharge for anchor hospitalization and present of hip fracture diagnosis for anchor hospitalization--</w:t>
      </w:r>
    </w:p>
    <w:p>
      <w:pPr>
        <w:keepNext w:val="0"/>
        <w:numPr>
          <w:numId w:val="9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469 with hip fracture;</w:t>
      </w:r>
    </w:p>
    <w:p>
      <w:pPr>
        <w:keepNext w:val="0"/>
        <w:numPr>
          <w:numId w:val="9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469 without hip fracture;</w:t>
      </w:r>
    </w:p>
    <w:p>
      <w:pPr>
        <w:keepNext w:val="0"/>
        <w:numPr>
          <w:numId w:val="9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470 with hip fracture; or</w:t>
      </w:r>
    </w:p>
    <w:p>
      <w:pPr>
        <w:keepNext w:val="0"/>
        <w:numPr>
          <w:numId w:val="9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470 without hip fracture.</w:t>
      </w:r>
    </w:p>
    <w:p>
      <w:pPr>
        <w:keepNext w:val="0"/>
        <w:numPr>
          <w:numId w:val="984"/>
        </w:numPr>
        <w:spacing w:before="120" w:after="0" w:line="260" w:lineRule="atLeast"/>
        <w:ind w:right="0"/>
        <w:jc w:val="both"/>
      </w:pPr>
      <w:r>
        <w:rPr>
          <w:b/>
          <w:i/>
          <w:sz w:val="20"/>
        </w:rPr>
        <w:t xml:space="preserve"> performance year episode quality-adjusted target prices.</w:t>
      </w:r>
      <w:r>
        <w:rPr>
          <w:rFonts w:ascii="arial" w:eastAsia="arial" w:hAnsi="arial" w:cs="arial"/>
          <w:b w:val="0"/>
          <w:i w:val="0"/>
          <w:strike w:val="0"/>
          <w:noProof w:val="0"/>
          <w:color w:val="000000"/>
          <w:position w:val="0"/>
          <w:sz w:val="20"/>
          <w:u w:val="none"/>
          <w:vertAlign w:val="baseline"/>
        </w:rPr>
        <w:t>Episode quality-adjusted target prices are updated to account for Medicare payment updates no less than 2 times per year, for updated quality-adjusted target prices effective October 1 and January 1, and at other intervals if necessary.</w:t>
      </w:r>
    </w:p>
    <w:p>
      <w:pPr>
        <w:keepNext w:val="0"/>
        <w:numPr>
          <w:numId w:val="985"/>
        </w:numPr>
        <w:spacing w:before="120" w:after="0" w:line="260" w:lineRule="atLeast"/>
        <w:ind w:right="0"/>
        <w:jc w:val="both"/>
      </w:pPr>
      <w:r>
        <w:rPr>
          <w:b/>
          <w:i/>
          <w:sz w:val="20"/>
        </w:rPr>
        <w:t>formance years or payment updates.</w:t>
      </w:r>
      <w:r>
        <w:rPr>
          <w:rFonts w:ascii="arial" w:eastAsia="arial" w:hAnsi="arial" w:cs="arial"/>
          <w:b w:val="0"/>
          <w:i w:val="0"/>
          <w:strike w:val="0"/>
          <w:noProof w:val="0"/>
          <w:color w:val="000000"/>
          <w:position w:val="0"/>
          <w:sz w:val="20"/>
          <w:u w:val="none"/>
          <w:vertAlign w:val="baseline"/>
        </w:rPr>
        <w:t>The quality-adjusted target price that applies to the type of episode as of the date of admission for the anchor hospitalization is the quality-adjusted target price that applies to the episode.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Quality-adjusted target prices reflect effective discount factors or applicable discount factors based on a hospital's composite quality score, as specified in §§ 510.300(c) and 510.315(f).</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987"/>
        </w:numPr>
        <w:spacing w:before="120" w:line="240" w:lineRule="atLeast"/>
      </w:pPr>
      <w:r>
        <w:rPr>
          <w:b/>
          <w:i/>
          <w:sz w:val="20"/>
        </w:rPr>
        <w:t>arget price.</w:t>
      </w:r>
    </w:p>
    <w:p>
      <w:pPr>
        <w:keepNext w:val="0"/>
        <w:numPr>
          <w:numId w:val="9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calculates quality-adjusted target prices based on a blend of each participant hospital's hospital-specific and regional episode expenditures. The region corresponds to the U.S. Census Division associated with the primary address of the CCN of the participant hospital and the regional component is based on all hospitals in said region, except as follows. In cases where an MSA selected for participation in CJR spans more than one U.S. Census Division, the entire MSA will be grouped into the U.S. Census Division where the largest city by population in the MSA is located for quality-adjusted target price and reconciliation calculations. The calendar years used for historical expenditure calculations are as follows: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89"/>
        </w:numPr>
        <w:spacing w:before="120" w:after="0" w:line="260" w:lineRule="atLeast"/>
        <w:ind w:right="0"/>
        <w:jc w:val="both"/>
      </w:pPr>
      <w:r>
        <w:rPr>
          <w:b/>
          <w:i/>
          <w:sz w:val="20"/>
        </w:rPr>
        <w:t>ospitals.</w:t>
      </w:r>
      <w:r>
        <w:rPr>
          <w:rFonts w:ascii="arial" w:eastAsia="arial" w:hAnsi="arial" w:cs="arial"/>
          <w:b w:val="0"/>
          <w:i w:val="0"/>
          <w:strike w:val="0"/>
          <w:noProof w:val="0"/>
          <w:color w:val="000000"/>
          <w:position w:val="0"/>
          <w:sz w:val="20"/>
          <w:u w:val="none"/>
          <w:vertAlign w:val="baseline"/>
        </w:rPr>
        <w:t>Quality-adjusted target prices for participant hospitals with fewer than 20 CJR episodes in total across the 3 historical years of data used to calculate the quality-adjusted target price are based on 100 percent regional historical episode payments.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90"/>
        </w:numPr>
        <w:spacing w:before="120" w:after="0" w:line="260" w:lineRule="atLeast"/>
        <w:ind w:right="0"/>
        <w:jc w:val="both"/>
      </w:pPr>
      <w:r>
        <w:rPr>
          <w:b/>
          <w:i/>
          <w:sz w:val="20"/>
        </w:rPr>
        <w:t xml:space="preserve"> spending.</w:t>
      </w:r>
      <w:r>
        <w:rPr>
          <w:rFonts w:ascii="arial" w:eastAsia="arial" w:hAnsi="arial" w:cs="arial"/>
          <w:b w:val="0"/>
          <w:i w:val="0"/>
          <w:strike w:val="0"/>
          <w:noProof w:val="0"/>
          <w:color w:val="000000"/>
          <w:position w:val="0"/>
          <w:sz w:val="20"/>
          <w:u w:val="none"/>
          <w:vertAlign w:val="baseline"/>
        </w:rPr>
        <w:t>Episode payments are capped at 2 standard deviations above the mean regional episode payment for both the hospital-specific and regional components of the quality-adjusted target price.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91"/>
        </w:numPr>
        <w:spacing w:before="120" w:after="0" w:line="260" w:lineRule="atLeast"/>
        <w:ind w:right="0"/>
        <w:jc w:val="both"/>
      </w:pPr>
      <w:r>
        <w:rPr>
          <w:b/>
          <w:i/>
          <w:sz w:val="20"/>
        </w:rPr>
        <w:t>uality-adjusted target prices.</w:t>
      </w:r>
      <w:r>
        <w:rPr>
          <w:rFonts w:ascii="arial" w:eastAsia="arial" w:hAnsi="arial" w:cs="arial"/>
          <w:b w:val="0"/>
          <w:i w:val="0"/>
          <w:strike w:val="0"/>
          <w:noProof w:val="0"/>
          <w:color w:val="000000"/>
          <w:position w:val="0"/>
          <w:sz w:val="20"/>
          <w:u w:val="none"/>
          <w:vertAlign w:val="baseline"/>
        </w:rPr>
        <w:t>CMS communicates episode quality-adjusted target prices to participant hospitals before the performance period in which they apply.</w:t>
      </w:r>
    </w:p>
    <w:p>
      <w:pPr>
        <w:keepNext w:val="0"/>
        <w:numPr>
          <w:numId w:val="992"/>
        </w:numPr>
        <w:spacing w:before="120" w:after="0" w:line="260" w:lineRule="atLeast"/>
        <w:ind w:right="0"/>
        <w:jc w:val="both"/>
      </w:pPr>
      <w:r>
        <w:rPr>
          <w:b/>
          <w:i/>
          <w:sz w:val="20"/>
        </w:rPr>
        <w:t>n payments and repayments.</w:t>
      </w:r>
      <w:r>
        <w:rPr>
          <w:rFonts w:ascii="arial" w:eastAsia="arial" w:hAnsi="arial" w:cs="arial"/>
          <w:b w:val="0"/>
          <w:i w:val="0"/>
          <w:strike w:val="0"/>
          <w:noProof w:val="0"/>
          <w:color w:val="000000"/>
          <w:position w:val="0"/>
          <w:sz w:val="20"/>
          <w:u w:val="none"/>
          <w:vertAlign w:val="baseline"/>
        </w:rPr>
        <w:t>For performance years 3, 4, and 5 only, reconciliation payments and repayment amounts under § 510.305(f)(2) and (f)(3) and from LEJR episodes included in the BPCI initiative are included in historical episode payments.</w:t>
      </w:r>
    </w:p>
    <w:p>
      <w:pPr>
        <w:keepNext w:val="0"/>
        <w:numPr>
          <w:numId w:val="9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hospital's episode quality-adjusted target prices incorporate discount factors to reflect Medicare's portion of reduced expenditures from the CJR model as described in this section.</w:t>
      </w:r>
    </w:p>
    <w:p>
      <w:pPr>
        <w:keepNext w:val="0"/>
        <w:numPr>
          <w:numId w:val="994"/>
        </w:numPr>
        <w:spacing w:before="120" w:after="0" w:line="260" w:lineRule="atLeast"/>
        <w:ind w:right="0"/>
        <w:jc w:val="both"/>
      </w:pPr>
      <w:r>
        <w:rPr>
          <w:b/>
          <w:i/>
          <w:sz w:val="20"/>
        </w:rPr>
        <w:t>by the quality incentive payments and the composite quality score.</w:t>
      </w:r>
      <w:r>
        <w:rPr>
          <w:rFonts w:ascii="arial" w:eastAsia="arial" w:hAnsi="arial" w:cs="arial"/>
          <w:b w:val="0"/>
          <w:i w:val="0"/>
          <w:strike w:val="0"/>
          <w:noProof w:val="0"/>
          <w:color w:val="000000"/>
          <w:position w:val="0"/>
          <w:sz w:val="20"/>
          <w:u w:val="none"/>
          <w:vertAlign w:val="baseline"/>
        </w:rPr>
        <w:t>In all performance years, the discount factor may be affected by the quality incentive payment and composite quality score as provided in § 510.315 to create the effective discount factor or applicable discount factor used for calculating reconciliation payments and repayment amounts. The quality-adjusted target prices incorporate the effective or applicable discount factor at reconciliation.</w:t>
      </w:r>
    </w:p>
    <w:p>
      <w:pPr>
        <w:keepNext w:val="0"/>
        <w:numPr>
          <w:numId w:val="995"/>
        </w:numPr>
        <w:spacing w:before="120" w:after="0" w:line="260" w:lineRule="atLeast"/>
        <w:ind w:right="0"/>
        <w:jc w:val="both"/>
      </w:pPr>
      <w:r>
        <w:rPr>
          <w:b/>
          <w:i/>
          <w:sz w:val="20"/>
        </w:rPr>
        <w:t>iliation payments.</w:t>
      </w:r>
      <w:r>
        <w:rPr>
          <w:rFonts w:ascii="arial" w:eastAsia="arial" w:hAnsi="arial" w:cs="arial"/>
          <w:b w:val="0"/>
          <w:i w:val="0"/>
          <w:strike w:val="0"/>
          <w:noProof w:val="0"/>
          <w:color w:val="000000"/>
          <w:position w:val="0"/>
          <w:sz w:val="20"/>
          <w:u w:val="none"/>
          <w:vertAlign w:val="baseline"/>
        </w:rPr>
        <w:t>The discount factor for reconciliation payments in all performance years is 3.0 percent.</w:t>
      </w:r>
    </w:p>
    <w:p>
      <w:pPr>
        <w:keepNext w:val="0"/>
        <w:numPr>
          <w:numId w:val="996"/>
        </w:numPr>
        <w:spacing w:before="120" w:after="0" w:line="260" w:lineRule="atLeast"/>
        <w:ind w:right="0"/>
        <w:jc w:val="both"/>
      </w:pPr>
      <w:r>
        <w:rPr>
          <w:b/>
          <w:i/>
          <w:sz w:val="20"/>
        </w:rPr>
        <w:t>ment amounts.</w:t>
      </w:r>
      <w:r>
        <w:rPr>
          <w:rFonts w:ascii="arial" w:eastAsia="arial" w:hAnsi="arial" w:cs="arial"/>
          <w:b w:val="0"/>
          <w:i w:val="0"/>
          <w:strike w:val="0"/>
          <w:noProof w:val="0"/>
          <w:color w:val="000000"/>
          <w:position w:val="0"/>
          <w:sz w:val="20"/>
          <w:u w:val="none"/>
          <w:vertAlign w:val="baseline"/>
        </w:rPr>
        <w:t>The discount factor for repayment amounts is--</w:t>
      </w:r>
    </w:p>
    <w:p>
      <w:pPr>
        <w:keepNext w:val="0"/>
        <w:numPr>
          <w:numId w:val="9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applicable in performance year 1, as the requirement for hospital repayment under the CJR model is waived in performance year 1;</w:t>
      </w:r>
    </w:p>
    <w:p>
      <w:pPr>
        <w:keepNext w:val="0"/>
        <w:numPr>
          <w:numId w:val="9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performance years 2 and 3, 2.0 percent; and</w:t>
      </w:r>
    </w:p>
    <w:p>
      <w:pPr>
        <w:keepNext w:val="0"/>
        <w:numPr>
          <w:numId w:val="9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performance years 4 and 5, 3.0 percent.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510.305 is amended by--</w:t>
      </w:r>
    </w:p>
    <w:p>
      <w:pPr>
        <w:keepNext w:val="0"/>
        <w:numPr>
          <w:numId w:val="10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(e) introductory text, (e)(1)(ii) and (v), (f)(1)(i) and (ii), (f)(2), (g)(2), and (h)(6);</w:t>
      </w:r>
    </w:p>
    <w:p>
      <w:pPr>
        <w:keepNext w:val="0"/>
        <w:numPr>
          <w:numId w:val="10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(h)(7);</w:t>
      </w:r>
    </w:p>
    <w:p>
      <w:pPr>
        <w:keepNext w:val="0"/>
        <w:numPr>
          <w:numId w:val="10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(i); and</w:t>
      </w:r>
    </w:p>
    <w:p>
      <w:pPr>
        <w:keepNext w:val="0"/>
        <w:numPr>
          <w:numId w:val="10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Adding paragraph (j). </w:t>
      </w:r>
      <w:r>
        <w:rPr>
          <w:rFonts w:ascii="arial" w:eastAsia="arial" w:hAnsi="arial" w:cs="arial"/>
          <w:b/>
          <w:i w:val="0"/>
          <w:strike w:val="0"/>
          <w:noProof w:val="0"/>
          <w:color w:val="000000"/>
          <w:position w:val="0"/>
          <w:sz w:val="20"/>
          <w:u w:val="none"/>
          <w:vertAlign w:val="baseline"/>
        </w:rPr>
        <w:t> [*614]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1001"/>
        </w:numPr>
        <w:spacing w:before="120" w:line="240" w:lineRule="atLeast"/>
      </w:pPr>
      <w:r>
        <w:rPr>
          <w:b/>
          <w:i w:val="0"/>
          <w:sz w:val="20"/>
        </w:rPr>
        <w:t xml:space="preserve"> NPRA and reconciliation process.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0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comparing the quality-adjusted target prices described in § 510.300 and the participant hospital's actual episode spending for the performance year and applying the adjustments in paragraph (e)(1)(v) of this section, CMS establishes an NPRA for each participant hospital for each performance year.</w:t>
      </w:r>
    </w:p>
    <w:p>
      <w:pPr>
        <w:keepNext w:val="0"/>
        <w:numPr>
          <w:numId w:val="10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0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Multiplies each episode quality-adjusted target price by the number of episodes included in the performance year (other than episodes that have been canceled in accordance with § 510.210(b)) to which that episode quality-adjusted target price applies.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Applies the following prior to determination of the reconciliation payment or repayment amount:</w:t>
      </w:r>
    </w:p>
    <w:p>
      <w:pPr>
        <w:keepNext w:val="0"/>
        <w:numPr>
          <w:numId w:val="10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(e)(1)(v)(C) of this section, the total amount of the NPRA and subsequent reconciliation calculation for a performance year cannot exceed the following:</w:t>
      </w:r>
    </w:p>
    <w:p>
      <w:pPr>
        <w:keepNext w:val="0"/>
        <w:numPr>
          <w:numId w:val="10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2 only, 5 percent of the amount calculated in paragraph (e)(1)(iii) of this section for the performance year.</w:t>
      </w:r>
    </w:p>
    <w:p>
      <w:pPr>
        <w:keepNext w:val="0"/>
        <w:numPr>
          <w:numId w:val="10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3, 10 percent of the amount calculated in paragraph (e)(1)(iii) of this section for the performance year.</w:t>
      </w:r>
    </w:p>
    <w:p>
      <w:pPr>
        <w:keepNext w:val="0"/>
        <w:numPr>
          <w:numId w:val="10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years 4 and 5, 20 percent of the amount calculated in paragraph (e)(1)(iii) of this section for the performance year.</w:t>
      </w:r>
    </w:p>
    <w:p>
      <w:pPr>
        <w:keepNext w:val="0"/>
        <w:numPr>
          <w:numId w:val="10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provided in paragraph (i) of this section, the subsequent reconciliation calculation reassesses the limitation on loss for a given performance year by applying the limitations on loss to the aggregate of the 2 reconciliation calculations.</w:t>
      </w:r>
    </w:p>
    <w:p>
      <w:pPr>
        <w:keepNext w:val="0"/>
        <w:numPr>
          <w:numId w:val="10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post-episode spending and ACO overlap calculation amounts in paragraphs (j)(1) and (2) of this section are not subject to the limitation on loss.</w:t>
      </w:r>
    </w:p>
    <w:p>
      <w:pPr>
        <w:keepNext w:val="0"/>
        <w:numPr>
          <w:numId w:val="10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the NPRA and subsequent reconciliation calculation for a performance year cannot exceed the following:</w:t>
      </w:r>
    </w:p>
    <w:p>
      <w:pPr>
        <w:keepNext w:val="0"/>
        <w:numPr>
          <w:numId w:val="10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years 1 and 2, 5 percent of the amount calculated in paragraph (e)(1)(iii) of this section for the performance year.</w:t>
      </w:r>
    </w:p>
    <w:p>
      <w:pPr>
        <w:keepNext w:val="0"/>
        <w:numPr>
          <w:numId w:val="10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3, 10 percent of the amount calculated in paragraph (e)(1)(iii) of this section for the performance year.</w:t>
      </w:r>
    </w:p>
    <w:p>
      <w:pPr>
        <w:keepNext w:val="0"/>
        <w:numPr>
          <w:numId w:val="10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years 4 and 5, 20 percent of the amount calculated in paragraph (e)(1)(iii) of this section for the performance year.</w:t>
      </w:r>
    </w:p>
    <w:p>
      <w:pPr>
        <w:keepNext w:val="0"/>
        <w:numPr>
          <w:numId w:val="10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provided in paragraph (i) of this section, the subsequent reconciliation calculation reassesses the limitation on gain for a given performance year by applying the limitations on gain to the aggregate of the 2 reconciliation calculations.</w:t>
      </w:r>
    </w:p>
    <w:p>
      <w:pPr>
        <w:keepNext w:val="0"/>
        <w:numPr>
          <w:numId w:val="10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post-episode spending and ACO overlap calculation amounts in paragraphs (j)(1) and (j)(2) of this section are not subject to the limitation on gain.</w:t>
      </w:r>
    </w:p>
    <w:p>
      <w:pPr>
        <w:keepNext w:val="0"/>
        <w:numPr>
          <w:numId w:val="1010"/>
        </w:numPr>
        <w:spacing w:before="120" w:after="0" w:line="260" w:lineRule="atLeast"/>
        <w:ind w:right="0"/>
        <w:jc w:val="both"/>
      </w:pPr>
      <w:r>
        <w:rPr>
          <w:b/>
          <w:i/>
          <w:sz w:val="20"/>
        </w:rPr>
        <w:t>rural hospitals, SCHs, MDHs, and RRCs.</w:t>
      </w:r>
      <w:r>
        <w:rPr>
          <w:rFonts w:ascii="arial" w:eastAsia="arial" w:hAnsi="arial" w:cs="arial"/>
          <w:b w:val="0"/>
          <w:i w:val="0"/>
          <w:strike w:val="0"/>
          <w:noProof w:val="0"/>
          <w:color w:val="000000"/>
          <w:position w:val="0"/>
          <w:sz w:val="20"/>
          <w:u w:val="none"/>
          <w:vertAlign w:val="baseline"/>
        </w:rPr>
        <w:t>If a participant hospital is a rural hospital, SCH, MDH, or RRC, then for performance year 2, the total repayment amount for which the participant hospital is responsible due to the NPRA and subsequent reconciliation calculation cannot exceed 3 percent of the amount calculated in paragraph (e)(1)(iii) of this section. For performance years 3 through 5, the amount cannot exceed 5 percent of the amount calculated in paragraph (e)(1)(iii) of this section.</w:t>
      </w:r>
    </w:p>
    <w:p>
      <w:pPr>
        <w:keepNext w:val="0"/>
        <w:numPr>
          <w:numId w:val="10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0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0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paragraph (f)(1)(iii) of this section, for performance year 1, the reconciliation payment (if any) is equal to the NPRA.</w:t>
      </w:r>
    </w:p>
    <w:p>
      <w:pPr>
        <w:keepNext w:val="0"/>
        <w:numPr>
          <w:numId w:val="10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paragraph (f)(1)(iii) of this section, for performance years 2 through 5, results from the subsequent reconciliation calculation for a prior year's reconciliation as described in paragraph (i) of this section and the post-episode spending and ACO overlap calculations as described in paragraph (j) of this section are added to the current year's NPRA in order to determine the reconciliation payment or repayment amount.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Reconciliation payment. If the amount described in paragraph (f)(1) of this section is positive and the composite quality score described in § 510.315 is acceptable (defined as greater than or equal to 5.00 and less than 6.9), good (defined as greater than or equal to 6.9 and less than or equal to 15.0), or excellent (defined as greater than 15.0), Medicare pays the participant hospital a reconciliation payment in an amount equal to the amount described in paragraph (f)(1) of this section.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0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hospital's composite quality score described in § 510.315 is acceptable (defined as greater than or equal to 5.00 and less than 6.9), good (defined as greater than or equal to 6.9 and less than or equal to 15.0), or excellent (defined as greater than 15.0), and the hospital is determined to have a positive NPRA under § 510.305(e)), the hospital is eligible for a reconciliation payment.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0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post-episode spending amount and ACO overlap calculation for the previous performance year, as applicable.</w:t>
      </w:r>
    </w:p>
    <w:p>
      <w:pPr>
        <w:keepNext w:val="0"/>
        <w:numPr>
          <w:numId w:val="10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reconciliation payment or repayment amount.</w:t>
      </w:r>
    </w:p>
    <w:p>
      <w:pPr>
        <w:numPr>
          <w:numId w:val="1019"/>
        </w:numPr>
        <w:spacing w:before="120" w:line="240" w:lineRule="atLeast"/>
      </w:pPr>
      <w:r>
        <w:rPr>
          <w:b/>
          <w:i/>
          <w:sz w:val="20"/>
        </w:rPr>
        <w:t>calculation.</w:t>
      </w:r>
    </w:p>
    <w:p>
      <w:pPr>
        <w:keepNext w:val="0"/>
        <w:numPr>
          <w:numId w:val="10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Fourteen months after the end of each performance year, CMS performs an additional calculation, using claims data available at that time, to account for final claims run-out and any additional episode cancelations due to overlap between the CJR model and other CMS models and programs, or for other reasons as specified in § 510.210(b).</w:t>
      </w:r>
    </w:p>
    <w:p>
      <w:pPr>
        <w:keepNext w:val="0"/>
        <w:numPr>
          <w:numId w:val="10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subsequent calculation for performance years 1 through 4 occurs concurrently with the first reconciliation process for the following performance year. If the result of the subsequent calculation is different than zero, CMS applies the stop-loss and stop-gain limits in paragraph (e) of this section to the aggregate calculation of the amounts described in paragraphs (e)(1)(iv) and (i)(1) of this section for that performance year (the initial reconciliation and the subsequent reconciliation calculation) to ensure such amount does not exceed the applicable stop-loss or stop-gain limits. Because there will be no additional performance year after performance year 5, the subsequent reconciliation calculation for performance year 5 will occur independently in 2022.</w:t>
      </w:r>
    </w:p>
    <w:p>
      <w:pPr>
        <w:numPr>
          <w:numId w:val="1021"/>
        </w:numPr>
        <w:spacing w:before="120" w:line="240" w:lineRule="atLeast"/>
      </w:pPr>
      <w:r>
        <w:rPr>
          <w:b/>
          <w:i/>
          <w:sz w:val="20"/>
        </w:rPr>
        <w:t>the reconciliation payment or repayment amount.</w:t>
      </w:r>
    </w:p>
    <w:p>
      <w:pPr>
        <w:keepNext w:val="0"/>
        <w:numPr>
          <w:numId w:val="10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order to account for shared savings payments, CMS will reduce the reconciliation payment or increase the repayment amount for the subsequent performance year (for years 1 through 4) by the amount of the participant hospital's discount percentage that is paid to the ACO in the prior performance year as shared savings. (This amount will be assessed independently for performance year 5 in 2022.) This adjustment is made only when the participant hospital is a participant or provider/supplier in the ACO and the beneficiary in the CJR episode is assigned to one of the following ACO models or programs:</w:t>
      </w:r>
    </w:p>
    <w:p>
      <w:pPr>
        <w:keepNext w:val="0"/>
        <w:numPr>
          <w:numId w:val="10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Pioneer ACO model. </w:t>
      </w:r>
      <w:r>
        <w:rPr>
          <w:rFonts w:ascii="arial" w:eastAsia="arial" w:hAnsi="arial" w:cs="arial"/>
          <w:b/>
          <w:i w:val="0"/>
          <w:strike w:val="0"/>
          <w:noProof w:val="0"/>
          <w:color w:val="000000"/>
          <w:position w:val="0"/>
          <w:sz w:val="20"/>
          <w:u w:val="none"/>
          <w:vertAlign w:val="baseline"/>
        </w:rPr>
        <w:t> [*615] </w:t>
      </w:r>
    </w:p>
    <w:p>
      <w:pPr>
        <w:keepNext w:val="0"/>
        <w:numPr>
          <w:numId w:val="10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Medicare Shared Savings Program (excluding Track 3 for CJR episodes that initiate on or after July 1, 2017).</w:t>
      </w:r>
    </w:p>
    <w:p>
      <w:pPr>
        <w:keepNext w:val="0"/>
        <w:numPr>
          <w:numId w:val="10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Comprehensive ESRD Care Initiative (excluding a track with downside risk for CJR episodes that initiate after July 1, 2017).</w:t>
      </w:r>
    </w:p>
    <w:p>
      <w:pPr>
        <w:keepNext w:val="0"/>
        <w:numPr>
          <w:numId w:val="10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Next Generation ACO model (excluding CJR episodes that initiate on or after July 1, 2017).</w:t>
      </w:r>
    </w:p>
    <w:p>
      <w:pPr>
        <w:keepNext w:val="0"/>
        <w:numPr>
          <w:numId w:val="1027"/>
        </w:numPr>
        <w:spacing w:before="120" w:after="0" w:line="260" w:lineRule="atLeast"/>
        <w:ind w:right="0"/>
        <w:jc w:val="both"/>
      </w:pPr>
      <w:r>
        <w:rPr>
          <w:b/>
          <w:i/>
          <w:sz w:val="20"/>
        </w:rPr>
        <w:t>spending.</w:t>
      </w:r>
      <w:r>
        <w:rPr>
          <w:rFonts w:ascii="arial" w:eastAsia="arial" w:hAnsi="arial" w:cs="arial"/>
          <w:b w:val="0"/>
          <w:i w:val="0"/>
          <w:strike w:val="0"/>
          <w:noProof w:val="0"/>
          <w:color w:val="000000"/>
          <w:position w:val="0"/>
          <w:sz w:val="20"/>
          <w:u w:val="none"/>
          <w:vertAlign w:val="baseline"/>
        </w:rPr>
        <w:t>If the average post-episode Medicare Parts A and B payments for a participant hospital in the prior performance year is greater than 3 standard deviations above the regional average post-episode payments for the same performance year, then the spending amount exceeding 3 standard deviations above the regional average post-episode payments for the same performance year is subtracted from the net reconciliation or added to the repayment amount for the subsequent performance year for years 1 through 4, and assessed independently for year 5.</w:t>
      </w:r>
    </w:p>
    <w:p>
      <w:pPr>
        <w:keepNext w:val="0"/>
        <w:numPr>
          <w:numId w:val="10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510.310 is amended by--</w:t>
      </w:r>
    </w:p>
    <w:p>
      <w:pPr>
        <w:keepNext w:val="0"/>
        <w:numPr>
          <w:numId w:val="10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(a) introductory text and (a)(1) and (2);</w:t>
      </w:r>
    </w:p>
    <w:p>
      <w:pPr>
        <w:keepNext w:val="0"/>
        <w:numPr>
          <w:numId w:val="10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paragraph (a)(3);</w:t>
      </w:r>
    </w:p>
    <w:p>
      <w:pPr>
        <w:keepNext w:val="0"/>
        <w:numPr>
          <w:numId w:val="10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 (a)(4) as paragraph (a)(3);</w:t>
      </w:r>
    </w:p>
    <w:p>
      <w:pPr>
        <w:keepNext w:val="0"/>
        <w:numPr>
          <w:numId w:val="10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a new paragraph (a)(4);</w:t>
      </w:r>
    </w:p>
    <w:p>
      <w:pPr>
        <w:keepNext w:val="0"/>
        <w:numPr>
          <w:numId w:val="10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(c);</w:t>
      </w:r>
    </w:p>
    <w:p>
      <w:pPr>
        <w:keepNext w:val="0"/>
        <w:numPr>
          <w:numId w:val="10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 (d) as paragraph (e);</w:t>
      </w:r>
    </w:p>
    <w:p>
      <w:pPr>
        <w:keepNext w:val="0"/>
        <w:numPr>
          <w:numId w:val="10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a new paragraph (d); and</w:t>
      </w:r>
    </w:p>
    <w:p>
      <w:pPr>
        <w:keepNext w:val="0"/>
        <w:numPr>
          <w:numId w:val="10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newly designated paragraph (e)(6).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1030"/>
        </w:numPr>
        <w:spacing w:before="120" w:line="240" w:lineRule="atLeast"/>
      </w:pPr>
    </w:p>
    <w:p>
      <w:pPr>
        <w:keepNext w:val="0"/>
        <w:numPr>
          <w:numId w:val="1031"/>
        </w:numPr>
        <w:spacing w:before="120" w:after="0" w:line="260" w:lineRule="atLeast"/>
        <w:ind w:right="0"/>
        <w:jc w:val="both"/>
      </w:pPr>
      <w:r>
        <w:rPr>
          <w:b/>
          <w:i/>
          <w:sz w:val="20"/>
        </w:rPr>
        <w:t>r (first level of appeal).</w:t>
      </w:r>
      <w:r>
        <w:rPr>
          <w:rFonts w:ascii="arial" w:eastAsia="arial" w:hAnsi="arial" w:cs="arial"/>
          <w:b w:val="0"/>
          <w:i w:val="0"/>
          <w:strike w:val="0"/>
          <w:noProof w:val="0"/>
          <w:color w:val="000000"/>
          <w:position w:val="0"/>
          <w:sz w:val="20"/>
          <w:u w:val="none"/>
          <w:vertAlign w:val="baseline"/>
        </w:rPr>
        <w:t>Subject to the limitations on review in subpart D of this part, if a participant hospital wishes to dispute calculations involving a matter related to payment, reconciliation amounts, repayment amounts, the use of quality measure results in determining the composite quality score, or the application of the composite quality score during reconciliation, the participant hospital is required to provide written notice of the calculation error, in a form and manner specified by CMS.</w:t>
      </w:r>
    </w:p>
    <w:p>
      <w:pPr>
        <w:keepNext w:val="0"/>
        <w:numPr>
          <w:numId w:val="10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the participant hospital provides such notice, CMS deems final the CJR reconciliation report 45 calendar days after it is issued and proceeds with the payment or repayment processes as applicable.</w:t>
      </w:r>
    </w:p>
    <w:p>
      <w:pPr>
        <w:keepNext w:val="0"/>
        <w:numPr>
          <w:numId w:val="10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receives a notice of a calculation error within 45 calendar days of the issuance of the reconciliation report, CMS responds in writing within 30 calendar days to either confirm that there was an error in the calculation or verify that the calculation is correct, although CMS reserves the right to an extension upon written notice to the participant hospital.</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Only participant hospitals may use the notice of calculation error process described in this part.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participant hospital contests a matter that does not involve an issue contained in, or a calculation that contributes to, a CJR reconciliation report, a notice of calculation error is not required. In these instances, if CMS does not receive a request for reconsideration from the participant hospital within 10 calendar days of the notice of the initial determination, the initial determination is deemed final and CMS proceeds with action indicated in the initial determination. This does not apply to the limitations on review in paragraph (e) of this section.</w:t>
      </w:r>
    </w:p>
    <w:p>
      <w:pPr>
        <w:keepNext w:val="0"/>
        <w:numPr>
          <w:numId w:val="1034"/>
        </w:numPr>
        <w:spacing w:before="120" w:after="0" w:line="260" w:lineRule="atLeast"/>
        <w:ind w:right="0"/>
        <w:jc w:val="both"/>
      </w:pPr>
      <w:r>
        <w:rPr>
          <w:b/>
          <w:i/>
          <w:sz w:val="20"/>
        </w:rPr>
        <w:t>spital's termination from the CJR model.</w:t>
      </w:r>
      <w:r>
        <w:rPr>
          <w:rFonts w:ascii="arial" w:eastAsia="arial" w:hAnsi="arial" w:cs="arial"/>
          <w:b w:val="0"/>
          <w:i w:val="0"/>
          <w:strike w:val="0"/>
          <w:noProof w:val="0"/>
          <w:color w:val="000000"/>
          <w:position w:val="0"/>
          <w:sz w:val="20"/>
          <w:u w:val="none"/>
          <w:vertAlign w:val="baseline"/>
        </w:rPr>
        <w:t>If a participant hospital receives notification that it has been terminated from the CJR model, it must provide a written notice to CMS requesting review of the termination within 10 calendar days of the notice. CMS has 30 days to respond to the participant hospital's request for review. If the participant hospital fails to notify CMS, the termination is deemed final.</w:t>
      </w:r>
    </w:p>
    <w:p>
      <w:pPr>
        <w:keepNext w:val="0"/>
        <w:numPr>
          <w:numId w:val="10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0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Decisions about expansion of the duration and scope of a model under section 1115A(c) of the Act, including the determination that a model is not expected to meet criteria described in section 1115A(c)(1) or (2) of the Act.</w:t>
      </w:r>
    </w:p>
    <w:p>
      <w:pPr>
        <w:keepNext w:val="0"/>
        <w:numPr>
          <w:numId w:val="10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510.315 is amended by--</w:t>
      </w:r>
    </w:p>
    <w:p>
      <w:pPr>
        <w:keepNext w:val="0"/>
        <w:numPr>
          <w:numId w:val="10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(c) introductory text;</w:t>
      </w:r>
    </w:p>
    <w:p>
      <w:pPr>
        <w:keepNext w:val="0"/>
        <w:numPr>
          <w:numId w:val="10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 (c)(1)(ix) as paragraph (c)(1)(viii);</w:t>
      </w:r>
    </w:p>
    <w:p>
      <w:pPr>
        <w:keepNext w:val="0"/>
        <w:numPr>
          <w:numId w:val="10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 (c)(2)(ix) as paragraph (c)(2)(viii); and</w:t>
      </w:r>
    </w:p>
    <w:p>
      <w:pPr>
        <w:keepNext w:val="0"/>
        <w:numPr>
          <w:numId w:val="10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(d) and (f).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read as follows:</w:t>
      </w:r>
    </w:p>
    <w:p>
      <w:pPr>
        <w:numPr>
          <w:numId w:val="1039"/>
        </w:numPr>
        <w:spacing w:before="120" w:line="240" w:lineRule="atLeast"/>
      </w:pPr>
      <w:r>
        <w:rPr>
          <w:b/>
          <w:i w:val="0"/>
          <w:sz w:val="20"/>
        </w:rPr>
        <w:t>ores for determining reconciliation payment eligibility and quality incentive payments.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040"/>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CMS computes quality performance points for each quality measure based on the participant hospital's performance relative to the distribution of performance of all subsection (d) hospitals that are eligible for payment under IPPS and meet the minimum patient case or survey count for that measure.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41"/>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For performance year 1, if a participant hospital's quality performance percentile on an individual measure described in § 510.400(a) increases from the corresponding time period in the previous year by at least 2 deciles on the performance percentile scale, then the hospitals is eligible to receive quality improvement points equal to 10 percent of the total available point for that individual measure up to a maximum composite quality score of 20 points. For performance years 2 through 5, if a participant hospital's quality performance percentile on an individual measure described in § 510.400(a) increases from the previous performance year by at least 2 deciles on the performance percentile scale, then the hospitals is eligible to receive quality improvement points equal to 10 percent of the total available point for that individual measure up to a maximum composite quality score of 20 points.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42"/>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CMS provides incentive payments to participant hospitals that demonstrate good or excellent quality performance on the composite quality scores described in paragraph (b) of this section. These incentive payments are implemented in the form of the following reductions to the effective discount factors or applicable discount factors described in § 510.300(c):</w:t>
      </w:r>
    </w:p>
    <w:p>
      <w:pPr>
        <w:keepNext w:val="0"/>
        <w:numPr>
          <w:numId w:val="10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1.0 percentage point reduction to the effective discount factor or applicable discount factor for participant hospitals with good quality performance, defined as composite quality scores that are greater than or equal to 6.9 and less than or equal to 15.0.</w:t>
      </w:r>
    </w:p>
    <w:p>
      <w:pPr>
        <w:keepNext w:val="0"/>
        <w:numPr>
          <w:numId w:val="10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1.5 percentage point reduction to the effective discount factor or applicable discount factor for participant hospitals with excellent quality performance, defined as composite quality scores that are greater than 15.0.</w:t>
      </w:r>
    </w:p>
    <w:p>
      <w:pPr>
        <w:keepNext w:val="0"/>
        <w:numPr>
          <w:numId w:val="10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510.400 is amended by revising paragraph (c)(3) to read as follows:</w:t>
      </w:r>
    </w:p>
    <w:p>
      <w:pPr>
        <w:numPr>
          <w:numId w:val="1045"/>
        </w:numPr>
        <w:spacing w:before="120" w:line="240" w:lineRule="atLeast"/>
      </w:pPr>
      <w:r>
        <w:rPr>
          <w:b/>
          <w:i w:val="0"/>
          <w:sz w:val="20"/>
        </w:rPr>
        <w:t xml:space="preserve"> reporting.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0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0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Does not publicly report the voluntary patient-reported outcomes and limited risk variable data during this model, but indicates whether a hospital has successfully submitted </w:t>
      </w:r>
      <w:r>
        <w:rPr>
          <w:rFonts w:ascii="arial" w:eastAsia="arial" w:hAnsi="arial" w:cs="arial"/>
          <w:b/>
          <w:i w:val="0"/>
          <w:strike w:val="0"/>
          <w:noProof w:val="0"/>
          <w:color w:val="000000"/>
          <w:position w:val="0"/>
          <w:sz w:val="20"/>
          <w:u w:val="none"/>
          <w:vertAlign w:val="baseline"/>
        </w:rPr>
        <w:t> [*616] </w:t>
      </w:r>
      <w:r>
        <w:rPr>
          <w:rFonts w:ascii="arial" w:eastAsia="arial" w:hAnsi="arial" w:cs="arial"/>
          <w:b w:val="0"/>
          <w:i w:val="0"/>
          <w:strike w:val="0"/>
          <w:noProof w:val="0"/>
          <w:color w:val="000000"/>
          <w:position w:val="0"/>
          <w:sz w:val="20"/>
          <w:u w:val="none"/>
          <w:vertAlign w:val="baseline"/>
        </w:rPr>
        <w:t xml:space="preserve"> such data in accordance with § 510.400(b).</w:t>
      </w:r>
    </w:p>
    <w:p>
      <w:pPr>
        <w:keepNext w:val="0"/>
        <w:numPr>
          <w:numId w:val="10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510.405 is amended by revising paragraph (a)(1) and (b) to read as follows:</w:t>
      </w:r>
    </w:p>
    <w:p>
      <w:pPr>
        <w:numPr>
          <w:numId w:val="1049"/>
        </w:numPr>
        <w:spacing w:before="120" w:line="240" w:lineRule="atLeast"/>
      </w:pPr>
      <w:r>
        <w:rPr>
          <w:b/>
          <w:i w:val="0"/>
          <w:sz w:val="20"/>
        </w:rPr>
        <w:t>nd beneficiary notification.</w:t>
      </w:r>
    </w:p>
    <w:p>
      <w:pPr>
        <w:keepNext w:val="0"/>
        <w:numPr>
          <w:numId w:val="10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0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part of discharge planning and referral, participant hospitals must provide a complete list of HHAs, SNFs, IRFs, or LTCHs that are participating in the Medicare program, and that serve the geographic area (as defined by the HHA) in which the patient resides, or in the case of a SNF, IRF, or LTCH, in the geographic area requested by the patient.</w:t>
      </w:r>
    </w:p>
    <w:p>
      <w:pPr>
        <w:keepNext w:val="0"/>
        <w:numPr>
          <w:numId w:val="10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list must be presented to CJR beneficiaries for whom home health care, SNF, IRF, or LTCH services are medically necessary.</w:t>
      </w:r>
    </w:p>
    <w:p>
      <w:pPr>
        <w:keepNext w:val="0"/>
        <w:numPr>
          <w:numId w:val="10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must specify on the list those post-acute care providers on the list with whom they have a sharing arrangement.</w:t>
      </w:r>
    </w:p>
    <w:p>
      <w:pPr>
        <w:keepNext w:val="0"/>
        <w:numPr>
          <w:numId w:val="10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Participant hospitals may recommend preferred providers and suppliers, consistent with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0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Participant hospitals may not limit beneficiary choice to any list of providers or suppliers in any manner other than that permitted under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0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must take into account patient and family preferences when they are expressed.</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1057"/>
        </w:numPr>
        <w:spacing w:before="120" w:line="240" w:lineRule="atLeast"/>
      </w:pPr>
      <w:r>
        <w:rPr>
          <w:b/>
          <w:i/>
          <w:sz w:val="20"/>
        </w:rPr>
        <w:t>ication --</w:t>
      </w:r>
    </w:p>
    <w:p>
      <w:pPr>
        <w:keepNext w:val="0"/>
        <w:numPr>
          <w:numId w:val="1058"/>
        </w:numPr>
        <w:spacing w:before="120" w:after="0" w:line="260" w:lineRule="atLeast"/>
        <w:ind w:right="0"/>
        <w:jc w:val="both"/>
      </w:pPr>
      <w:r>
        <w:rPr>
          <w:b/>
          <w:i/>
          <w:sz w:val="20"/>
        </w:rPr>
        <w:t>led notification.</w:t>
      </w:r>
      <w:r>
        <w:rPr>
          <w:rFonts w:ascii="arial" w:eastAsia="arial" w:hAnsi="arial" w:cs="arial"/>
          <w:b w:val="0"/>
          <w:i w:val="0"/>
          <w:strike w:val="0"/>
          <w:noProof w:val="0"/>
          <w:color w:val="000000"/>
          <w:position w:val="0"/>
          <w:sz w:val="20"/>
          <w:u w:val="none"/>
          <w:vertAlign w:val="baseline"/>
        </w:rPr>
        <w:t>Each participant hospital must provide written notification to any Medicare beneficiary that meets the criteria in § 510.205 of his or her inclusion in the CJR model. The notification must be provided upon admission to the participant hospital if the admission that initiates the CJR episode is not scheduled with the participant hospital in advance. If the admission is scheduled in advance, then the participant hospital must provide notice as soon as the admission is scheduled. In circumstances where, due to the patient's condition, it is not feasible to provide notification at such times, the notification must be provided to the beneficiary or his or her representative as soon as is reasonably practicable but no later than discharge from the participant hospital accountable for the CJR episode. The beneficiary notification must contain all of the following:</w:t>
      </w:r>
    </w:p>
    <w:p>
      <w:pPr>
        <w:keepNext w:val="0"/>
        <w:numPr>
          <w:numId w:val="10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detailed explanation of the model and how it might be expected to affect the beneficiary's care.</w:t>
      </w:r>
    </w:p>
    <w:p>
      <w:pPr>
        <w:keepNext w:val="0"/>
        <w:numPr>
          <w:numId w:val="10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Notification that the beneficiary retains freedom of choice to choose providers and services.</w:t>
      </w:r>
    </w:p>
    <w:p>
      <w:pPr>
        <w:keepNext w:val="0"/>
        <w:numPr>
          <w:numId w:val="10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Explanation of how patients can access care records and claims data through an available patient portal, and how they can share access to their Blue Button(R) electronic health information with caregivers.</w:t>
      </w:r>
    </w:p>
    <w:p>
      <w:pPr>
        <w:keepNext w:val="0"/>
        <w:numPr>
          <w:numId w:val="10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all existing Medicare beneficiary protections continue to be available to the beneficiary. These include the ability to report concerns of substandard care to Quality Improvement Organizations or the 1-800-MEDICARE helpline.</w:t>
      </w:r>
    </w:p>
    <w:p>
      <w:pPr>
        <w:keepNext w:val="0"/>
        <w:numPr>
          <w:numId w:val="10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list of the providers, suppliers, and ACOs with whom the CJR participant hospital has a sharing arrangement. This requirement may be fulfilled by the participant hospital including in the detailed notification a Web address where beneficiaries may access the list.</w:t>
      </w:r>
    </w:p>
    <w:p>
      <w:pPr>
        <w:keepNext w:val="0"/>
        <w:numPr>
          <w:numId w:val="10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require every CJR collaborator to provide written notice to applicable CJR beneficiaries of the structure of the CJR model and the existence of its sharing arrangement with the participant hospital.</w:t>
      </w:r>
    </w:p>
    <w:p>
      <w:pPr>
        <w:keepNext w:val="0"/>
        <w:numPr>
          <w:numId w:val="10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CJR participant hospital must require every CJR collaborator (other than PGPs) that furnishes an item or service to a CJR beneficiary during a CJR episode to provide written notice to the beneficiary of the structure of the model and the existence of the individual's or entity's sharing arrangement. The notice must be provided no later than the time at which the beneficiary first receives an item or service from the CJR collaborator during a CJR episode. In circumstances where, due to the patient's condition, it is not feasible to provide notification at such time, the notification must be provided to the beneficiary or his or her representative as soon as is reasonably practicable.</w:t>
      </w:r>
    </w:p>
    <w:p>
      <w:pPr>
        <w:keepNext w:val="0"/>
        <w:numPr>
          <w:numId w:val="10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require every PGP that is a CJR collaborator where a member of the PGP furnishes an item or service to a CJR beneficiary during a CJR episode to provide written notice to the beneficiary of the structure of the model and the existence of the entity's sharing arrangement under the model. The notice must be provided no later than the time at which the beneficiary first receives an item or service from any member of the PGP, and the required PGP notice may be provided by that member. In circumstances where, due to the patient's condition, it is not feasible to provide notice at such times, the notice must be provided to the beneficiary or his or her representative as soon as is reasonably practicable.</w:t>
      </w:r>
    </w:p>
    <w:p>
      <w:pPr>
        <w:keepNext w:val="0"/>
        <w:numPr>
          <w:numId w:val="10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provide the beneficiary with a written notice of any potential financial liability associated with non-covered services recommended or presented as an option as part of discharge planning, no later than the time that the beneficiary discusses a particular post-acute care option or at the time the beneficiary is discharged, whichever occurs earlier.</w:t>
      </w:r>
    </w:p>
    <w:p>
      <w:pPr>
        <w:keepNext w:val="0"/>
        <w:numPr>
          <w:numId w:val="10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participant hospital knows or should have known that the beneficiary is considering or has decided to receive a non-covered post-acute care service or other non-covered associated service or supply, the participant hospital must notify the beneficiary that the service would not be covered by Medicare.</w:t>
      </w:r>
    </w:p>
    <w:p>
      <w:pPr>
        <w:keepNext w:val="0"/>
        <w:numPr>
          <w:numId w:val="10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participant hospital is discharging a beneficiary to a SNF prior to the occurrence of a 3-day hospital stay, and the beneficiary is being transferred to or is considering a SNF that would not qualify under the SNF 3-day waiver in § 510.610, the participant hospital must notify the beneficiary in accordance with paragraph (b)(3)(i) of this section that the beneficiary will be responsible for payment for the services furnished by the SNF during that stay, except those services that would be covered by Medicare Part B during a non-covered inpatient SNF stay.</w:t>
      </w:r>
    </w:p>
    <w:p>
      <w:pPr>
        <w:keepNext w:val="0"/>
        <w:numPr>
          <w:numId w:val="10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510.405 is further amended, effective July 1, 2017, by revising paragraphs (b)(1) and (2) and adding paragraph (b)(4) to read as follows:</w:t>
      </w:r>
    </w:p>
    <w:p>
      <w:pPr>
        <w:numPr>
          <w:numId w:val="1071"/>
        </w:numPr>
        <w:spacing w:before="120" w:line="240" w:lineRule="atLeast"/>
      </w:pPr>
      <w:r>
        <w:rPr>
          <w:b/>
          <w:i w:val="0"/>
          <w:sz w:val="20"/>
        </w:rPr>
        <w:t>nd beneficiary notification.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0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073"/>
        </w:numPr>
        <w:spacing w:before="120" w:after="0" w:line="260" w:lineRule="atLeast"/>
        <w:ind w:right="0"/>
        <w:jc w:val="both"/>
      </w:pPr>
      <w:r>
        <w:rPr>
          <w:b/>
          <w:i/>
          <w:sz w:val="20"/>
        </w:rPr>
        <w:t>led notification.</w:t>
      </w:r>
      <w:r>
        <w:rPr>
          <w:rFonts w:ascii="arial" w:eastAsia="arial" w:hAnsi="arial" w:cs="arial"/>
          <w:b w:val="0"/>
          <w:i w:val="0"/>
          <w:strike w:val="0"/>
          <w:noProof w:val="0"/>
          <w:color w:val="000000"/>
          <w:position w:val="0"/>
          <w:sz w:val="20"/>
          <w:u w:val="none"/>
          <w:vertAlign w:val="baseline"/>
        </w:rPr>
        <w:t xml:space="preserve">Each participant hospital must provide written notification to any Medicare beneficiary that meets the criteria in § 510.205 of his or her inclusion in the CJR model. The notification must be provided upon admission to the participant hospital if the admission that initiates the CJR episode is not scheduled with the participant hospital in advance. If the admission is scheduled in advance, then the participant hospital must provide notice as soon as the admission is scheduled. In circumstances where, due to the patient's condition, it is not feasible to provide notification at such times, the notification must be provided to the beneficiary or his or her representative as soon as is reasonably practicable but no later than discharge from the participant hospital accountable for the CJR episode. The participant hospital must be able to generate a list of all beneficiaries </w:t>
      </w:r>
      <w:r>
        <w:rPr>
          <w:rFonts w:ascii="arial" w:eastAsia="arial" w:hAnsi="arial" w:cs="arial"/>
          <w:b/>
          <w:i w:val="0"/>
          <w:strike w:val="0"/>
          <w:noProof w:val="0"/>
          <w:color w:val="000000"/>
          <w:position w:val="0"/>
          <w:sz w:val="20"/>
          <w:u w:val="none"/>
          <w:vertAlign w:val="baseline"/>
        </w:rPr>
        <w:t> [*617] </w:t>
      </w:r>
      <w:r>
        <w:rPr>
          <w:rFonts w:ascii="arial" w:eastAsia="arial" w:hAnsi="arial" w:cs="arial"/>
          <w:b w:val="0"/>
          <w:i w:val="0"/>
          <w:strike w:val="0"/>
          <w:noProof w:val="0"/>
          <w:color w:val="000000"/>
          <w:position w:val="0"/>
          <w:sz w:val="20"/>
          <w:u w:val="none"/>
          <w:vertAlign w:val="baseline"/>
        </w:rPr>
        <w:t xml:space="preserve"> receiving such notification, including the date on which the notification was provided to the beneficiary, to CMS or its designee upon request. The beneficiary notification must contain all of the following:</w:t>
      </w:r>
    </w:p>
    <w:p>
      <w:pPr>
        <w:keepNext w:val="0"/>
        <w:numPr>
          <w:numId w:val="10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detailed explanation of the model and how it might be expected to affect the beneficiary's care.</w:t>
      </w:r>
    </w:p>
    <w:p>
      <w:pPr>
        <w:keepNext w:val="0"/>
        <w:numPr>
          <w:numId w:val="10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Notification that the beneficiary retains freedom of choice to choose providers and services.</w:t>
      </w:r>
    </w:p>
    <w:p>
      <w:pPr>
        <w:keepNext w:val="0"/>
        <w:numPr>
          <w:numId w:val="10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Explanation of how patients can access care records and claims data through an available patient portal, and how they can share access to their Blue Button(R) electronic health information with caregivers.</w:t>
      </w:r>
    </w:p>
    <w:p>
      <w:pPr>
        <w:keepNext w:val="0"/>
        <w:numPr>
          <w:numId w:val="10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all existing Medicare beneficiary protections continue to be available to the beneficiary. These include the ability to report concerns of substandard care to Quality Improvement Organizations or the 1-800-MEDICARE helpline.</w:t>
      </w:r>
    </w:p>
    <w:p>
      <w:pPr>
        <w:keepNext w:val="0"/>
        <w:numPr>
          <w:numId w:val="10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list of the providers, suppliers, and ACOs with whom the CJR participant hospital has a sharing arrangement. This requirement may be fulfilled by the participant hospital including in the detailed notification a Web address where beneficiaries may access the list.</w:t>
      </w:r>
    </w:p>
    <w:p>
      <w:pPr>
        <w:keepNext w:val="0"/>
        <w:numPr>
          <w:numId w:val="10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require every CJR collaborator to provide written notice to applicable CJR beneficiaries of the structure of the CJR model and the existence of its sharing arrangement with the participant hospital.</w:t>
      </w:r>
    </w:p>
    <w:p>
      <w:pPr>
        <w:keepNext w:val="0"/>
        <w:numPr>
          <w:numId w:val="10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the exception of ACOs, PGPs, NPPGPs, and TGPs, a CJR participant hospital must require every CJR collaborator that furnishes an item or service to a CJR beneficiary during a CJR episode to provide written notice to the beneficiary of the structure of the model and the existence of the individual's or entity's sharing arrangement. The notice must be provided no later than the time at which the beneficiary first receives an item or service from the CJR collaborator during a CJR episode. In circumstances where, due to the patient's condition, it is not feasible to provide notification at such time, the notification must be provided to the beneficiary or his or her representative as soon as is reasonably practicable. The CJR collaborator must be able to generate a list of all beneficiaries who received such a notice, including the date on which the notice was provided to the beneficiary, to CMS upon request.</w:t>
      </w:r>
    </w:p>
    <w:p>
      <w:pPr>
        <w:keepNext w:val="0"/>
        <w:numPr>
          <w:numId w:val="10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require every PGP, NPPGP, or TGP that is a CJR collaborator where a member of the PGP, member of the NPPGP, or member of the TGP furnishes an item or service to a CJR beneficiary during a CJR episode to provide written notice to the beneficiary of the structure of the model and the existence of the entity's sharing arrangement. The notice must be provided no later than the time at which the beneficiary first receives an item or service from any member of the PGP, member of the NPPGP, or member of the TGP, and the required PGP, NPPGP, or TGP notice may be provided by that member respectively. In circumstances where, due to the patient's condition, it is not feasible to provide notice at such times, the notice must be provided to the beneficiary or his or her representative as soon as is reasonably practicable. The PGP, NPPGP, or TGP must be able to generate a list of all beneficiaries who received such a notice, including the date on which the notice was provided to the beneficiary, to CMS upon request.</w:t>
      </w:r>
    </w:p>
    <w:p>
      <w:pPr>
        <w:keepNext w:val="0"/>
        <w:numPr>
          <w:numId w:val="10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require every ACO that is a CJR collaborator where an ACO participant or ACO provider/supplier furnishes an item or service to a CJR beneficiary during a CJR episode to provide written notice to the beneficiary of the structure of the model and the existence of the entity's sharing arrangement. The notice must be provided no later than the time at which the beneficiary first receives an item or service from any ACO participant or ACO provider/supplier and the required ACO notice may be provided by that ACO participant or ACO provider/supplier respectively. In circumstances where, due to the patient's condition, it is not feasible to provide notice at such times, the notice must be provided to the beneficiary or his or her representative as soon as is reasonably practicable. The ACO must be able to generate a list of all beneficiaries who received such a notice, including the date on which the notice was provided to the beneficiary, to CMS upon request.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83"/>
        </w:numPr>
        <w:spacing w:before="120" w:after="0" w:line="260" w:lineRule="atLeast"/>
        <w:ind w:right="0"/>
        <w:jc w:val="both"/>
      </w:pPr>
      <w:r>
        <w:rPr>
          <w:b/>
          <w:i/>
          <w:sz w:val="20"/>
        </w:rPr>
        <w:t>ntion.</w:t>
      </w:r>
      <w:r>
        <w:rPr>
          <w:rFonts w:ascii="arial" w:eastAsia="arial" w:hAnsi="arial" w:cs="arial"/>
          <w:b w:val="0"/>
          <w:i w:val="0"/>
          <w:strike w:val="0"/>
          <w:noProof w:val="0"/>
          <w:color w:val="000000"/>
          <w:position w:val="0"/>
          <w:sz w:val="20"/>
          <w:u w:val="none"/>
          <w:vertAlign w:val="baseline"/>
        </w:rPr>
        <w:t>Lists of beneficiaries that receive notifications or notices must be retained, and access provided to CMS, or its designees, in accordance with § 510.110.</w:t>
      </w:r>
    </w:p>
    <w:p>
      <w:pPr>
        <w:keepNext w:val="0"/>
        <w:numPr>
          <w:numId w:val="10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510.410 is amended, effective July 1, 2017, by revising paragraphs (b)(1) introductory text, (b)(1)(i) introductory text, (b)(1)(i)(F), (b)(1)(ii), (b)(2)(i) through (v), and (b)(3) to read as follows:</w:t>
      </w:r>
    </w:p>
    <w:p>
      <w:pPr>
        <w:numPr>
          <w:numId w:val="1085"/>
        </w:numPr>
        <w:spacing w:before="120" w:line="240" w:lineRule="atLeast"/>
      </w:pPr>
      <w:r>
        <w:rPr>
          <w:b/>
          <w:i w:val="0"/>
          <w:sz w:val="20"/>
        </w:rPr>
        <w:t>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0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0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may take one or more of the remedial actions set forth in paragraph (b)(2) of this section if a participant hospital or its related CJR collaborators, collaboration agents, or downstream collaboration agents--</w:t>
      </w:r>
    </w:p>
    <w:p>
      <w:pPr>
        <w:keepNext w:val="0"/>
        <w:numPr>
          <w:numId w:val="10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Fails to comply with any requirements of this part or is identified as noncompliant through monitoring by HHS (including CMS and OIG) of the CJR model, including but not limited to the following:</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Failing to follow the requirements related to sharing arrangements.</w:t>
      </w:r>
    </w:p>
    <w:p>
      <w:pPr>
        <w:keepNext w:val="0"/>
        <w:numPr>
          <w:numId w:val="10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signed a sharing arrangement, distribution arrangement, or downstream distribution arrangement that is noncompliant with the requirements of this part.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0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Issuing a warning letter to the participant hospital.</w:t>
      </w:r>
    </w:p>
    <w:p>
      <w:pPr>
        <w:keepNext w:val="0"/>
        <w:numPr>
          <w:numId w:val="10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Requiring the participant hospital to develop a corrective action plan, commonly referred to as a CAP.</w:t>
      </w:r>
    </w:p>
    <w:p>
      <w:pPr>
        <w:keepNext w:val="0"/>
        <w:numPr>
          <w:numId w:val="10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Reducing or eliminating a participant hospital's reconciliation payment.</w:t>
      </w:r>
    </w:p>
    <w:p>
      <w:pPr>
        <w:keepNext w:val="0"/>
        <w:numPr>
          <w:numId w:val="10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Requiring a participant hospital to terminate a sharing arrangement with a CJR collaborator and prohibiting further engagement in sharing arrangements with the participant hospital by that CJR collaborator.</w:t>
      </w:r>
    </w:p>
    <w:p>
      <w:pPr>
        <w:keepNext w:val="0"/>
        <w:numPr>
          <w:numId w:val="10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Terminating the participant hospital's participation in the CJR model. Where a participant is terminated from the CJR model, the participant hospital will remain liable for all negative NPRA generated from episodes of care that ended prior to termination.</w:t>
      </w:r>
    </w:p>
    <w:p>
      <w:pPr>
        <w:keepNext w:val="0"/>
        <w:numPr>
          <w:numId w:val="10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may add a 25 percent penalty to a repayment amount on the participant hospital's reconciliation report if all of the following conditions are met:</w:t>
      </w:r>
    </w:p>
    <w:p>
      <w:pPr>
        <w:keepNext w:val="0"/>
        <w:numPr>
          <w:numId w:val="10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has required a corrective action plan from a participant hospital;</w:t>
      </w:r>
    </w:p>
    <w:p>
      <w:pPr>
        <w:keepNext w:val="0"/>
        <w:numPr>
          <w:numId w:val="10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owes a repayment amount to CMS; and</w:t>
      </w:r>
    </w:p>
    <w:p>
      <w:pPr>
        <w:keepNext w:val="0"/>
        <w:numPr>
          <w:numId w:val="10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fails to timely comply with the corrective action plan or is noncompliant with the CJR model's requirements.</w:t>
      </w:r>
    </w:p>
    <w:p>
      <w:pPr>
        <w:keepNext w:val="0"/>
        <w:numPr>
          <w:numId w:val="10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510.500 is revised, effective July 1, 2017, to read as follows:</w:t>
      </w:r>
    </w:p>
    <w:p>
      <w:pPr>
        <w:numPr>
          <w:numId w:val="1100"/>
        </w:numPr>
        <w:spacing w:before="120" w:line="240" w:lineRule="atLeast"/>
      </w:pPr>
      <w:r>
        <w:rPr>
          <w:b/>
          <w:i w:val="0"/>
          <w:sz w:val="20"/>
        </w:rPr>
        <w:t xml:space="preserve"> under the CJR model.</w:t>
      </w:r>
    </w:p>
    <w:p>
      <w:pPr>
        <w:numPr>
          <w:numId w:val="1101"/>
        </w:numPr>
        <w:spacing w:before="120" w:line="240" w:lineRule="atLeast"/>
      </w:pPr>
    </w:p>
    <w:p>
      <w:pPr>
        <w:keepNext w:val="0"/>
        <w:numPr>
          <w:numId w:val="1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participant hospital may enter into a sharing arrangement with a CJR collaborator to make a gainsharing payment, or to receive an alignment payment, or both. A participant hospital must not make a gainsharing payment or receive an alignment payment except in accordance with a sharing arrangement. </w:t>
      </w:r>
      <w:r>
        <w:rPr>
          <w:rFonts w:ascii="arial" w:eastAsia="arial" w:hAnsi="arial" w:cs="arial"/>
          <w:b/>
          <w:i w:val="0"/>
          <w:strike w:val="0"/>
          <w:noProof w:val="0"/>
          <w:color w:val="000000"/>
          <w:position w:val="0"/>
          <w:sz w:val="20"/>
          <w:u w:val="none"/>
          <w:vertAlign w:val="baseline"/>
        </w:rPr>
        <w:t> [*618] </w:t>
      </w:r>
    </w:p>
    <w:p>
      <w:pPr>
        <w:keepNext w:val="0"/>
        <w:numPr>
          <w:numId w:val="1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sharing arrangement must comply with the provisions of this section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applicable fraud and abuse laws and all applicable payment and coverage requirements.</w:t>
      </w:r>
    </w:p>
    <w:p>
      <w:pPr>
        <w:keepNext w:val="0"/>
        <w:numPr>
          <w:numId w:val="1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must develop, maintain, and use a set of written policies for selecting individuals and entities to be CJR collaborators. These policies must contain criteria related to, and inclusive of, the quality of care delivered by the potential CJR collaborator. The selection criteria cannot be based directly or indirectly on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 A selection criterion that considers whether a potential CJR collaborator has performed a reasonable minimum number of services that would qualify as CJR activities will be deemed not to violate the volume or value standard if the purpose of the criterion is to ensure the quality of care furnished to CJR beneficiaries.</w:t>
      </w:r>
    </w:p>
    <w:p>
      <w:pPr>
        <w:keepNext w:val="0"/>
        <w:numPr>
          <w:numId w:val="1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participant hospital enters into a sharing arrangement, its compliance program must include oversight of sharing arrangements and compliance with the applicable requirements of the CJR model.</w:t>
      </w:r>
    </w:p>
    <w:p>
      <w:pPr>
        <w:numPr>
          <w:numId w:val="1103"/>
        </w:numPr>
        <w:spacing w:before="120" w:line="240" w:lineRule="atLeast"/>
      </w:pPr>
    </w:p>
    <w:p>
      <w:pPr>
        <w:keepNext w:val="0"/>
        <w:numPr>
          <w:numId w:val="1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sharing arrangement must be in writing and signed by the parties, and entered into before care is furnished to CJR beneficiaries under the sharing arrangement.</w:t>
      </w:r>
    </w:p>
    <w:p>
      <w:pPr>
        <w:keepNext w:val="0"/>
        <w:numPr>
          <w:numId w:val="1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a sharing arrangement must be voluntary and without penalty for nonparticipation.</w:t>
      </w:r>
    </w:p>
    <w:p>
      <w:pPr>
        <w:keepNext w:val="0"/>
        <w:numPr>
          <w:numId w:val="1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require the CJR collaborator and its employees, contractors (including collaboration agents), and subcontractors (including downstream collaboration agents) to comply with all of the following:</w:t>
      </w:r>
    </w:p>
    <w:p>
      <w:pPr>
        <w:keepNext w:val="0"/>
        <w:numPr>
          <w:numId w:val="1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applicable provisions of this part (including requirements regarding beneficiary notifications, access to records, record retention, and participation in any evaluation, monitoring, compliance, and enforcement activities performed by CMS or its designees).</w:t>
      </w:r>
    </w:p>
    <w:p>
      <w:pPr>
        <w:keepNext w:val="0"/>
        <w:numPr>
          <w:numId w:val="1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applicable Medicare provider enrollment requirements at § 424.500 of this chapter, including having a valid and active TIN or NPI, during the term of the sharing arrangement.</w:t>
      </w:r>
    </w:p>
    <w:p>
      <w:pPr>
        <w:keepNext w:val="0"/>
        <w:numPr>
          <w:numId w:val="1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require the CJR collaborator to have or be covered by a compliance program that includes oversight of the sharing arrangement and compliance with the requirements of the CJR model that apply to its role as a CJR collaborator, including any distribution arrangements.</w:t>
      </w:r>
    </w:p>
    <w:p>
      <w:pPr>
        <w:keepNext w:val="0"/>
        <w:numPr>
          <w:numId w:val="1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not pose a risk to beneficiary access, beneficiary freedom of choice, or quality of care.</w:t>
      </w:r>
    </w:p>
    <w:p>
      <w:pPr>
        <w:keepNext w:val="0"/>
        <w:numPr>
          <w:numId w:val="1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board or other governing body of the participant hospital must have responsibility for overseeing the participant hospital's participation in the CJR model, its arrangements with CJR collaborators, its payment of gainsharing payments, its receipt of alignment payments, and its use of beneficiary incentives in the CJR model.</w:t>
      </w:r>
    </w:p>
    <w:p>
      <w:pPr>
        <w:keepNext w:val="0"/>
        <w:numPr>
          <w:numId w:val="1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written agreement memorializing a sharing arrangement must specify the following:</w:t>
      </w:r>
    </w:p>
    <w:p>
      <w:pPr>
        <w:keepNext w:val="0"/>
        <w:numPr>
          <w:numId w:val="1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purpose and scope of the sharing arrangement.</w:t>
      </w:r>
    </w:p>
    <w:p>
      <w:pPr>
        <w:keepNext w:val="0"/>
        <w:numPr>
          <w:numId w:val="1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obligations of the parties, including specified CJR activities and other services to be performed by the parties under the sharing arrangement.</w:t>
      </w:r>
    </w:p>
    <w:p>
      <w:pPr>
        <w:keepNext w:val="0"/>
        <w:numPr>
          <w:numId w:val="1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of the sharing arrangement.</w:t>
      </w:r>
    </w:p>
    <w:p>
      <w:pPr>
        <w:keepNext w:val="0"/>
        <w:numPr>
          <w:numId w:val="1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financial or economic terms for payment, including the following:</w:t>
      </w:r>
    </w:p>
    <w:p>
      <w:pPr>
        <w:keepNext w:val="0"/>
        <w:numPr>
          <w:numId w:val="1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Eligibility criteria for a gainsharing payment.</w:t>
      </w:r>
    </w:p>
    <w:p>
      <w:pPr>
        <w:keepNext w:val="0"/>
        <w:numPr>
          <w:numId w:val="1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Eligibility criteria for an alignment payment.</w:t>
      </w:r>
    </w:p>
    <w:p>
      <w:pPr>
        <w:keepNext w:val="0"/>
        <w:numPr>
          <w:numId w:val="1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Frequency of gainsharing or alignment payment.</w:t>
      </w:r>
    </w:p>
    <w:p>
      <w:pPr>
        <w:keepNext w:val="0"/>
        <w:numPr>
          <w:numId w:val="1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Methodology and accounting formula for determining the amount of a gainsharing payment or alignment payment.</w:t>
      </w:r>
    </w:p>
    <w:p>
      <w:pPr>
        <w:keepNext w:val="0"/>
        <w:numPr>
          <w:numId w:val="1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not--</w:t>
      </w:r>
    </w:p>
    <w:p>
      <w:pPr>
        <w:keepNext w:val="0"/>
        <w:numPr>
          <w:numId w:val="1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Induce the participant hospital, CJR collaborator, or any employees, contractors, or subcontractors of the participant hospital or CJR collaborator to reduce or limit medically necessary services to any Medicare beneficiary; or</w:t>
      </w:r>
    </w:p>
    <w:p>
      <w:pPr>
        <w:keepNext w:val="0"/>
        <w:numPr>
          <w:numId w:val="1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Restrict the ability of a CJR collaborator to make decisions in the best interests of its patients, including the selection of devices, supplies, and treatments.</w:t>
      </w:r>
    </w:p>
    <w:p>
      <w:pPr>
        <w:numPr>
          <w:numId w:val="1118"/>
        </w:numPr>
        <w:spacing w:before="120" w:line="240" w:lineRule="atLeast"/>
      </w:pPr>
      <w:r>
        <w:rPr>
          <w:b/>
          <w:i/>
          <w:sz w:val="20"/>
        </w:rPr>
        <w:t>ment payment, and internal cost savings conditions and restrictions.</w:t>
      </w:r>
    </w:p>
    <w:p>
      <w:pPr>
        <w:keepNext w:val="0"/>
        <w:numPr>
          <w:numId w:val="1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Gainsharing payments, if any, must--</w:t>
      </w:r>
    </w:p>
    <w:p>
      <w:pPr>
        <w:keepNext w:val="0"/>
        <w:numPr>
          <w:numId w:val="1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derived solely from reconciliation payments, or internal cost savings, or both;</w:t>
      </w:r>
    </w:p>
    <w:p>
      <w:pPr>
        <w:keepNext w:val="0"/>
        <w:numPr>
          <w:numId w:val="1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distributed on an annual basis (not more than once per calendar year);</w:t>
      </w:r>
    </w:p>
    <w:p>
      <w:pPr>
        <w:keepNext w:val="0"/>
        <w:numPr>
          <w:numId w:val="1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be a loan, advance payment, or payment for referrals or other business; and</w:t>
      </w:r>
    </w:p>
    <w:p>
      <w:pPr>
        <w:keepNext w:val="0"/>
        <w:numPr>
          <w:numId w:val="1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clearly identified as a gainsharing payment at the time it is paid.</w:t>
      </w:r>
    </w:p>
    <w:p>
      <w:pPr>
        <w:numPr>
          <w:numId w:val="1119"/>
        </w:numPr>
        <w:spacing w:before="120" w:line="240" w:lineRule="atLeast"/>
      </w:pPr>
    </w:p>
    <w:p>
      <w:pPr>
        <w:keepNext w:val="0"/>
        <w:numPr>
          <w:numId w:val="1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a CJR collaborator must meet quality of care criteria for the performance year for which the participant hospital accrued the internal cost savings or earned the reconciliation payment that comprises the gainsharing payment. The quality of care criteria must be established by the participant hospital and directly related to the CJR episode.</w:t>
      </w:r>
    </w:p>
    <w:p>
      <w:pPr>
        <w:keepNext w:val="0"/>
        <w:numPr>
          <w:numId w:val="1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or to be required to make an alignment payment, a CJR collaborator other than ACO, PGP, NPPGP, or TGP must have directly furnished a billable item or service to a CJR beneficiary during a CJR episode that occurred in the same performance year for which the participant hospital accrued the internal cost savings or earned the reconciliation payment that comprises the gainsharing payment or was assessed a repayment amount.</w:t>
      </w:r>
    </w:p>
    <w:p>
      <w:pPr>
        <w:keepNext w:val="0"/>
        <w:numPr>
          <w:numId w:val="1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or to be required to make an alignment payment, a CJR collaborator that is a PGP, NPPGP, or TGP must meet the following criteria:</w:t>
      </w:r>
    </w:p>
    <w:p>
      <w:pPr>
        <w:keepNext w:val="0"/>
        <w:numPr>
          <w:numId w:val="1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NPPGP, or TGP must have billed for an item or service that was rendered by one or more PGP member, NPPGP member, or TGP member respectively to a CJR beneficiary during a CJR episode that occurred during the same performance year for which the participant hospital accrued the internal cost savings or earned the reconciliation payment that comprises the gainsharing payment or was assessed a repayment amount.</w:t>
      </w:r>
    </w:p>
    <w:p>
      <w:pPr>
        <w:keepNext w:val="0"/>
        <w:numPr>
          <w:numId w:val="1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NPPGP, or TGP must have contributed to CJR activities and been clinically involved in the care of CJR beneficiaries during the same performance year for which the CJR participant hospital accrued the internal cost savings or earned the reconciliation payment that comprises the gainsharing payment or was assessed a repayment amount. For example, a PGP, NPPGP, or TGP might have been clinically involved in the care of CJR beneficiaries by--</w:t>
      </w:r>
    </w:p>
    <w:p>
      <w:pPr>
        <w:keepNext w:val="0"/>
        <w:numPr>
          <w:numId w:val="1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Providing care coordination services to beneficiaries during and/or after inpatient admission;</w:t>
      </w:r>
    </w:p>
    <w:p>
      <w:pPr>
        <w:keepNext w:val="0"/>
        <w:numPr>
          <w:numId w:val="1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Engaging with a participant hospital in care redesign strategies, and actually performing a role in implementing such strategies, that are </w:t>
      </w:r>
      <w:r>
        <w:rPr>
          <w:rFonts w:ascii="arial" w:eastAsia="arial" w:hAnsi="arial" w:cs="arial"/>
          <w:b/>
          <w:i w:val="0"/>
          <w:strike w:val="0"/>
          <w:noProof w:val="0"/>
          <w:color w:val="000000"/>
          <w:position w:val="0"/>
          <w:sz w:val="20"/>
          <w:u w:val="none"/>
          <w:vertAlign w:val="baseline"/>
        </w:rPr>
        <w:t> [*619] </w:t>
      </w:r>
      <w:r>
        <w:rPr>
          <w:rFonts w:ascii="arial" w:eastAsia="arial" w:hAnsi="arial" w:cs="arial"/>
          <w:b w:val="0"/>
          <w:i w:val="0"/>
          <w:strike w:val="0"/>
          <w:noProof w:val="0"/>
          <w:color w:val="000000"/>
          <w:position w:val="0"/>
          <w:sz w:val="20"/>
          <w:u w:val="none"/>
          <w:vertAlign w:val="baseline"/>
        </w:rPr>
        <w:t xml:space="preserve"> designed to improve the quality of care for CJR episodes and reduce CJR episode spending; or</w:t>
      </w:r>
    </w:p>
    <w:p>
      <w:pPr>
        <w:keepNext w:val="0"/>
        <w:numPr>
          <w:numId w:val="1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coordination with other providers and suppliers (such as PGP members, NPPGP members, or TGP members; the participant hospital; and post-acute care providers), implementing strategies designed to address and manage the comorbidities of CJR beneficiaries.</w:t>
      </w:r>
    </w:p>
    <w:p>
      <w:pPr>
        <w:keepNext w:val="0"/>
        <w:numPr>
          <w:numId w:val="1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or to be required to make an alignment payment, a CJR collaborator that is an ACO must meet the following criteria:</w:t>
      </w:r>
    </w:p>
    <w:p>
      <w:pPr>
        <w:keepNext w:val="0"/>
        <w:numPr>
          <w:numId w:val="1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ACO must have had an ACO provider/supplier that directly furnished, or an ACO participant that billed for, an item or service that was rendered to a CJR beneficiary during a CJR episode that occurred during the same performance year for which the participant hospital accrued the internal cost savings or earned the reconciliation payment that comprises the gainsharing payment or was assessed a repayment amount; and</w:t>
      </w:r>
    </w:p>
    <w:p>
      <w:pPr>
        <w:keepNext w:val="0"/>
        <w:numPr>
          <w:numId w:val="1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ACO must have contributed to CJR activities and been clinically involved in the care of CJR beneficiaries during the same performance year for which the participant hospital accrued the internal cost savings or earned the reconciliation payment that comprises the gainsharing payment or was assessed the repayment amount. For example, an ACO might be have been clinically involved in the care of CJR beneficiaries by--</w:t>
      </w:r>
    </w:p>
    <w:p>
      <w:pPr>
        <w:keepNext w:val="0"/>
        <w:numPr>
          <w:numId w:val="1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Providing care coordination services to CJR beneficiaries during and/or after inpatient admission;</w:t>
      </w:r>
    </w:p>
    <w:p>
      <w:pPr>
        <w:keepNext w:val="0"/>
        <w:numPr>
          <w:numId w:val="1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Engaging with a participant hospital in care redesign strategies, and actually performing a role in implementing such strategies, that are designed to improve the quality of care and reduce spending for CJR episodes; or</w:t>
      </w:r>
    </w:p>
    <w:p>
      <w:pPr>
        <w:keepNext w:val="0"/>
        <w:numPr>
          <w:numId w:val="1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coordination with providers and suppliers (such as ACO participants, ACO providers/suppliers, the participant hospital, and post-acute care providers), implementing strategies designed to address and manage the comorbidities of CJR beneficiaries.</w:t>
      </w:r>
    </w:p>
    <w:p>
      <w:pPr>
        <w:numPr>
          <w:numId w:val="1119"/>
        </w:numPr>
        <w:spacing w:before="120" w:line="240" w:lineRule="atLeast"/>
      </w:pPr>
    </w:p>
    <w:p>
      <w:pPr>
        <w:keepNext w:val="0"/>
        <w:numPr>
          <w:numId w:val="1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for accruing, calculating and verifying internal cost savings must be transparent, measurable, and verifiable in accordance with generally accepted accounting principles (GAAP) and Government Auditing Standards (The Yellow Book).</w:t>
      </w:r>
    </w:p>
    <w:p>
      <w:pPr>
        <w:keepNext w:val="0"/>
        <w:numPr>
          <w:numId w:val="1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used to calculate internal cost savings must reflect the actual, internal cost savings achieved by the participant hospital through the documented implementation of CJR activities identified by the participant hospital and must exclude--</w:t>
      </w:r>
    </w:p>
    <w:p>
      <w:pPr>
        <w:keepNext w:val="0"/>
        <w:numPr>
          <w:numId w:val="1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savings realized by any individual or entity that is not the participant hospital; and</w:t>
      </w:r>
    </w:p>
    <w:p>
      <w:pPr>
        <w:keepNext w:val="0"/>
        <w:numPr>
          <w:numId w:val="1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"Paper" savings from accounting conventions or past investment in fixed costs.</w:t>
      </w:r>
    </w:p>
    <w:p>
      <w:pPr>
        <w:keepNext w:val="0"/>
        <w:numPr>
          <w:numId w:val="1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a gainsharing payment for a performance year paid to a CJR collaborator must not exceed the following:</w:t>
      </w:r>
    </w:p>
    <w:p>
      <w:pPr>
        <w:keepNext w:val="0"/>
        <w:numPr>
          <w:numId w:val="1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a CJR collaborator who is a physician or nonphysician practitioner, 50 percent of the Medicare-approved amounts under the PFS for items and services furnished by that physician or nonphysician practitioner to the participant hospital's CJR beneficiaries during CJR episodes that occurred during the same performance year for which the participant hospital accrued the internal cost savings or earned the reconciliation payment that comprises the gainsharing payment being made.</w:t>
      </w:r>
    </w:p>
    <w:p>
      <w:pPr>
        <w:keepNext w:val="0"/>
        <w:numPr>
          <w:numId w:val="1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a CJR collaborator that is a PGP or NPPGP, 50 percent of the Medicare-approved amounts under the PFS for items and services billed by that PGP or NPPGP and furnished to the participant hospital's CJR beneficiaries by the PGP members or NPPGP members respectively during CJR episodes that occurred during the same performance year for which the participant hospital accrued the internal cost savings or earned the reconciliation payment that comprises the gainsharing payment being made.</w:t>
      </w:r>
    </w:p>
    <w:p>
      <w:pPr>
        <w:keepNext w:val="0"/>
        <w:numPr>
          <w:numId w:val="1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gainsharing payments must be determined in accordance with a methodology that is substantially based on quality of care and the provision of CJR activities. The methodology may take into account the amount of such CJR activities provided by a CJR collaborator relative to other CJR collaborators.</w:t>
      </w:r>
    </w:p>
    <w:p>
      <w:pPr>
        <w:keepNext w:val="0"/>
        <w:numPr>
          <w:numId w:val="1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performance year, the aggregate amount of all gainsharing payments that are derived from a reconciliation payment the CJR participant hospital receives from CMS must not exceed the amount of that reconciliation payment.</w:t>
      </w:r>
    </w:p>
    <w:p>
      <w:pPr>
        <w:keepNext w:val="0"/>
        <w:numPr>
          <w:numId w:val="1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entity or individual, whether a party to a sharing arrangement or not, may condition the opportunity to make or receive gainsharing payments or to make or receive alignment payments directly or indirectly on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w:t>
      </w:r>
    </w:p>
    <w:p>
      <w:pPr>
        <w:keepNext w:val="0"/>
        <w:numPr>
          <w:numId w:val="1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not make a gainsharing payment to a CJR collaborator if CMS has notified the participant hospital that such collaborator is subject to any action for noncompliance with this part or the fraud and abuse laws, or for the provision of substandard care to CJR beneficiaries or other integrity problems.</w:t>
      </w:r>
    </w:p>
    <w:p>
      <w:pPr>
        <w:keepNext w:val="0"/>
        <w:numPr>
          <w:numId w:val="1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require the participant hospital to recoup any gainsharing payment that contained funds derived from a CMS overpayment on a reconciliation report or was based on the submission of false or fraudulent data.</w:t>
      </w:r>
    </w:p>
    <w:p>
      <w:pPr>
        <w:keepNext w:val="0"/>
        <w:numPr>
          <w:numId w:val="1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Alignment payments from a CJR collaborator to a participant hospital may be made at any interval that is agreed upon by both parties, and must not be--</w:t>
      </w:r>
    </w:p>
    <w:p>
      <w:pPr>
        <w:keepNext w:val="0"/>
        <w:numPr>
          <w:numId w:val="1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Issued, distributed, or paid prior to the calculation by CMS of a repayment amount reflected in a reconciliation report;</w:t>
      </w:r>
    </w:p>
    <w:p>
      <w:pPr>
        <w:keepNext w:val="0"/>
        <w:numPr>
          <w:numId w:val="1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Loans, advance payments, or payments for referrals or other business; or</w:t>
      </w:r>
    </w:p>
    <w:p>
      <w:pPr>
        <w:keepNext w:val="0"/>
        <w:numPr>
          <w:numId w:val="1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Assessed by a participant hospital if it does not owe a repayment amount.</w:t>
      </w:r>
    </w:p>
    <w:p>
      <w:pPr>
        <w:keepNext w:val="0"/>
        <w:numPr>
          <w:numId w:val="1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not receive any amounts under a sharing arrangement from a CJR collaborator that are not alignment payments.</w:t>
      </w:r>
    </w:p>
    <w:p>
      <w:pPr>
        <w:keepNext w:val="0"/>
        <w:numPr>
          <w:numId w:val="1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performance year, the aggregate amount of all alignment payments received by the participant hospital must not exceed 50 percent of the participant hospital's repayment amount.</w:t>
      </w:r>
    </w:p>
    <w:p>
      <w:pPr>
        <w:keepNext w:val="0"/>
        <w:numPr>
          <w:numId w:val="1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aggregate amount of all alignment payments from a CJR collaborator to the participant hospital may not be greater than--</w:t>
      </w:r>
    </w:p>
    <w:p>
      <w:pPr>
        <w:keepNext w:val="0"/>
        <w:numPr>
          <w:numId w:val="1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a CJR collaborator other than an ACO, 25 percent of the participant hospital's repayment amount.</w:t>
      </w:r>
    </w:p>
    <w:p>
      <w:pPr>
        <w:keepNext w:val="0"/>
        <w:numPr>
          <w:numId w:val="1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a CJR collaborator that is an ACO, 50 percent of the participant hospital's repayment amount.</w:t>
      </w:r>
    </w:p>
    <w:p>
      <w:pPr>
        <w:keepNext w:val="0"/>
        <w:numPr>
          <w:numId w:val="1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amount of any alignment payments must be determined in accordance with a methodology that does not directly account for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w:t>
      </w:r>
      <w:r>
        <w:rPr>
          <w:rFonts w:ascii="arial" w:eastAsia="arial" w:hAnsi="arial" w:cs="arial"/>
          <w:b/>
          <w:i w:val="0"/>
          <w:strike w:val="0"/>
          <w:noProof w:val="0"/>
          <w:color w:val="000000"/>
          <w:position w:val="0"/>
          <w:sz w:val="20"/>
          <w:u w:val="none"/>
          <w:vertAlign w:val="baseline"/>
        </w:rPr>
        <w:t> [*620] </w:t>
      </w:r>
      <w:r>
        <w:rPr>
          <w:rFonts w:ascii="arial" w:eastAsia="arial" w:hAnsi="arial" w:cs="arial"/>
          <w:b w:val="0"/>
          <w:i w:val="0"/>
          <w:strike w:val="0"/>
          <w:noProof w:val="0"/>
          <w:color w:val="000000"/>
          <w:position w:val="0"/>
          <w:sz w:val="20"/>
          <w:u w:val="none"/>
          <w:vertAlign w:val="baseline"/>
        </w:rPr>
        <w:t xml:space="preserve"> agent, or downstream collaboration agent.</w:t>
      </w:r>
    </w:p>
    <w:p>
      <w:pPr>
        <w:keepNext w:val="0"/>
        <w:numPr>
          <w:numId w:val="1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gainsharing payments and any alignment payments must be administered by the participant hospital in accordance with generally accepted accounting principles (GAAP) and Government Auditing Standards (The Yellow Book).</w:t>
      </w:r>
    </w:p>
    <w:p>
      <w:pPr>
        <w:keepNext w:val="0"/>
        <w:numPr>
          <w:numId w:val="1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gainsharing payments and alignment payments must be made by check, electronic funds transfer, or another traceable cash transaction.</w:t>
      </w:r>
    </w:p>
    <w:p>
      <w:pPr>
        <w:numPr>
          <w:numId w:val="1152"/>
        </w:numPr>
        <w:spacing w:before="120" w:line="240" w:lineRule="atLeast"/>
      </w:pPr>
      <w:r>
        <w:rPr>
          <w:b/>
          <w:i/>
          <w:sz w:val="20"/>
        </w:rPr>
        <w:t>.</w:t>
      </w:r>
    </w:p>
    <w:p>
      <w:pPr>
        <w:keepNext w:val="0"/>
        <w:numPr>
          <w:numId w:val="1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must--(i) Document the sharing arrangement contemporaneously with the establishment of the arrangement;</w:t>
      </w:r>
    </w:p>
    <w:p>
      <w:pPr>
        <w:keepNext w:val="0"/>
        <w:numPr>
          <w:numId w:val="1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Publicly post (and update on at least a quarterly basis) on a Web page on the CJR participant hospital's Web site--</w:t>
      </w:r>
    </w:p>
    <w:p>
      <w:pPr>
        <w:keepNext w:val="0"/>
        <w:numPr>
          <w:numId w:val="1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Accurate current and historical lists of all CJR collaborators, including CJR collaborator names and addresses.</w:t>
      </w:r>
    </w:p>
    <w:p>
      <w:pPr>
        <w:keepNext w:val="0"/>
        <w:numPr>
          <w:numId w:val="1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Written policies for selecting individuals and entities to be CJR collaborators required by § 510.500(a)(3).</w:t>
      </w:r>
    </w:p>
    <w:p>
      <w:pPr>
        <w:keepNext w:val="0"/>
        <w:numPr>
          <w:numId w:val="1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and require each CJR collaborator to maintain contemporaneous documentation with respect to the payment or receipt of any gainsharing payment or alignment payment that includes at a minimum:</w:t>
      </w:r>
    </w:p>
    <w:p>
      <w:pPr>
        <w:keepNext w:val="0"/>
        <w:numPr>
          <w:numId w:val="1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Nature of the payment (gainsharing payment or alignment payment);</w:t>
      </w:r>
    </w:p>
    <w:p>
      <w:pPr>
        <w:keepNext w:val="0"/>
        <w:numPr>
          <w:numId w:val="1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Identity of the parties making and receiving the payment;</w:t>
      </w:r>
    </w:p>
    <w:p>
      <w:pPr>
        <w:keepNext w:val="0"/>
        <w:numPr>
          <w:numId w:val="1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of the payment;</w:t>
      </w:r>
    </w:p>
    <w:p>
      <w:pPr>
        <w:keepNext w:val="0"/>
        <w:numPr>
          <w:numId w:val="1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Amount of the payment;</w:t>
      </w:r>
    </w:p>
    <w:p>
      <w:pPr>
        <w:keepNext w:val="0"/>
        <w:numPr>
          <w:numId w:val="1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and amount of any recoupment of all or a portion of a CJR collaborator's gainsharing payment.</w:t>
      </w:r>
    </w:p>
    <w:p>
      <w:pPr>
        <w:keepNext w:val="0"/>
        <w:numPr>
          <w:numId w:val="1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Explanation for each recoupment, such as whether the CJR collaborator received a gainsharing payment that contained funds derived from a CMS overpayment on a reconciliation report, or was based on the submission of false or fraudulent data.</w:t>
      </w:r>
    </w:p>
    <w:p>
      <w:pPr>
        <w:keepNext w:val="0"/>
        <w:numPr>
          <w:numId w:val="1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keep records of all of the following:</w:t>
      </w:r>
    </w:p>
    <w:p>
      <w:pPr>
        <w:keepNext w:val="0"/>
        <w:numPr>
          <w:numId w:val="1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process for determining and verifying its potential and current CJR collaborators' eligibility to participate in Medicare.</w:t>
      </w:r>
    </w:p>
    <w:p>
      <w:pPr>
        <w:keepNext w:val="0"/>
        <w:numPr>
          <w:numId w:val="1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plan to track internal cost savings.</w:t>
      </w:r>
    </w:p>
    <w:p>
      <w:pPr>
        <w:keepNext w:val="0"/>
        <w:numPr>
          <w:numId w:val="1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on the accounting systems used to track internal cost savings.</w:t>
      </w:r>
    </w:p>
    <w:p>
      <w:pPr>
        <w:keepNext w:val="0"/>
        <w:numPr>
          <w:numId w:val="1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current health information technology, including systems to track reconciliation payments and internal cost savings.</w:t>
      </w:r>
    </w:p>
    <w:p>
      <w:pPr>
        <w:keepNext w:val="0"/>
        <w:numPr>
          <w:numId w:val="1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plan to track gainsharing payments and alignment payments.</w:t>
      </w:r>
    </w:p>
    <w:p>
      <w:pPr>
        <w:keepNext w:val="0"/>
        <w:numPr>
          <w:numId w:val="1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retain and provide access to, and must require each CJR collaborator to retain and provide access to, the required documentation in accordance with § 510.110.</w:t>
      </w:r>
    </w:p>
    <w:p>
      <w:pPr>
        <w:keepNext w:val="0"/>
        <w:numPr>
          <w:numId w:val="1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510.505 is revised, effective July 1, 2017, to read as follows:</w:t>
      </w:r>
    </w:p>
    <w:p>
      <w:pPr>
        <w:numPr>
          <w:numId w:val="1170"/>
        </w:numPr>
        <w:spacing w:before="120" w:line="240" w:lineRule="atLeast"/>
      </w:pPr>
      <w:r>
        <w:rPr>
          <w:b/>
          <w:i w:val="0"/>
          <w:sz w:val="20"/>
        </w:rPr>
        <w:t>ments.</w:t>
      </w:r>
    </w:p>
    <w:p>
      <w:pPr>
        <w:numPr>
          <w:numId w:val="1171"/>
        </w:numPr>
        <w:spacing w:before="120" w:line="240" w:lineRule="atLeast"/>
      </w:pPr>
    </w:p>
    <w:p>
      <w:pPr>
        <w:keepNext w:val="0"/>
        <w:numPr>
          <w:numId w:val="1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ACO, PGP, NPPGP, or TGP that has entered into a sharing arrangement with a participant hospital may distribute all or a portion of any gainsharing payment it receives from the participant hospital only in accordance with a distribution arrangement.</w:t>
      </w:r>
    </w:p>
    <w:p>
      <w:pPr>
        <w:keepNext w:val="0"/>
        <w:numPr>
          <w:numId w:val="1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distribution arrangements must comply with the provisions of this section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w:t>
      </w:r>
    </w:p>
    <w:p>
      <w:pPr>
        <w:numPr>
          <w:numId w:val="1173"/>
        </w:numPr>
        <w:spacing w:before="120" w:line="240" w:lineRule="atLeast"/>
      </w:pPr>
    </w:p>
    <w:p>
      <w:pPr>
        <w:keepNext w:val="0"/>
        <w:numPr>
          <w:numId w:val="1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distribution arrangements must be in writing and signed by the parties, contain the date of the agreement, and be entered into before care is furnished to CJR beneficiaries under the distribution arrangement.</w:t>
      </w:r>
    </w:p>
    <w:p>
      <w:pPr>
        <w:keepNext w:val="0"/>
        <w:numPr>
          <w:numId w:val="1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a distribution arrangement must be voluntary and without penalty for nonparticipation.</w:t>
      </w:r>
    </w:p>
    <w:p>
      <w:pPr>
        <w:keepNext w:val="0"/>
        <w:numPr>
          <w:numId w:val="1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distribution arrangement must require the collaboration agent to comply with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opportunity to make or receive a distribution payment must not be conditioned directly or indirectly on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w:t>
      </w:r>
    </w:p>
    <w:p>
      <w:pPr>
        <w:keepNext w:val="0"/>
        <w:numPr>
          <w:numId w:val="1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distribution payments from an ACO, from an NPPGP to an NPPGP member, or from a TGP to a TGP member must be determined in accordance with a methodology that is substantially based on quality of care and the provision of CJR activities and that may take into account the amount of such CJR activities provided by a collaboration agent relative to other collaboration agents.</w:t>
      </w:r>
    </w:p>
    <w:p>
      <w:pPr>
        <w:keepNext w:val="0"/>
        <w:numPr>
          <w:numId w:val="1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distribution payments from a PGP must be determined either in a manner that complies with § 411.352(g) of this chapter or in accordance with a methodology that is substantially based on quality of care and the provision of CJR activities and that may take into account the amount of such CJR activities provided by a collaboration agent relative to other collaboration agents.</w:t>
      </w:r>
    </w:p>
    <w:p>
      <w:pPr>
        <w:keepNext w:val="0"/>
        <w:numPr>
          <w:numId w:val="1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a distribution payment from a PGP to a PGP member that complies with § 411.352(g) of this chapter, a collaboration agent is eligible to receive a distribution payment only if the collaboration agent furnished or billed for an item or service rendered to a CJR beneficiary during a CJR episode that occurred during the same performance year for which the participant hospital accrued the internal cost savings or earned the reconciliation payment that comprises the gainsharing payment being distributed.</w:t>
      </w:r>
    </w:p>
    <w:p>
      <w:pPr>
        <w:keepNext w:val="0"/>
        <w:numPr>
          <w:numId w:val="1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a distribution payment from a PGP to a PGP member that complies with § 411.352(g) of this chapter, the total amount of distribution payments for a performance year paid to a collaboration agent must not exceed the following:</w:t>
      </w:r>
    </w:p>
    <w:p>
      <w:pPr>
        <w:keepNext w:val="0"/>
        <w:numPr>
          <w:numId w:val="1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a collaboration agent that is a physician or nonphysician practitioner, 50 percent of the total Medicare-approved amounts under the PFS for items and services furnished by the collaboration agent to the participant hospital's CJR beneficiaries during CJR episodes that occurred during the same performance year for which the participant hospital accrued the internal cost savings or earned the reconciliation payment that comprises the gainsharing payment being distributed.</w:t>
      </w:r>
    </w:p>
    <w:p>
      <w:pPr>
        <w:keepNext w:val="0"/>
        <w:numPr>
          <w:numId w:val="1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a collaboration agent that is a PGP or NPPGP, 50 percent of the total Medicare-approved amounts under the PFS for items and services billed by that PGP or NPPGP for items and services furnished by PGP members or NPPGP member respectively to the participant hospital's CJR beneficiaries during CJR episodes that occurred during the same performance year for which the participant hospital accrued the internal cost savings or earned the reconciliation payment that comprises the gainsharing payment being distributed.</w:t>
      </w:r>
    </w:p>
    <w:p>
      <w:pPr>
        <w:keepNext w:val="0"/>
        <w:numPr>
          <w:numId w:val="1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the distribution of any gainsharing payment received by an ACO, PGP, NPPGP, or TGP, the total amount of all distribution payments must not exceed the amount of the gainsharing payment received by the CJR collaborator from the participant hospital.</w:t>
      </w:r>
    </w:p>
    <w:p>
      <w:pPr>
        <w:keepNext w:val="0"/>
        <w:numPr>
          <w:numId w:val="1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distribution payments must be made by check, electronic funds transfer, or another traceable cash transaction.</w:t>
      </w:r>
    </w:p>
    <w:p>
      <w:pPr>
        <w:keepNext w:val="0"/>
        <w:numPr>
          <w:numId w:val="1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collaboration agent must retain the ability to make decisions in the best interests of the patient, </w:t>
      </w:r>
      <w:r>
        <w:rPr>
          <w:rFonts w:ascii="arial" w:eastAsia="arial" w:hAnsi="arial" w:cs="arial"/>
          <w:b/>
          <w:i w:val="0"/>
          <w:strike w:val="0"/>
          <w:noProof w:val="0"/>
          <w:color w:val="000000"/>
          <w:position w:val="0"/>
          <w:sz w:val="20"/>
          <w:u w:val="none"/>
          <w:vertAlign w:val="baseline"/>
        </w:rPr>
        <w:t> [*621] </w:t>
      </w:r>
      <w:r>
        <w:rPr>
          <w:rFonts w:ascii="arial" w:eastAsia="arial" w:hAnsi="arial" w:cs="arial"/>
          <w:b w:val="0"/>
          <w:i w:val="0"/>
          <w:strike w:val="0"/>
          <w:noProof w:val="0"/>
          <w:color w:val="000000"/>
          <w:position w:val="0"/>
          <w:sz w:val="20"/>
          <w:u w:val="none"/>
          <w:vertAlign w:val="baseline"/>
        </w:rPr>
        <w:t xml:space="preserve"> including the selection of devices, supplies, and treatments.</w:t>
      </w:r>
    </w:p>
    <w:p>
      <w:pPr>
        <w:keepNext w:val="0"/>
        <w:numPr>
          <w:numId w:val="11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distribution arrangement must not--</w:t>
      </w:r>
    </w:p>
    <w:p>
      <w:pPr>
        <w:keepNext w:val="0"/>
        <w:numPr>
          <w:numId w:val="1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Induce the collaboration agent to reduce or limit medically necessary items and services to any Medicare beneficiary; or</w:t>
      </w:r>
    </w:p>
    <w:p>
      <w:pPr>
        <w:keepNext w:val="0"/>
        <w:numPr>
          <w:numId w:val="1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Reward the provision of items and services that are medically unnecessary.</w:t>
      </w:r>
    </w:p>
    <w:p>
      <w:pPr>
        <w:keepNext w:val="0"/>
        <w:numPr>
          <w:numId w:val="1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CJR collaborator must maintain contemporaneous documentation regarding distribution arrangements in accordance with § 510.110, including the following:</w:t>
      </w:r>
    </w:p>
    <w:p>
      <w:pPr>
        <w:keepNext w:val="0"/>
        <w:numPr>
          <w:numId w:val="1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relevant written agreements;</w:t>
      </w:r>
    </w:p>
    <w:p>
      <w:pPr>
        <w:keepNext w:val="0"/>
        <w:numPr>
          <w:numId w:val="1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and amount of any distribution payment(s);</w:t>
      </w:r>
    </w:p>
    <w:p>
      <w:pPr>
        <w:keepNext w:val="0"/>
        <w:numPr>
          <w:numId w:val="1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identity of each collaboration agent that received a distribution payment; and</w:t>
      </w:r>
    </w:p>
    <w:p>
      <w:pPr>
        <w:keepNext w:val="0"/>
        <w:numPr>
          <w:numId w:val="1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methodology and accounting formula for determining the amount of any distribution payment.</w:t>
      </w:r>
    </w:p>
    <w:p>
      <w:pPr>
        <w:keepNext w:val="0"/>
        <w:numPr>
          <w:numId w:val="1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CJR collaborator may not enter into a distribution arrangement with any individual or entity that has a sharing arrangement with the same participant hospital.</w:t>
      </w:r>
    </w:p>
    <w:p>
      <w:pPr>
        <w:keepNext w:val="0"/>
        <w:numPr>
          <w:numId w:val="1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CJR collaborator must retain and provide access to, and must require collaboration agents to retain and provide access to, the required documentation in accordance with § 510.110.</w:t>
      </w:r>
    </w:p>
    <w:p>
      <w:pPr>
        <w:keepNext w:val="0"/>
        <w:numPr>
          <w:numId w:val="1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510.506 is added, effective July 1, 2017, to read as follows:</w:t>
      </w:r>
    </w:p>
    <w:p>
      <w:pPr>
        <w:numPr>
          <w:numId w:val="1190"/>
        </w:numPr>
        <w:spacing w:before="120" w:line="240" w:lineRule="atLeast"/>
      </w:pPr>
      <w:r>
        <w:rPr>
          <w:b/>
          <w:i w:val="0"/>
          <w:sz w:val="20"/>
        </w:rPr>
        <w:t>ion arrangements.</w:t>
      </w:r>
    </w:p>
    <w:p>
      <w:pPr>
        <w:numPr>
          <w:numId w:val="1191"/>
        </w:numPr>
        <w:spacing w:before="120" w:line="240" w:lineRule="atLeast"/>
      </w:pPr>
    </w:p>
    <w:p>
      <w:pPr>
        <w:keepNext w:val="0"/>
        <w:numPr>
          <w:numId w:val="1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ACO participant that is a PGP, NPPGP, or TGP and that has entered into a distribution arrangement with a CJR collaborator that is an ACO may distribute all or a portion of any distribution payment it receives from the CJR collaborator only in accordance with downstream distribution arrangement.</w:t>
      </w:r>
    </w:p>
    <w:p>
      <w:pPr>
        <w:keepNext w:val="0"/>
        <w:numPr>
          <w:numId w:val="1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downstream distribution arrangements must comply with the provisions of this section and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w:t>
      </w:r>
    </w:p>
    <w:p>
      <w:pPr>
        <w:numPr>
          <w:numId w:val="1193"/>
        </w:numPr>
        <w:spacing w:before="120" w:line="240" w:lineRule="atLeast"/>
      </w:pPr>
    </w:p>
    <w:p>
      <w:pPr>
        <w:keepNext w:val="0"/>
        <w:numPr>
          <w:numId w:val="1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downstream distribution arrangements must be in writing and signed by the parties, contain the date of the agreement, and be entered into before care is furnished to CJR beneficiaries under the downstream distribution arrangement.</w:t>
      </w:r>
    </w:p>
    <w:p>
      <w:pPr>
        <w:keepNext w:val="0"/>
        <w:numPr>
          <w:numId w:val="1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a downstream distribution arrangement must be voluntary and without penalty for nonparticipation.</w:t>
      </w:r>
    </w:p>
    <w:p>
      <w:pPr>
        <w:keepNext w:val="0"/>
        <w:numPr>
          <w:numId w:val="1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downstream distribution arrangement must require the downstream collaboration agent to comply with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opportunity to make or receive a downstream distribution payment must not be conditioned directly or indirectly on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w:t>
      </w:r>
    </w:p>
    <w:p>
      <w:pPr>
        <w:keepNext w:val="0"/>
        <w:numPr>
          <w:numId w:val="1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downstream distribution payments from an NPPGP to an NPPGP member or from a TGP to a TGP member must be determined in accordance with a methodology that is substantially based on quality of care and the provision CJR activities and that may take into account the amount of such CJR activities provided by a downstream collaboration agent relative to other downstream collaboration agents.</w:t>
      </w:r>
    </w:p>
    <w:p>
      <w:pPr>
        <w:keepNext w:val="0"/>
        <w:numPr>
          <w:numId w:val="1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downstream distribution payments from a PGP must be determined either in a manner that complies with § 411.352(g) of this chapter or in accordance with a methodology that is substantially based on quality of care and the provision CJR activities and that may take into account the amount of such CJR activities provided by a downstream collaboration agent relative to other downstream collaboration agents.</w:t>
      </w:r>
    </w:p>
    <w:p>
      <w:pPr>
        <w:keepNext w:val="0"/>
        <w:numPr>
          <w:numId w:val="1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a downstream distribution payment from a PGP to a PGP member that complies with § 411.352(g) of this chapter, a downstream collaboration agent is eligible to receive a downstream distribution payment only if the downstream collaboration agent furnished an item or service by the downstream collaboration agent to a CJR beneficiary during a CJR episode that occurred during the same performance year for which the participant hospital accrued the internal cost savings or earned the reconciliation payment that comprises the gainsharing payment from which the ACO made the distribution payment to the PGP, NPPGP, or TGP that is an ACO participant.</w:t>
      </w:r>
    </w:p>
    <w:p>
      <w:pPr>
        <w:keepNext w:val="0"/>
        <w:numPr>
          <w:numId w:val="1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a downstream distribution payment from a PGP to a PGP member that complies with § 411.352(g) of this chapter, the total amount of downstream distribution payments for a performance year paid to a downstream collaboration agent who is a physician or nonphysician practitioner and is either a member of a PGP or a member of an NPPGP must not exceed 50 percent of the total Medicare-approved amounts under the PFS for items and services furnished by the downstream collaboration agent to the participant hospital's CJR beneficiaries during a CJR episode that occurred during the same performance year for which the participant hospital accrued the internal cost savings or earned the reconciliation payment that comprises the distribution payment being distributed.</w:t>
      </w:r>
    </w:p>
    <w:p>
      <w:pPr>
        <w:keepNext w:val="0"/>
        <w:numPr>
          <w:numId w:val="1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all downstream distribution payments made to downstream collaboration agents must not exceed the amount of the distribution payment received by the PGP, NPPGP, or TGP from the ACO.</w:t>
      </w:r>
    </w:p>
    <w:p>
      <w:pPr>
        <w:keepNext w:val="0"/>
        <w:numPr>
          <w:numId w:val="1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downstream distribution payments must be made by check, electronic funds transfer, or another traceable cash transaction.</w:t>
      </w:r>
    </w:p>
    <w:p>
      <w:pPr>
        <w:keepNext w:val="0"/>
        <w:numPr>
          <w:numId w:val="1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downstream collaboration agent must retain his or her ability to make decisions in the best interests of the patient, including the selection of devices, supplies, and treatments.</w:t>
      </w:r>
    </w:p>
    <w:p>
      <w:pPr>
        <w:keepNext w:val="0"/>
        <w:numPr>
          <w:numId w:val="1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downstream distribution arrangement must not--</w:t>
      </w:r>
    </w:p>
    <w:p>
      <w:pPr>
        <w:keepNext w:val="0"/>
        <w:numPr>
          <w:numId w:val="1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Induce the downstream collaboration agent to reduce or limit medically necessary services to any Medicare beneficiary; or</w:t>
      </w:r>
    </w:p>
    <w:p>
      <w:pPr>
        <w:keepNext w:val="0"/>
        <w:numPr>
          <w:numId w:val="1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Reward the provision of items and services that are medically unnecessary.</w:t>
      </w:r>
    </w:p>
    <w:p>
      <w:pPr>
        <w:keepNext w:val="0"/>
        <w:numPr>
          <w:numId w:val="1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NPPGP, or TGP must maintain contemporaneous documentation regarding downstream distribution arrangements in accordance with § 510.110, including the following:</w:t>
      </w:r>
    </w:p>
    <w:p>
      <w:pPr>
        <w:keepNext w:val="0"/>
        <w:numPr>
          <w:numId w:val="1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relevant written agreements.</w:t>
      </w:r>
    </w:p>
    <w:p>
      <w:pPr>
        <w:keepNext w:val="0"/>
        <w:numPr>
          <w:numId w:val="1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and amount of any downstream distribution payment.</w:t>
      </w:r>
    </w:p>
    <w:p>
      <w:pPr>
        <w:keepNext w:val="0"/>
        <w:numPr>
          <w:numId w:val="1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identity of each downstream collaboration agent that received a downstream distribution payment.</w:t>
      </w:r>
    </w:p>
    <w:p>
      <w:pPr>
        <w:keepNext w:val="0"/>
        <w:numPr>
          <w:numId w:val="12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methodology and accounting formula for determining the amount of any downstream distribution payment.</w:t>
      </w:r>
    </w:p>
    <w:p>
      <w:pPr>
        <w:keepNext w:val="0"/>
        <w:numPr>
          <w:numId w:val="1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NPPGP, or TGP may not enter into a downstream distribution arrangement with any PGP member, NPPGP member, or TGP member who has--</w:t>
      </w:r>
    </w:p>
    <w:p>
      <w:pPr>
        <w:keepNext w:val="0"/>
        <w:numPr>
          <w:numId w:val="1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sharing arrangement with a participant hospital.</w:t>
      </w:r>
    </w:p>
    <w:p>
      <w:pPr>
        <w:keepNext w:val="0"/>
        <w:numPr>
          <w:numId w:val="1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distribution arrangement with the ACO that the PGP, NPPGP, or TGP is a participant in.</w:t>
      </w:r>
    </w:p>
    <w:p>
      <w:pPr>
        <w:keepNext w:val="0"/>
        <w:numPr>
          <w:numId w:val="1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NPPGP, or TGP must retain and provide access to, and must require downstream collaboration agents to retain and provide access to, the required documentation in accordance with § 510.110.</w:t>
      </w:r>
    </w:p>
    <w:p>
      <w:pPr>
        <w:keepNext w:val="0"/>
        <w:numPr>
          <w:numId w:val="1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510.515 is amended, effective July 1, 2017, by revising paragraphs (a)(2) and (3), (b), (c) and (d), and removing paragraph (e). </w:t>
      </w:r>
      <w:r>
        <w:rPr>
          <w:rFonts w:ascii="arial" w:eastAsia="arial" w:hAnsi="arial" w:cs="arial"/>
          <w:b/>
          <w:i w:val="0"/>
          <w:strike w:val="0"/>
          <w:noProof w:val="0"/>
          <w:color w:val="000000"/>
          <w:position w:val="0"/>
          <w:sz w:val="20"/>
          <w:u w:val="none"/>
          <w:vertAlign w:val="baseline"/>
        </w:rPr>
        <w:t> [*622] </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read as follows:</w:t>
      </w:r>
    </w:p>
    <w:p>
      <w:pPr>
        <w:numPr>
          <w:numId w:val="1210"/>
        </w:numPr>
        <w:spacing w:before="120" w:line="240" w:lineRule="atLeast"/>
      </w:pPr>
      <w:r>
        <w:rPr>
          <w:b/>
          <w:i w:val="0"/>
          <w:sz w:val="20"/>
        </w:rPr>
        <w:t>es under the CJR model.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item or service provided must be reasonably connected to medical care provided to a beneficiary during a CJR episode of care.</w:t>
      </w:r>
    </w:p>
    <w:p>
      <w:pPr>
        <w:keepNext w:val="0"/>
        <w:numPr>
          <w:numId w:val="1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item or service must be a preventive care item or service or an item or service that advances a clinical goal, as listed in paragraph (c) of this section, for a beneficiary in a CJR episode by engaging the beneficiary in better managing his or her own health.</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13"/>
        </w:numPr>
        <w:spacing w:before="120" w:after="0" w:line="260" w:lineRule="atLeast"/>
        <w:ind w:right="0"/>
        <w:jc w:val="both"/>
      </w:pPr>
      <w:r>
        <w:rPr>
          <w:b/>
          <w:i/>
          <w:sz w:val="20"/>
        </w:rPr>
        <w:t>JR beneficiary.</w:t>
      </w:r>
      <w:r>
        <w:rPr>
          <w:rFonts w:ascii="arial" w:eastAsia="arial" w:hAnsi="arial" w:cs="arial"/>
          <w:b w:val="0"/>
          <w:i w:val="0"/>
          <w:strike w:val="0"/>
          <w:noProof w:val="0"/>
          <w:color w:val="000000"/>
          <w:position w:val="0"/>
          <w:sz w:val="20"/>
          <w:u w:val="none"/>
          <w:vertAlign w:val="baseline"/>
        </w:rPr>
        <w:t>Beneficiary engagement incentives involving technology are subject to the following additional conditions:</w:t>
      </w:r>
    </w:p>
    <w:p>
      <w:pPr>
        <w:keepNext w:val="0"/>
        <w:numPr>
          <w:numId w:val="1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or services involving technology provided to a beneficiary may not exceed $ 1,000 in retail value for any one beneficiary in any one CJR episode.</w:t>
      </w:r>
    </w:p>
    <w:p>
      <w:pPr>
        <w:keepNext w:val="0"/>
        <w:numPr>
          <w:numId w:val="1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or services involving technology provided to a beneficiary must be the minimum necessary to advance a clinical goal, as listed in paragraph (c) of this section, for a beneficiary in a CJR episode.</w:t>
      </w:r>
    </w:p>
    <w:p>
      <w:pPr>
        <w:keepNext w:val="0"/>
        <w:numPr>
          <w:numId w:val="1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of technology exceeding $ 100 in retail value must--</w:t>
      </w:r>
    </w:p>
    <w:p>
      <w:pPr>
        <w:keepNext w:val="0"/>
        <w:numPr>
          <w:numId w:val="1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Remain the property of the CJR participant; and</w:t>
      </w:r>
    </w:p>
    <w:p>
      <w:pPr>
        <w:keepNext w:val="0"/>
        <w:numPr>
          <w:numId w:val="12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retrieved from the beneficiary at the end of the CJR episode. The participant hospital must document all retrieval attempts, including the ultimate date of retrieval. Documented, diligent, good faith attempts to retrieve items of technology will be deemed to meet the retrieval requirement.</w:t>
      </w:r>
    </w:p>
    <w:p>
      <w:pPr>
        <w:keepNext w:val="0"/>
        <w:numPr>
          <w:numId w:val="1217"/>
        </w:numPr>
        <w:spacing w:before="120" w:after="0" w:line="260" w:lineRule="atLeast"/>
        <w:ind w:right="0"/>
        <w:jc w:val="both"/>
      </w:pPr>
      <w:r>
        <w:rPr>
          <w:b/>
          <w:i/>
          <w:sz w:val="20"/>
        </w:rPr>
        <w:t>model.</w:t>
      </w:r>
      <w:r>
        <w:rPr>
          <w:rFonts w:ascii="arial" w:eastAsia="arial" w:hAnsi="arial" w:cs="arial"/>
          <w:b w:val="0"/>
          <w:i w:val="0"/>
          <w:strike w:val="0"/>
          <w:noProof w:val="0"/>
          <w:color w:val="000000"/>
          <w:position w:val="0"/>
          <w:sz w:val="20"/>
          <w:u w:val="none"/>
          <w:vertAlign w:val="baseline"/>
        </w:rPr>
        <w:t>The following are the clinical goals of the CJR model, which may be advanced through beneficiary incentives:</w:t>
      </w:r>
    </w:p>
    <w:p>
      <w:pPr>
        <w:keepNext w:val="0"/>
        <w:numPr>
          <w:numId w:val="1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Beneficiary adherence to drug regimens.</w:t>
      </w:r>
    </w:p>
    <w:p>
      <w:pPr>
        <w:keepNext w:val="0"/>
        <w:numPr>
          <w:numId w:val="1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Beneficiary adherence to a care plan.</w:t>
      </w:r>
    </w:p>
    <w:p>
      <w:pPr>
        <w:keepNext w:val="0"/>
        <w:numPr>
          <w:numId w:val="1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Reduction of readmissions and complications resulting from LEJR procedures.</w:t>
      </w:r>
    </w:p>
    <w:p>
      <w:pPr>
        <w:keepNext w:val="0"/>
        <w:numPr>
          <w:numId w:val="1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Management of chronic diseases and conditions that may be affected by the LEJR procedure.</w:t>
      </w:r>
    </w:p>
    <w:p>
      <w:pPr>
        <w:numPr>
          <w:numId w:val="1219"/>
        </w:numPr>
        <w:spacing w:before="120" w:line="240" w:lineRule="atLeast"/>
      </w:pPr>
      <w:r>
        <w:rPr>
          <w:b/>
          <w:i/>
          <w:sz w:val="20"/>
        </w:rPr>
        <w:t>ry incentives.</w:t>
      </w:r>
    </w:p>
    <w:p>
      <w:pPr>
        <w:keepNext w:val="0"/>
        <w:numPr>
          <w:numId w:val="1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must maintain documentation of items and services furnished as beneficiary incentives that exceed $ 25 in retail value.</w:t>
      </w:r>
    </w:p>
    <w:p>
      <w:pPr>
        <w:keepNext w:val="0"/>
        <w:numPr>
          <w:numId w:val="1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documentation must be established contemporaneously with the provision of the items and services and must include at least the following:</w:t>
      </w:r>
    </w:p>
    <w:p>
      <w:pPr>
        <w:keepNext w:val="0"/>
        <w:numPr>
          <w:numId w:val="1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the incentive is provided.</w:t>
      </w:r>
    </w:p>
    <w:p>
      <w:pPr>
        <w:keepNext w:val="0"/>
        <w:numPr>
          <w:numId w:val="1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identity of the beneficiary to whom the item or service was provided.</w:t>
      </w:r>
    </w:p>
    <w:p>
      <w:pPr>
        <w:keepNext w:val="0"/>
        <w:numPr>
          <w:numId w:val="1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documentation regarding items of technology exceeding $ 100 in retail value must also include contemporaneous documentation of any attempt to retrieve technology at the end of a CJR episode as described in paragraph (b)(3) of this section.</w:t>
      </w:r>
    </w:p>
    <w:p>
      <w:pPr>
        <w:keepNext w:val="0"/>
        <w:numPr>
          <w:numId w:val="1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CJR participant hospital must retain and provide access to the required documentation in accordance with § 510.110.</w:t>
      </w:r>
    </w:p>
    <w:p>
      <w:pPr>
        <w:keepNext w:val="0"/>
        <w:numPr>
          <w:numId w:val="1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510.610 is revised to read as follows:</w:t>
      </w:r>
    </w:p>
    <w:p>
      <w:pPr>
        <w:numPr>
          <w:numId w:val="1224"/>
        </w:numPr>
        <w:spacing w:before="120" w:line="240" w:lineRule="atLeast"/>
      </w:pPr>
      <w:r>
        <w:rPr>
          <w:b/>
          <w:i w:val="0"/>
          <w:sz w:val="20"/>
        </w:rPr>
        <w:t>rule.</w:t>
      </w:r>
    </w:p>
    <w:p>
      <w:pPr>
        <w:keepNext w:val="0"/>
        <w:numPr>
          <w:numId w:val="1225"/>
        </w:numPr>
        <w:spacing w:before="120" w:after="0" w:line="260" w:lineRule="atLeast"/>
        <w:ind w:right="0"/>
        <w:jc w:val="both"/>
      </w:pPr>
      <w:r>
        <w:rPr>
          <w:b/>
          <w:i/>
          <w:sz w:val="20"/>
        </w:rPr>
        <w:t>le.</w:t>
      </w:r>
      <w:r>
        <w:rPr>
          <w:rFonts w:ascii="arial" w:eastAsia="arial" w:hAnsi="arial" w:cs="arial"/>
          <w:b w:val="0"/>
          <w:i w:val="0"/>
          <w:strike w:val="0"/>
          <w:noProof w:val="0"/>
          <w:color w:val="000000"/>
          <w:position w:val="0"/>
          <w:sz w:val="20"/>
          <w:u w:val="none"/>
          <w:vertAlign w:val="baseline"/>
        </w:rPr>
        <w:t>For episodes being tested in performance years 2 through 5 of the CJR model, CMS waives the SNF 3-day rule for coverage of a SNF stay for a beneficiary who is a CJR beneficiary on the date of discharge from the anchor hospitalization, but only if the SNF is identified on the applicable calendar quarter list of qualified SNFs at the time of the CJR beneficiary's admission to the SNF.</w:t>
      </w:r>
    </w:p>
    <w:p>
      <w:pPr>
        <w:keepNext w:val="0"/>
        <w:numPr>
          <w:numId w:val="1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determines the qualified SNFs for each calendar quarter based on a review of the most recent rolling 12 months of overall star ratings on the Five-Star Quality Rating System for SNFs on the Nursing Home Compare Web site. Qualified SNFs are rated an overall of 3 stars or better for at least 7 of the 12 months.</w:t>
      </w:r>
    </w:p>
    <w:p>
      <w:pPr>
        <w:keepNext w:val="0"/>
        <w:numPr>
          <w:numId w:val="1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posts to the CMS Web site the list of qualified SNFs in advance of the calendar quarter and the waiver only applies for a beneficiary who has been discharged from an anchor hospitalization if the SNF is included on the applicable calendar quarter list for the date of the beneficiary's admission to the SNF.</w:t>
      </w:r>
    </w:p>
    <w:p>
      <w:pPr>
        <w:keepNext w:val="0"/>
        <w:numPr>
          <w:numId w:val="1227"/>
        </w:numPr>
        <w:spacing w:before="120" w:after="0" w:line="260" w:lineRule="atLeast"/>
        <w:ind w:right="0"/>
        <w:jc w:val="both"/>
      </w:pPr>
      <w:r>
        <w:rPr>
          <w:b/>
          <w:i/>
          <w:sz w:val="20"/>
        </w:rPr>
        <w:t>n-covered SNF services.</w:t>
      </w:r>
      <w:r>
        <w:rPr>
          <w:rFonts w:ascii="arial" w:eastAsia="arial" w:hAnsi="arial" w:cs="arial"/>
          <w:b w:val="0"/>
          <w:i w:val="0"/>
          <w:strike w:val="0"/>
          <w:noProof w:val="0"/>
          <w:color w:val="000000"/>
          <w:position w:val="0"/>
          <w:sz w:val="20"/>
          <w:u w:val="none"/>
          <w:vertAlign w:val="baseline"/>
        </w:rPr>
        <w:t>If CMS determines that the waiver requirements specified in paragraph (a) of this section were not met, the following apply:</w:t>
      </w:r>
    </w:p>
    <w:p>
      <w:pPr>
        <w:keepNext w:val="0"/>
        <w:numPr>
          <w:numId w:val="1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makes no payment to a SNF for SNF services if the SNF admits a CJR beneficiary who has not had a qualifying inpatient stay.</w:t>
      </w:r>
    </w:p>
    <w:p>
      <w:pPr>
        <w:keepNext w:val="0"/>
        <w:numPr>
          <w:numId w:val="1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event that CMS makes no payment for SNF services furnished by a SNF as a result of paragraph (b)(1) of this section, the beneficiary protections specified in paragraph (b)(3) of this section apply, unless the participant hospital has provided the beneficiary with a discharge planning notice in accordance with § 510.405(b)(3).</w:t>
      </w:r>
    </w:p>
    <w:p>
      <w:pPr>
        <w:keepNext w:val="0"/>
        <w:numPr>
          <w:numId w:val="1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participant hospital does not provide the beneficiary with a discharge planning notice in accordance with § 510.405(b)(3)--</w:t>
      </w:r>
    </w:p>
    <w:p>
      <w:pPr>
        <w:keepNext w:val="0"/>
        <w:numPr>
          <w:numId w:val="1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SNF must not charge the beneficiary for the expenses incurred for such services;</w:t>
      </w:r>
    </w:p>
    <w:p>
      <w:pPr>
        <w:keepNext w:val="0"/>
        <w:numPr>
          <w:numId w:val="1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SNF must return to the beneficiary any monies collected for such services; and</w:t>
      </w:r>
    </w:p>
    <w:p>
      <w:pPr>
        <w:keepNext w:val="0"/>
        <w:numPr>
          <w:numId w:val="12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is financially liable for the expenses incurred for such services.</w:t>
      </w:r>
    </w:p>
    <w:p>
      <w:pPr>
        <w:keepNext w:val="0"/>
        <w:numPr>
          <w:numId w:val="1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participant hospital provided a discharge planning notice to the beneficiary in accordance with § 510.405(b)(3), then normal SNF coverage requirements apply and the beneficiary may be financially liable for non-covered SNF services.</w:t>
      </w:r>
    </w:p>
    <w:p>
      <w:pPr>
        <w:keepNext w:val="0"/>
        <w:numPr>
          <w:numId w:val="1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other Medicare rules for coverage and payment of Part A-covered services continue to apply except as otherwise waived in this part.</w:t>
      </w:r>
    </w:p>
    <w:p>
      <w:pPr>
        <w:keepNext w:val="0"/>
        <w:numPr>
          <w:numId w:val="1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510.620 is amended by revising paragraph (a) to read as follows:</w:t>
      </w:r>
    </w:p>
    <w:p>
      <w:pPr>
        <w:numPr>
          <w:numId w:val="1234"/>
        </w:numPr>
        <w:spacing w:before="120" w:line="240" w:lineRule="atLeast"/>
      </w:pPr>
      <w:r>
        <w:rPr>
          <w:b/>
          <w:i w:val="0"/>
          <w:sz w:val="20"/>
        </w:rPr>
        <w:t xml:space="preserve"> and coinsurance that otherwise apply to reconciliation payments and repayments.</w:t>
      </w:r>
    </w:p>
    <w:p>
      <w:pPr>
        <w:keepNext w:val="0"/>
        <w:numPr>
          <w:numId w:val="1235"/>
        </w:numPr>
        <w:spacing w:before="120" w:after="0" w:line="260" w:lineRule="atLeast"/>
        <w:ind w:right="0"/>
        <w:jc w:val="both"/>
      </w:pPr>
      <w:r>
        <w:rPr>
          <w:b/>
          <w:i/>
          <w:sz w:val="20"/>
        </w:rPr>
        <w:t>oinsurance.</w:t>
      </w:r>
      <w:r>
        <w:rPr>
          <w:rFonts w:ascii="arial" w:eastAsia="arial" w:hAnsi="arial" w:cs="arial"/>
          <w:b w:val="0"/>
          <w:i w:val="0"/>
          <w:strike w:val="0"/>
          <w:noProof w:val="0"/>
          <w:color w:val="000000"/>
          <w:position w:val="0"/>
          <w:sz w:val="20"/>
          <w:u w:val="none"/>
          <w:vertAlign w:val="baseline"/>
        </w:rPr>
        <w:t>CMS waives the requirements of sections 1813 and 1833(a) of the Act for Medicare Part A and Part B payment systems only to the extent necessary to make reconciliation payments or receive repayments based on the NPRA that reflect the episode payment methodology under the final payment model for CJR participant hospitals.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 512 is added to subchapter H to read as follows:</w:t>
      </w:r>
    </w:p>
    <w:p>
      <w:pPr>
        <w:numPr>
          <w:numId w:val="1237"/>
        </w:numPr>
        <w:spacing w:before="120" w:line="240" w:lineRule="atLeast"/>
      </w:pPr>
      <w:r>
        <w:rPr>
          <w:b/>
          <w:i w:val="0"/>
          <w:sz w:val="20"/>
        </w:rPr>
        <w:t>EL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numPr>
          <w:numId w:val="1238"/>
        </w:numPr>
        <w:spacing w:before="120" w:line="240" w:lineRule="atLeast"/>
      </w:pPr>
    </w:p>
    <w:p>
      <w:pPr>
        <w:numPr>
          <w:numId w:val="1239"/>
        </w:numPr>
        <w:spacing w:before="120" w:line="240" w:lineRule="atLeast"/>
      </w:pPr>
    </w:p>
    <w:p>
      <w:pPr>
        <w:numPr>
          <w:numId w:val="1240"/>
        </w:numPr>
        <w:spacing w:before="120" w:line="240" w:lineRule="atLeast"/>
      </w:pPr>
    </w:p>
    <w:p>
      <w:pPr>
        <w:numPr>
          <w:numId w:val="1241"/>
        </w:numPr>
        <w:spacing w:before="120" w:line="240" w:lineRule="atLeast"/>
      </w:pPr>
      <w:r>
        <w:rPr>
          <w:b/>
          <w:i w:val="0"/>
          <w:sz w:val="20"/>
        </w:rPr>
        <w:t>del Participants</w:t>
      </w:r>
    </w:p>
    <w:p>
      <w:pPr>
        <w:numPr>
          <w:numId w:val="1242"/>
        </w:numPr>
        <w:spacing w:before="120" w:line="240" w:lineRule="atLeast"/>
      </w:pPr>
      <w:r>
        <w:rPr>
          <w:b/>
          <w:i w:val="0"/>
          <w:sz w:val="20"/>
        </w:rPr>
        <w:t>ted.</w:t>
      </w:r>
    </w:p>
    <w:p>
      <w:pPr>
        <w:numPr>
          <w:numId w:val="1243"/>
        </w:numPr>
        <w:spacing w:before="120" w:line="240" w:lineRule="atLeast"/>
      </w:pPr>
    </w:p>
    <w:p>
      <w:pPr>
        <w:numPr>
          <w:numId w:val="1244"/>
        </w:numPr>
        <w:spacing w:before="120" w:line="240" w:lineRule="atLeast"/>
      </w:pPr>
      <w:r>
        <w:rPr>
          <w:b/>
          <w:i w:val="0"/>
          <w:sz w:val="20"/>
        </w:rPr>
        <w:t>retention.</w:t>
      </w:r>
    </w:p>
    <w:p>
      <w:pPr>
        <w:numPr>
          <w:numId w:val="1245"/>
        </w:numPr>
        <w:spacing w:before="120" w:line="240" w:lineRule="atLeast"/>
      </w:pPr>
      <w:r>
        <w:rPr>
          <w:b/>
          <w:i w:val="0"/>
          <w:sz w:val="20"/>
        </w:rPr>
        <w:t>track requirements.</w:t>
      </w:r>
    </w:p>
    <w:p>
      <w:pPr>
        <w:numPr>
          <w:numId w:val="1246"/>
        </w:numPr>
        <w:spacing w:before="120" w:line="240" w:lineRule="atLeast"/>
      </w:pPr>
    </w:p>
    <w:p>
      <w:pPr>
        <w:numPr>
          <w:numId w:val="1247"/>
        </w:numPr>
        <w:spacing w:before="120" w:line="240" w:lineRule="atLeast"/>
      </w:pPr>
      <w:r>
        <w:rPr>
          <w:b/>
          <w:i w:val="0"/>
          <w:sz w:val="20"/>
        </w:rPr>
        <w:t>pisodes.</w:t>
      </w:r>
    </w:p>
    <w:p>
      <w:pPr>
        <w:numPr>
          <w:numId w:val="1248"/>
        </w:numPr>
        <w:spacing w:before="120" w:line="240" w:lineRule="atLeast"/>
      </w:pPr>
      <w:r>
        <w:rPr>
          <w:b/>
          <w:i w:val="0"/>
          <w:sz w:val="20"/>
        </w:rPr>
        <w:t>services.</w:t>
      </w:r>
    </w:p>
    <w:p>
      <w:pPr>
        <w:numPr>
          <w:numId w:val="1249"/>
        </w:numPr>
        <w:spacing w:before="120" w:line="240" w:lineRule="atLeast"/>
      </w:pPr>
      <w:r>
        <w:rPr>
          <w:b/>
          <w:i w:val="0"/>
          <w:sz w:val="20"/>
        </w:rPr>
        <w:t>criteria.</w:t>
      </w:r>
    </w:p>
    <w:p>
      <w:pPr>
        <w:numPr>
          <w:numId w:val="1250"/>
        </w:numPr>
        <w:spacing w:before="120" w:line="240" w:lineRule="atLeast"/>
      </w:pPr>
      <w:r>
        <w:rPr>
          <w:b/>
          <w:i w:val="0"/>
          <w:sz w:val="20"/>
        </w:rPr>
        <w:t>PM episode.</w:t>
      </w:r>
    </w:p>
    <w:p>
      <w:pPr>
        <w:numPr>
          <w:numId w:val="1251"/>
        </w:numPr>
        <w:spacing w:before="120" w:line="240" w:lineRule="atLeast"/>
      </w:pPr>
      <w:r>
        <w:rPr>
          <w:b/>
          <w:i w:val="0"/>
          <w:sz w:val="20"/>
        </w:rPr>
        <w:t>t</w:t>
      </w:r>
    </w:p>
    <w:p>
      <w:pPr>
        <w:numPr>
          <w:numId w:val="1252"/>
        </w:numPr>
        <w:spacing w:before="120" w:line="240" w:lineRule="atLeast"/>
      </w:pPr>
      <w:r>
        <w:rPr>
          <w:b/>
          <w:i w:val="0"/>
          <w:sz w:val="20"/>
        </w:rPr>
        <w:t>de quality-adjusted target prices and actual episode payments.</w:t>
      </w:r>
    </w:p>
    <w:p>
      <w:pPr>
        <w:numPr>
          <w:numId w:val="1253"/>
        </w:numPr>
        <w:spacing w:before="120" w:line="240" w:lineRule="atLeast"/>
      </w:pPr>
      <w:r>
        <w:rPr>
          <w:b/>
          <w:i w:val="0"/>
          <w:sz w:val="20"/>
        </w:rPr>
        <w:t>PRA and reconciliation process.  [*623] </w:t>
      </w:r>
    </w:p>
    <w:p>
      <w:pPr>
        <w:numPr>
          <w:numId w:val="1254"/>
        </w:numPr>
        <w:spacing w:before="120" w:line="240" w:lineRule="atLeast"/>
      </w:pPr>
      <w:r>
        <w:rPr>
          <w:b/>
          <w:i w:val="0"/>
          <w:sz w:val="20"/>
        </w:rPr>
        <w:t>s.</w:t>
      </w:r>
    </w:p>
    <w:p>
      <w:pPr>
        <w:numPr>
          <w:numId w:val="1255"/>
        </w:numPr>
        <w:spacing w:before="120" w:line="240" w:lineRule="atLeast"/>
      </w:pPr>
    </w:p>
    <w:p>
      <w:pPr>
        <w:numPr>
          <w:numId w:val="1256"/>
        </w:numPr>
        <w:spacing w:before="120" w:line="240" w:lineRule="atLeast"/>
      </w:pPr>
      <w:r>
        <w:rPr>
          <w:b/>
          <w:i w:val="0"/>
          <w:sz w:val="20"/>
        </w:rPr>
        <w:t>es for determining reconciliation payment eligibility and effective and applicable discount factors.</w:t>
      </w:r>
    </w:p>
    <w:p>
      <w:pPr>
        <w:numPr>
          <w:numId w:val="1257"/>
        </w:numPr>
        <w:spacing w:before="120" w:line="240" w:lineRule="atLeast"/>
      </w:pPr>
      <w:r>
        <w:rPr>
          <w:b/>
          <w:i w:val="0"/>
          <w:sz w:val="20"/>
        </w:rPr>
        <w:t xml:space="preserve"> programs or add-on payments under existing Medicare payment systems.</w:t>
      </w:r>
    </w:p>
    <w:p>
      <w:pPr>
        <w:numPr>
          <w:numId w:val="1258"/>
        </w:numPr>
        <w:spacing w:before="120" w:line="240" w:lineRule="atLeast"/>
      </w:pPr>
    </w:p>
    <w:p>
      <w:pPr>
        <w:numPr>
          <w:numId w:val="1259"/>
        </w:numPr>
        <w:spacing w:before="120" w:line="240" w:lineRule="atLeast"/>
      </w:pPr>
      <w:r>
        <w:rPr>
          <w:b/>
          <w:i w:val="0"/>
          <w:sz w:val="20"/>
        </w:rPr>
        <w:t>Beneficiary Protections, and Compliance Enforcement</w:t>
      </w:r>
    </w:p>
    <w:p>
      <w:pPr>
        <w:numPr>
          <w:numId w:val="1260"/>
        </w:numPr>
        <w:spacing w:before="120" w:line="240" w:lineRule="atLeast"/>
      </w:pPr>
      <w:r>
        <w:rPr>
          <w:b/>
          <w:i w:val="0"/>
          <w:sz w:val="20"/>
        </w:rPr>
        <w:t>eporting--general.</w:t>
      </w:r>
    </w:p>
    <w:p>
      <w:pPr>
        <w:numPr>
          <w:numId w:val="1261"/>
        </w:numPr>
        <w:spacing w:before="120" w:line="240" w:lineRule="atLeast"/>
      </w:pPr>
      <w:r>
        <w:rPr>
          <w:b/>
          <w:i w:val="0"/>
          <w:sz w:val="20"/>
        </w:rPr>
        <w:t>eporting for AMI model.</w:t>
      </w:r>
    </w:p>
    <w:p>
      <w:pPr>
        <w:numPr>
          <w:numId w:val="1262"/>
        </w:numPr>
        <w:spacing w:before="120" w:line="240" w:lineRule="atLeast"/>
      </w:pPr>
      <w:r>
        <w:rPr>
          <w:b/>
          <w:i w:val="0"/>
          <w:sz w:val="20"/>
        </w:rPr>
        <w:t>eporting for CABG model.</w:t>
      </w:r>
    </w:p>
    <w:p>
      <w:pPr>
        <w:numPr>
          <w:numId w:val="1263"/>
        </w:numPr>
        <w:spacing w:before="120" w:line="240" w:lineRule="atLeast"/>
      </w:pPr>
      <w:r>
        <w:rPr>
          <w:b/>
          <w:i w:val="0"/>
          <w:sz w:val="20"/>
        </w:rPr>
        <w:t>eporting for SHFFT model.</w:t>
      </w:r>
    </w:p>
    <w:p>
      <w:pPr>
        <w:numPr>
          <w:numId w:val="1264"/>
        </w:numPr>
        <w:spacing w:before="120" w:line="240" w:lineRule="atLeast"/>
      </w:pPr>
      <w:r>
        <w:rPr>
          <w:b/>
          <w:i w:val="0"/>
          <w:sz w:val="20"/>
        </w:rPr>
        <w:t xml:space="preserve"> beneficiary notification.</w:t>
      </w:r>
    </w:p>
    <w:p>
      <w:pPr>
        <w:numPr>
          <w:numId w:val="1265"/>
        </w:numPr>
        <w:spacing w:before="120" w:line="240" w:lineRule="atLeast"/>
      </w:pPr>
      <w:r>
        <w:rPr>
          <w:b/>
          <w:i w:val="0"/>
          <w:sz w:val="20"/>
        </w:rPr>
        <w:t>.</w:t>
      </w:r>
    </w:p>
    <w:p>
      <w:pPr>
        <w:numPr>
          <w:numId w:val="1266"/>
        </w:numPr>
        <w:spacing w:before="120" w:line="240" w:lineRule="atLeast"/>
      </w:pPr>
      <w:r>
        <w:rPr>
          <w:b/>
          <w:i w:val="0"/>
          <w:sz w:val="20"/>
        </w:rPr>
        <w:t>ents and Beneficiary Incentives</w:t>
      </w:r>
    </w:p>
    <w:p>
      <w:pPr>
        <w:numPr>
          <w:numId w:val="1267"/>
        </w:numPr>
        <w:spacing w:before="120" w:line="240" w:lineRule="atLeast"/>
      </w:pPr>
      <w:r>
        <w:rPr>
          <w:b/>
          <w:i w:val="0"/>
          <w:sz w:val="20"/>
        </w:rPr>
        <w:t>nder the EPM.</w:t>
      </w:r>
    </w:p>
    <w:p>
      <w:pPr>
        <w:numPr>
          <w:numId w:val="1268"/>
        </w:numPr>
        <w:spacing w:before="120" w:line="240" w:lineRule="atLeast"/>
      </w:pPr>
      <w:r>
        <w:rPr>
          <w:b/>
          <w:i w:val="0"/>
          <w:sz w:val="20"/>
        </w:rPr>
        <w:t>nts under the EPM.</w:t>
      </w:r>
    </w:p>
    <w:p>
      <w:pPr>
        <w:numPr>
          <w:numId w:val="1269"/>
        </w:numPr>
        <w:spacing w:before="120" w:line="240" w:lineRule="atLeast"/>
      </w:pPr>
      <w:r>
        <w:rPr>
          <w:b/>
          <w:i w:val="0"/>
          <w:sz w:val="20"/>
        </w:rPr>
        <w:t>n arrangements under the EPM.</w:t>
      </w:r>
    </w:p>
    <w:p>
      <w:pPr>
        <w:numPr>
          <w:numId w:val="1270"/>
        </w:numPr>
        <w:spacing w:before="120" w:line="240" w:lineRule="atLeast"/>
      </w:pPr>
      <w:r>
        <w:rPr>
          <w:b/>
          <w:i w:val="0"/>
          <w:sz w:val="20"/>
        </w:rPr>
        <w:t>under the EPM.</w:t>
      </w:r>
    </w:p>
    <w:p>
      <w:pPr>
        <w:numPr>
          <w:numId w:val="1271"/>
        </w:numPr>
        <w:spacing w:before="120" w:line="240" w:lineRule="atLeast"/>
      </w:pPr>
      <w:r>
        <w:rPr>
          <w:b/>
          <w:i w:val="0"/>
          <w:sz w:val="20"/>
        </w:rPr>
        <w:t xml:space="preserve"> incentives under the EPM.</w:t>
      </w:r>
    </w:p>
    <w:p>
      <w:pPr>
        <w:numPr>
          <w:numId w:val="1272"/>
        </w:numPr>
        <w:spacing w:before="120" w:line="240" w:lineRule="atLeast"/>
      </w:pPr>
    </w:p>
    <w:p>
      <w:pPr>
        <w:numPr>
          <w:numId w:val="1273"/>
        </w:numPr>
        <w:spacing w:before="120" w:line="240" w:lineRule="atLeast"/>
      </w:pPr>
      <w:r>
        <w:rPr>
          <w:b/>
          <w:i w:val="0"/>
          <w:sz w:val="20"/>
        </w:rPr>
        <w:t>vision requirement for certain post-discharge home visits.</w:t>
      </w:r>
    </w:p>
    <w:p>
      <w:pPr>
        <w:numPr>
          <w:numId w:val="1274"/>
        </w:numPr>
        <w:spacing w:before="120" w:line="240" w:lineRule="atLeast"/>
      </w:pPr>
      <w:r>
        <w:rPr>
          <w:b/>
          <w:i w:val="0"/>
          <w:sz w:val="20"/>
        </w:rPr>
        <w:t>health requirements.</w:t>
      </w:r>
    </w:p>
    <w:p>
      <w:pPr>
        <w:numPr>
          <w:numId w:val="1275"/>
        </w:numPr>
        <w:spacing w:before="120" w:line="240" w:lineRule="atLeast"/>
      </w:pPr>
      <w:r>
        <w:rPr>
          <w:b/>
          <w:i w:val="0"/>
          <w:sz w:val="20"/>
        </w:rPr>
        <w:t>le.</w:t>
      </w:r>
    </w:p>
    <w:p>
      <w:pPr>
        <w:numPr>
          <w:numId w:val="1276"/>
        </w:numPr>
        <w:spacing w:before="120" w:line="240" w:lineRule="atLeast"/>
      </w:pPr>
      <w:r>
        <w:rPr>
          <w:b/>
          <w:i w:val="0"/>
          <w:sz w:val="20"/>
        </w:rPr>
        <w:t>-operative billing restrictions.</w:t>
      </w:r>
    </w:p>
    <w:p>
      <w:pPr>
        <w:numPr>
          <w:numId w:val="1277"/>
        </w:numPr>
        <w:spacing w:before="120" w:line="240" w:lineRule="atLeast"/>
      </w:pPr>
      <w:r>
        <w:rPr>
          <w:b/>
          <w:i w:val="0"/>
          <w:sz w:val="20"/>
        </w:rPr>
        <w:t>nd coinsurance that otherwise apply to reconciliation payments or repayments.</w:t>
      </w:r>
    </w:p>
    <w:p>
      <w:pPr>
        <w:numPr>
          <w:numId w:val="1278"/>
        </w:numPr>
        <w:spacing w:before="120" w:line="240" w:lineRule="atLeast"/>
      </w:pPr>
      <w:r>
        <w:rPr>
          <w:b/>
          <w:i w:val="0"/>
          <w:sz w:val="20"/>
        </w:rPr>
        <w:t>finition for furnishing cardiac rehabilitation and intensive cardiac rehabilitation services to an EPM beneficiary.</w:t>
      </w:r>
    </w:p>
    <w:p>
      <w:pPr>
        <w:numPr>
          <w:numId w:val="1279"/>
        </w:numPr>
        <w:spacing w:before="120" w:line="240" w:lineRule="atLeast"/>
      </w:pPr>
      <w:r>
        <w:rPr>
          <w:b/>
          <w:i w:val="0"/>
          <w:sz w:val="20"/>
        </w:rPr>
        <w:t>nt Model for EPM and Medicare Fee-for-Service Participants</w:t>
      </w:r>
    </w:p>
    <w:p>
      <w:pPr>
        <w:numPr>
          <w:numId w:val="1280"/>
        </w:numPr>
        <w:spacing w:before="120" w:line="240" w:lineRule="atLeast"/>
      </w:pPr>
    </w:p>
    <w:p>
      <w:pPr>
        <w:numPr>
          <w:numId w:val="1281"/>
        </w:numPr>
        <w:spacing w:before="120" w:line="240" w:lineRule="atLeast"/>
      </w:pPr>
      <w:r>
        <w:rPr>
          <w:b/>
          <w:i w:val="0"/>
          <w:sz w:val="20"/>
        </w:rPr>
        <w:t>odel participants.</w:t>
      </w:r>
    </w:p>
    <w:p>
      <w:pPr>
        <w:numPr>
          <w:numId w:val="1282"/>
        </w:numPr>
        <w:spacing w:before="120" w:line="240" w:lineRule="atLeast"/>
      </w:pPr>
      <w:r>
        <w:rPr>
          <w:b/>
          <w:i w:val="0"/>
          <w:sz w:val="20"/>
        </w:rPr>
        <w:t>ount towards CR incentive payments.</w:t>
      </w:r>
    </w:p>
    <w:p>
      <w:pPr>
        <w:numPr>
          <w:numId w:val="1283"/>
        </w:numPr>
        <w:spacing w:before="120" w:line="240" w:lineRule="atLeast"/>
      </w:pPr>
      <w:r>
        <w:rPr>
          <w:b/>
          <w:i w:val="0"/>
          <w:sz w:val="20"/>
        </w:rPr>
        <w:t>centive payments.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Provisions for FFS-CR Participants</w:t>
      </w:r>
    </w:p>
    <w:p>
      <w:pPr>
        <w:numPr>
          <w:numId w:val="1284"/>
        </w:numPr>
        <w:spacing w:before="120" w:line="240" w:lineRule="atLeast"/>
      </w:pPr>
      <w:r>
        <w:rPr>
          <w:b/>
          <w:i w:val="0"/>
          <w:sz w:val="20"/>
        </w:rPr>
        <w:t>retention for FFS-CR participants.</w:t>
      </w:r>
    </w:p>
    <w:p>
      <w:pPr>
        <w:numPr>
          <w:numId w:val="1285"/>
        </w:numPr>
        <w:spacing w:before="120" w:line="240" w:lineRule="atLeast"/>
      </w:pPr>
      <w:r>
        <w:rPr>
          <w:b/>
          <w:i w:val="0"/>
          <w:sz w:val="20"/>
        </w:rPr>
        <w:t>S-CR participants.</w:t>
      </w:r>
    </w:p>
    <w:p>
      <w:pPr>
        <w:numPr>
          <w:numId w:val="1286"/>
        </w:numPr>
        <w:spacing w:before="120" w:line="240" w:lineRule="atLeast"/>
      </w:pPr>
      <w:r>
        <w:rPr>
          <w:b/>
          <w:i w:val="0"/>
          <w:sz w:val="20"/>
        </w:rPr>
        <w:t>R participants.</w:t>
      </w:r>
    </w:p>
    <w:p>
      <w:pPr>
        <w:numPr>
          <w:numId w:val="1287"/>
        </w:numPr>
        <w:spacing w:before="120" w:line="240" w:lineRule="atLeast"/>
      </w:pPr>
      <w:r>
        <w:rPr>
          <w:b/>
          <w:i w:val="0"/>
          <w:sz w:val="20"/>
        </w:rPr>
        <w:t xml:space="preserve"> for FFS-CR participants.</w:t>
      </w:r>
    </w:p>
    <w:p>
      <w:pPr>
        <w:numPr>
          <w:numId w:val="1288"/>
        </w:numPr>
        <w:spacing w:before="120" w:line="240" w:lineRule="atLeast"/>
      </w:pPr>
      <w:r>
        <w:rPr>
          <w:b/>
          <w:i w:val="0"/>
          <w:sz w:val="20"/>
        </w:rPr>
        <w:t>for FFS-CR participants.</w:t>
      </w:r>
    </w:p>
    <w:p>
      <w:pPr>
        <w:numPr>
          <w:numId w:val="1289"/>
        </w:numPr>
        <w:spacing w:before="120" w:line="240" w:lineRule="atLeast"/>
      </w:pPr>
      <w:r>
        <w:rPr>
          <w:b/>
          <w:i w:val="0"/>
          <w:sz w:val="20"/>
        </w:rPr>
        <w:t xml:space="preserve"> incentives for FFS-CR participant use.</w:t>
      </w:r>
    </w:p>
    <w:p>
      <w:pPr>
        <w:numPr>
          <w:numId w:val="1290"/>
        </w:numPr>
        <w:spacing w:before="120" w:line="240" w:lineRule="atLeast"/>
      </w:pPr>
      <w:r>
        <w:rPr>
          <w:b/>
          <w:i w:val="0"/>
          <w:sz w:val="20"/>
        </w:rPr>
        <w:t>finition for furnishing CR and ICR services to a FFS-CR beneficiary.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Subparts I-J [Reserved]</w:t>
      </w:r>
    </w:p>
    <w:p>
      <w:pPr>
        <w:numPr>
          <w:numId w:val="1291"/>
        </w:numPr>
        <w:spacing w:before="120" w:line="240" w:lineRule="atLeast"/>
      </w:pPr>
    </w:p>
    <w:p>
      <w:pPr>
        <w:numPr>
          <w:numId w:val="1292"/>
        </w:numPr>
        <w:spacing w:before="120" w:line="240" w:lineRule="atLeast"/>
      </w:pPr>
      <w:r>
        <w:rPr>
          <w:b/>
          <w:i w:val="0"/>
          <w:sz w:val="20"/>
        </w:rPr>
        <w:t>ode payment model.</w:t>
      </w:r>
    </w:p>
    <w:p>
      <w:pPr>
        <w:numPr>
          <w:numId w:val="1293"/>
        </w:numPr>
        <w:spacing w:before="120" w:line="240" w:lineRule="atLeast"/>
      </w:pPr>
      <w:r>
        <w:rPr>
          <w:b/>
          <w:i w:val="0"/>
          <w:sz w:val="20"/>
        </w:rPr>
        <w:t>incentive payment model.</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Secs. 1102, 1115A, and 1871 of the Social Security Act (</w:t>
      </w:r>
      <w:hyperlink r:id="rId144" w:history="1">
        <w:r>
          <w:rPr>
            <w:rFonts w:ascii="arial" w:eastAsia="arial" w:hAnsi="arial" w:cs="arial"/>
            <w:b w:val="0"/>
            <w:i/>
            <w:strike w:val="0"/>
            <w:noProof w:val="0"/>
            <w:color w:val="0077CC"/>
            <w:position w:val="0"/>
            <w:sz w:val="20"/>
            <w:u w:val="single"/>
            <w:vertAlign w:val="baseline"/>
          </w:rPr>
          <w:t>42 U.S.C. 1302</w:t>
        </w:r>
      </w:hyperlink>
      <w:r>
        <w:rPr>
          <w:rFonts w:ascii="arial" w:eastAsia="arial" w:hAnsi="arial" w:cs="arial"/>
          <w:b w:val="0"/>
          <w:i w:val="0"/>
          <w:strike w:val="0"/>
          <w:noProof w:val="0"/>
          <w:color w:val="000000"/>
          <w:position w:val="0"/>
          <w:sz w:val="20"/>
          <w:u w:val="none"/>
          <w:vertAlign w:val="baseline"/>
        </w:rPr>
        <w:t xml:space="preserve">, </w:t>
      </w:r>
      <w:hyperlink r:id="rId145" w:history="1">
        <w:r>
          <w:rPr>
            <w:rFonts w:ascii="arial" w:eastAsia="arial" w:hAnsi="arial" w:cs="arial"/>
            <w:b w:val="0"/>
            <w:i/>
            <w:strike w:val="0"/>
            <w:noProof w:val="0"/>
            <w:color w:val="0077CC"/>
            <w:position w:val="0"/>
            <w:sz w:val="20"/>
            <w:u w:val="single"/>
            <w:vertAlign w:val="baseline"/>
          </w:rPr>
          <w:t>1315(a)</w:t>
        </w:r>
      </w:hyperlink>
      <w:r>
        <w:rPr>
          <w:rFonts w:ascii="arial" w:eastAsia="arial" w:hAnsi="arial" w:cs="arial"/>
          <w:b w:val="0"/>
          <w:i w:val="0"/>
          <w:strike w:val="0"/>
          <w:noProof w:val="0"/>
          <w:color w:val="000000"/>
          <w:position w:val="0"/>
          <w:sz w:val="20"/>
          <w:u w:val="none"/>
          <w:vertAlign w:val="baseline"/>
        </w:rPr>
        <w:t xml:space="preserve">, and </w:t>
      </w:r>
      <w:hyperlink r:id="rId146" w:history="1">
        <w:r>
          <w:rPr>
            <w:rFonts w:ascii="arial" w:eastAsia="arial" w:hAnsi="arial" w:cs="arial"/>
            <w:b w:val="0"/>
            <w:i/>
            <w:strike w:val="0"/>
            <w:noProof w:val="0"/>
            <w:color w:val="0077CC"/>
            <w:position w:val="0"/>
            <w:sz w:val="20"/>
            <w:u w:val="single"/>
            <w:vertAlign w:val="baseline"/>
          </w:rPr>
          <w:t>1395hh</w:t>
        </w:r>
      </w:hyperlink>
      <w:r>
        <w:rPr>
          <w:rFonts w:ascii="arial" w:eastAsia="arial" w:hAnsi="arial" w:cs="arial"/>
          <w:b w:val="0"/>
          <w:i w:val="0"/>
          <w:strike w:val="0"/>
          <w:noProof w:val="0"/>
          <w:color w:val="000000"/>
          <w:position w:val="0"/>
          <w:sz w:val="20"/>
          <w:u w:val="none"/>
          <w:vertAlign w:val="baseline"/>
        </w:rPr>
        <w:t>).</w:t>
      </w:r>
    </w:p>
    <w:p>
      <w:pPr>
        <w:numPr>
          <w:numId w:val="1294"/>
        </w:numPr>
        <w:spacing w:before="120" w:line="240" w:lineRule="atLeast"/>
      </w:pPr>
    </w:p>
    <w:p>
      <w:pPr>
        <w:numPr>
          <w:numId w:val="1295"/>
        </w:numPr>
        <w:spacing w:before="120" w:line="240" w:lineRule="atLeast"/>
      </w:pPr>
    </w:p>
    <w:p>
      <w:pPr>
        <w:keepNext w:val="0"/>
        <w:numPr>
          <w:numId w:val="1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This part implements the test of episode payment models under section 1115A of the Act. Except as specifically noted in this part,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this part must not be construed to affect the payment, coverage, program integrity, or other requirements (such as those in parts 412 and 482 of this chapter) that apply to providers and suppliers under this chapter.</w:t>
      </w:r>
    </w:p>
    <w:p>
      <w:pPr>
        <w:keepNext w:val="0"/>
        <w:numPr>
          <w:numId w:val="12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part sets forth the following:</w:t>
      </w:r>
    </w:p>
    <w:p>
      <w:pPr>
        <w:keepNext w:val="0"/>
        <w:numPr>
          <w:numId w:val="1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participants in each episode payment model.</w:t>
      </w:r>
    </w:p>
    <w:p>
      <w:pPr>
        <w:keepNext w:val="0"/>
        <w:numPr>
          <w:numId w:val="1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episodes being tested in each episode payment model.</w:t>
      </w:r>
    </w:p>
    <w:p>
      <w:pPr>
        <w:keepNext w:val="0"/>
        <w:numPr>
          <w:numId w:val="1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for pricing and payment under each episode payment model.</w:t>
      </w:r>
    </w:p>
    <w:p>
      <w:pPr>
        <w:keepNext w:val="0"/>
        <w:numPr>
          <w:numId w:val="1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performance standards and quality reporting requirements.</w:t>
      </w:r>
    </w:p>
    <w:p>
      <w:pPr>
        <w:keepNext w:val="0"/>
        <w:numPr>
          <w:numId w:val="1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Safeguards to ensure preservation of beneficiary choice and beneficiary notification.</w:t>
      </w:r>
    </w:p>
    <w:p>
      <w:pPr>
        <w:numPr>
          <w:numId w:val="1299"/>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the purposes of this part, the following definitions are applicable unless otherwise stated:</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ACO</w:t>
      </w:r>
      <w:r>
        <w:rPr>
          <w:rFonts w:ascii="arial" w:eastAsia="arial" w:hAnsi="arial" w:cs="arial"/>
          <w:b w:val="0"/>
          <w:i w:val="0"/>
          <w:strike w:val="0"/>
          <w:noProof w:val="0"/>
          <w:color w:val="000000"/>
          <w:position w:val="0"/>
          <w:sz w:val="20"/>
          <w:u w:val="none"/>
          <w:vertAlign w:val="baseline"/>
        </w:rPr>
        <w:t xml:space="preserve"> means an accountable care organization, as defined at § 425.20 of this chapter, that participates in the Shared Savings Program and is not in Track 3.</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ACO participant</w:t>
      </w:r>
      <w:r>
        <w:rPr>
          <w:rFonts w:ascii="arial" w:eastAsia="arial" w:hAnsi="arial" w:cs="arial"/>
          <w:b w:val="0"/>
          <w:i w:val="0"/>
          <w:strike w:val="0"/>
          <w:noProof w:val="0"/>
          <w:color w:val="000000"/>
          <w:position w:val="0"/>
          <w:sz w:val="20"/>
          <w:u w:val="none"/>
          <w:vertAlign w:val="baseline"/>
        </w:rPr>
        <w:t xml:space="preserve"> has the meaning set forth in § 425.20 of this chapter.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ACO provider/supplier</w:t>
      </w:r>
      <w:r>
        <w:rPr>
          <w:rFonts w:ascii="arial" w:eastAsia="arial" w:hAnsi="arial" w:cs="arial"/>
          <w:b w:val="0"/>
          <w:i w:val="0"/>
          <w:strike w:val="0"/>
          <w:noProof w:val="0"/>
          <w:color w:val="000000"/>
          <w:position w:val="0"/>
          <w:sz w:val="20"/>
          <w:u w:val="none"/>
          <w:vertAlign w:val="baseline"/>
        </w:rPr>
        <w:t xml:space="preserve"> has the meaning set forth in § 425.20 of this chapter.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Actual episode payment</w:t>
      </w:r>
      <w:r>
        <w:rPr>
          <w:rFonts w:ascii="arial" w:eastAsia="arial" w:hAnsi="arial" w:cs="arial"/>
          <w:b w:val="0"/>
          <w:i w:val="0"/>
          <w:strike w:val="0"/>
          <w:noProof w:val="0"/>
          <w:color w:val="000000"/>
          <w:position w:val="0"/>
          <w:sz w:val="20"/>
          <w:u w:val="none"/>
          <w:vertAlign w:val="baseline"/>
        </w:rPr>
        <w:t xml:space="preserve"> means the sum of Medicare claims payments and certain non-claims-based payments for items and services that are included in the episode in accordance with § 512.210(a), excluding the items and services described in § 512.210(b).</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Alignment payment</w:t>
      </w:r>
      <w:r>
        <w:rPr>
          <w:rFonts w:ascii="arial" w:eastAsia="arial" w:hAnsi="arial" w:cs="arial"/>
          <w:b w:val="0"/>
          <w:i w:val="0"/>
          <w:strike w:val="0"/>
          <w:noProof w:val="0"/>
          <w:color w:val="000000"/>
          <w:position w:val="0"/>
          <w:sz w:val="20"/>
          <w:u w:val="none"/>
          <w:vertAlign w:val="baseline"/>
        </w:rPr>
        <w:t xml:space="preserve"> means a payment from an EPM collaborator to an EPM participant under a sharing arrangement, for the sole purpose of sharing the EPM participant's responsibility for making repayments to Medicare.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AMI</w:t>
      </w:r>
      <w:r>
        <w:rPr>
          <w:rFonts w:ascii="arial" w:eastAsia="arial" w:hAnsi="arial" w:cs="arial"/>
          <w:b w:val="0"/>
          <w:i w:val="0"/>
          <w:strike w:val="0"/>
          <w:noProof w:val="0"/>
          <w:color w:val="000000"/>
          <w:position w:val="0"/>
          <w:sz w:val="20"/>
          <w:u w:val="none"/>
          <w:vertAlign w:val="baseline"/>
        </w:rPr>
        <w:t xml:space="preserve"> means acute myocardial infarction, an event caused by diminished blood supply to the heart leading to irreversible heart muscle cell damage or death.</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AMI care period</w:t>
      </w:r>
      <w:r>
        <w:rPr>
          <w:rFonts w:ascii="arial" w:eastAsia="arial" w:hAnsi="arial" w:cs="arial"/>
          <w:b w:val="0"/>
          <w:i w:val="0"/>
          <w:strike w:val="0"/>
          <w:noProof w:val="0"/>
          <w:color w:val="000000"/>
          <w:position w:val="0"/>
          <w:sz w:val="20"/>
          <w:u w:val="none"/>
          <w:vertAlign w:val="baseline"/>
        </w:rPr>
        <w:t xml:space="preserve"> means a period of AMI care that would meet the requirements to be an AMI model episode in accordance with all provisions in subpart B of this part if the FFS-CR participant were an AMI model participant.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AMI model</w:t>
      </w:r>
      <w:r>
        <w:rPr>
          <w:rFonts w:ascii="arial" w:eastAsia="arial" w:hAnsi="arial" w:cs="arial"/>
          <w:b w:val="0"/>
          <w:i w:val="0"/>
          <w:strike w:val="0"/>
          <w:noProof w:val="0"/>
          <w:color w:val="000000"/>
          <w:position w:val="0"/>
          <w:sz w:val="20"/>
          <w:u w:val="none"/>
          <w:vertAlign w:val="baseline"/>
        </w:rPr>
        <w:t xml:space="preserve"> means the EPM for AMI.</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AMI model participant</w:t>
      </w:r>
      <w:r>
        <w:rPr>
          <w:rFonts w:ascii="arial" w:eastAsia="arial" w:hAnsi="arial" w:cs="arial"/>
          <w:b w:val="0"/>
          <w:i w:val="0"/>
          <w:strike w:val="0"/>
          <w:noProof w:val="0"/>
          <w:color w:val="000000"/>
          <w:position w:val="0"/>
          <w:sz w:val="20"/>
          <w:u w:val="none"/>
          <w:vertAlign w:val="baseline"/>
        </w:rPr>
        <w:t xml:space="preserve"> means an EPM participant that is an IPPS hospital (other than those hospitals specifically excepted under § 512.100(b)) with a CCN primary address in one of the geographic areas selected for participation in the AMI model in accordance with § 512.105(b), as of the date of selection or any time thereafter during any performance year.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Anchor hospitalization</w:t>
      </w:r>
      <w:r>
        <w:rPr>
          <w:rFonts w:ascii="arial" w:eastAsia="arial" w:hAnsi="arial" w:cs="arial"/>
          <w:b w:val="0"/>
          <w:i w:val="0"/>
          <w:strike w:val="0"/>
          <w:noProof w:val="0"/>
          <w:color w:val="000000"/>
          <w:position w:val="0"/>
          <w:sz w:val="20"/>
          <w:u w:val="none"/>
          <w:vertAlign w:val="baseline"/>
        </w:rPr>
        <w:t xml:space="preserve"> means a hospitalization that initiates an EPM episode.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Anchor hospitalization portion</w:t>
      </w:r>
      <w:r>
        <w:rPr>
          <w:rFonts w:ascii="arial" w:eastAsia="arial" w:hAnsi="arial" w:cs="arial"/>
          <w:b w:val="0"/>
          <w:i w:val="0"/>
          <w:strike w:val="0"/>
          <w:noProof w:val="0"/>
          <w:color w:val="000000"/>
          <w:position w:val="0"/>
          <w:sz w:val="20"/>
          <w:u w:val="none"/>
          <w:vertAlign w:val="baseline"/>
        </w:rPr>
        <w:t xml:space="preserve"> means the part of an EPM episode that occurs during the anchor hospitalization.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Anchor MS-DRG</w:t>
      </w:r>
      <w:r>
        <w:rPr>
          <w:rFonts w:ascii="arial" w:eastAsia="arial" w:hAnsi="arial" w:cs="arial"/>
          <w:b w:val="0"/>
          <w:i w:val="0"/>
          <w:strike w:val="0"/>
          <w:noProof w:val="0"/>
          <w:color w:val="000000"/>
          <w:position w:val="0"/>
          <w:sz w:val="20"/>
          <w:u w:val="none"/>
          <w:vertAlign w:val="baseline"/>
        </w:rPr>
        <w:t xml:space="preserve"> means the MS-DRG assigned to the hospitalization discharge, which initiates an EPM episode.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Applicable discount factor</w:t>
      </w:r>
      <w:r>
        <w:rPr>
          <w:rFonts w:ascii="arial" w:eastAsia="arial" w:hAnsi="arial" w:cs="arial"/>
          <w:b w:val="0"/>
          <w:i w:val="0"/>
          <w:strike w:val="0"/>
          <w:noProof w:val="0"/>
          <w:color w:val="000000"/>
          <w:position w:val="0"/>
          <w:sz w:val="20"/>
          <w:u w:val="none"/>
          <w:vertAlign w:val="baseline"/>
        </w:rPr>
        <w:t xml:space="preserve"> means the discount percentage established by the EPM participant's quality category as determined in § 512.315, that is applied to the episode benchmark price for purposes of determining an EPM participant's Medicare repayment in performance year 2 for EPM participants who elect early downside risk and performance years 3 and 4 for all EPM participants.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Area</w:t>
      </w:r>
      <w:r>
        <w:rPr>
          <w:rFonts w:ascii="arial" w:eastAsia="arial" w:hAnsi="arial" w:cs="arial"/>
          <w:b w:val="0"/>
          <w:i w:val="0"/>
          <w:strike w:val="0"/>
          <w:noProof w:val="0"/>
          <w:color w:val="000000"/>
          <w:position w:val="0"/>
          <w:sz w:val="20"/>
          <w:u w:val="none"/>
          <w:vertAlign w:val="baseline"/>
        </w:rPr>
        <w:t xml:space="preserve"> means, as defined in § 400.200 of this chapter, the geographical area within the boundaries of a State, or a State or other jurisdiction, designated as constituting an area with respect to which a Professional Standards Review Organization or a Utilization and Quality Control Peer Review Organization has been or may be designated.</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BPCI</w:t>
      </w:r>
      <w:r>
        <w:rPr>
          <w:rFonts w:ascii="arial" w:eastAsia="arial" w:hAnsi="arial" w:cs="arial"/>
          <w:b w:val="0"/>
          <w:i w:val="0"/>
          <w:strike w:val="0"/>
          <w:noProof w:val="0"/>
          <w:color w:val="000000"/>
          <w:position w:val="0"/>
          <w:sz w:val="20"/>
          <w:u w:val="none"/>
          <w:vertAlign w:val="baseline"/>
        </w:rPr>
        <w:t xml:space="preserve"> stands for the Bundled Payment for Care Improvement initiative.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CABG</w:t>
      </w:r>
      <w:r>
        <w:rPr>
          <w:rFonts w:ascii="arial" w:eastAsia="arial" w:hAnsi="arial" w:cs="arial"/>
          <w:b w:val="0"/>
          <w:i w:val="0"/>
          <w:strike w:val="0"/>
          <w:noProof w:val="0"/>
          <w:color w:val="000000"/>
          <w:position w:val="0"/>
          <w:sz w:val="20"/>
          <w:u w:val="none"/>
          <w:vertAlign w:val="baseline"/>
        </w:rPr>
        <w:t xml:space="preserve"> means coronary artery bypass graft, a surgical procedure that diverts the flow of blood around a section of a blocked or partially blocked artery in the heart, creating a new pathway that improves blood flow to heart muscle.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CABG care period</w:t>
      </w:r>
      <w:r>
        <w:rPr>
          <w:rFonts w:ascii="arial" w:eastAsia="arial" w:hAnsi="arial" w:cs="arial"/>
          <w:b w:val="0"/>
          <w:i w:val="0"/>
          <w:strike w:val="0"/>
          <w:noProof w:val="0"/>
          <w:color w:val="000000"/>
          <w:position w:val="0"/>
          <w:sz w:val="20"/>
          <w:u w:val="none"/>
          <w:vertAlign w:val="baseline"/>
        </w:rPr>
        <w:t xml:space="preserve"> means a period of CABG care that would meet the requirements to be a CABG model episode in accordance with all </w:t>
      </w:r>
      <w:r>
        <w:rPr>
          <w:rFonts w:ascii="arial" w:eastAsia="arial" w:hAnsi="arial" w:cs="arial"/>
          <w:b/>
          <w:i w:val="0"/>
          <w:strike w:val="0"/>
          <w:noProof w:val="0"/>
          <w:color w:val="000000"/>
          <w:position w:val="0"/>
          <w:sz w:val="20"/>
          <w:u w:val="none"/>
          <w:vertAlign w:val="baseline"/>
        </w:rPr>
        <w:t> [*624] </w:t>
      </w:r>
      <w:r>
        <w:rPr>
          <w:rFonts w:ascii="arial" w:eastAsia="arial" w:hAnsi="arial" w:cs="arial"/>
          <w:b w:val="0"/>
          <w:i w:val="0"/>
          <w:strike w:val="0"/>
          <w:noProof w:val="0"/>
          <w:color w:val="000000"/>
          <w:position w:val="0"/>
          <w:sz w:val="20"/>
          <w:u w:val="none"/>
          <w:vertAlign w:val="baseline"/>
        </w:rPr>
        <w:t xml:space="preserve"> provisions in subpart B of this part if the FFS-CR participant were a CABG model participant.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CABG model</w:t>
      </w:r>
      <w:r>
        <w:rPr>
          <w:rFonts w:ascii="arial" w:eastAsia="arial" w:hAnsi="arial" w:cs="arial"/>
          <w:b w:val="0"/>
          <w:i w:val="0"/>
          <w:strike w:val="0"/>
          <w:noProof w:val="0"/>
          <w:color w:val="000000"/>
          <w:position w:val="0"/>
          <w:sz w:val="20"/>
          <w:u w:val="none"/>
          <w:vertAlign w:val="baseline"/>
        </w:rPr>
        <w:t xml:space="preserve"> means the EPM for CABG.</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CABG model participant</w:t>
      </w:r>
      <w:r>
        <w:rPr>
          <w:rFonts w:ascii="arial" w:eastAsia="arial" w:hAnsi="arial" w:cs="arial"/>
          <w:b w:val="0"/>
          <w:i w:val="0"/>
          <w:strike w:val="0"/>
          <w:noProof w:val="0"/>
          <w:color w:val="000000"/>
          <w:position w:val="0"/>
          <w:sz w:val="20"/>
          <w:u w:val="none"/>
          <w:vertAlign w:val="baseline"/>
        </w:rPr>
        <w:t xml:space="preserve"> means an EPM participant that is an IPPS hospital (other than those hospitals specifically excepted under § 512.100(b)) with a CCN primary address in one of the geographic areas selected for participation in the CABG model in accordance with § 512.105(b), as of the date of selection or any time thereafter during any performance year.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CAH</w:t>
      </w:r>
      <w:r>
        <w:rPr>
          <w:rFonts w:ascii="arial" w:eastAsia="arial" w:hAnsi="arial" w:cs="arial"/>
          <w:b w:val="0"/>
          <w:i w:val="0"/>
          <w:strike w:val="0"/>
          <w:noProof w:val="0"/>
          <w:color w:val="000000"/>
          <w:position w:val="0"/>
          <w:sz w:val="20"/>
          <w:u w:val="none"/>
          <w:vertAlign w:val="baseline"/>
        </w:rPr>
        <w:t xml:space="preserve"> means a critical access hospital designated under subpart F of part 485 of this chapter.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CCN</w:t>
      </w:r>
      <w:r>
        <w:rPr>
          <w:rFonts w:ascii="arial" w:eastAsia="arial" w:hAnsi="arial" w:cs="arial"/>
          <w:b w:val="0"/>
          <w:i w:val="0"/>
          <w:strike w:val="0"/>
          <w:noProof w:val="0"/>
          <w:color w:val="000000"/>
          <w:position w:val="0"/>
          <w:sz w:val="20"/>
          <w:u w:val="none"/>
          <w:vertAlign w:val="baseline"/>
        </w:rPr>
        <w:t xml:space="preserve"> stands for CMS certification number.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CEC</w:t>
      </w:r>
      <w:r>
        <w:rPr>
          <w:rFonts w:ascii="arial" w:eastAsia="arial" w:hAnsi="arial" w:cs="arial"/>
          <w:b w:val="0"/>
          <w:i w:val="0"/>
          <w:strike w:val="0"/>
          <w:noProof w:val="0"/>
          <w:color w:val="000000"/>
          <w:position w:val="0"/>
          <w:sz w:val="20"/>
          <w:u w:val="none"/>
          <w:vertAlign w:val="baseline"/>
        </w:rPr>
        <w:t xml:space="preserve"> stands for Comprehensive ESRD Care Model.</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CEHRT</w:t>
      </w:r>
      <w:r>
        <w:rPr>
          <w:rFonts w:ascii="arial" w:eastAsia="arial" w:hAnsi="arial" w:cs="arial"/>
          <w:b w:val="0"/>
          <w:i w:val="0"/>
          <w:strike w:val="0"/>
          <w:noProof w:val="0"/>
          <w:color w:val="000000"/>
          <w:position w:val="0"/>
          <w:sz w:val="20"/>
          <w:u w:val="none"/>
          <w:vertAlign w:val="baseline"/>
        </w:rPr>
        <w:t xml:space="preserve"> means certified electronic health record technology that meet the requirements of </w:t>
      </w:r>
      <w:hyperlink r:id="rId147" w:history="1">
        <w:r>
          <w:rPr>
            <w:rFonts w:ascii="arial" w:eastAsia="arial" w:hAnsi="arial" w:cs="arial"/>
            <w:b w:val="0"/>
            <w:i/>
            <w:strike w:val="0"/>
            <w:noProof w:val="0"/>
            <w:color w:val="0077CC"/>
            <w:position w:val="0"/>
            <w:sz w:val="20"/>
            <w:u w:val="single"/>
            <w:vertAlign w:val="baseline"/>
          </w:rPr>
          <w:t>45 CFR 170.102</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Collaboration agent</w:t>
      </w:r>
      <w:r>
        <w:rPr>
          <w:rFonts w:ascii="arial" w:eastAsia="arial" w:hAnsi="arial" w:cs="arial"/>
          <w:b w:val="0"/>
          <w:i w:val="0"/>
          <w:strike w:val="0"/>
          <w:noProof w:val="0"/>
          <w:color w:val="000000"/>
          <w:position w:val="0"/>
          <w:sz w:val="20"/>
          <w:u w:val="none"/>
          <w:vertAlign w:val="baseline"/>
        </w:rPr>
        <w:t xml:space="preserve"> means an individual or entity that is not an EPM collaborator and that is either of the following:</w:t>
      </w:r>
    </w:p>
    <w:p>
      <w:pPr>
        <w:keepNext w:val="0"/>
        <w:numPr>
          <w:numId w:val="1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PGP member, an NPPGP member, or a TGP member that has entered into a distribution arrangement with the same PGP, NPPGP, or TGP in which he or she is an owner or employee, and where the PGP, NPPGP, or TGP is an EPM collaborator.</w:t>
      </w:r>
    </w:p>
    <w:p>
      <w:pPr>
        <w:keepNext w:val="0"/>
        <w:numPr>
          <w:numId w:val="1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ACO participant or ACO provider/supplier that has entered into a distribution arrangement with the same ACO in which it is participating, and where the ACO is an EPM collaborator.</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Core-based statistical area (CBSA)</w:t>
      </w:r>
      <w:r>
        <w:rPr>
          <w:rFonts w:ascii="arial" w:eastAsia="arial" w:hAnsi="arial" w:cs="arial"/>
          <w:b w:val="0"/>
          <w:i w:val="0"/>
          <w:strike w:val="0"/>
          <w:noProof w:val="0"/>
          <w:color w:val="000000"/>
          <w:position w:val="0"/>
          <w:sz w:val="20"/>
          <w:u w:val="none"/>
          <w:vertAlign w:val="baseline"/>
        </w:rPr>
        <w:t xml:space="preserve"> means a statistical geographic entity consisting of the county or counties associated with at least one core (urbanized area or urban cluster) of at least 10,000 population, plus adjacent counties having a high degree of social and economic integration with the core as measured through commuting ties with the counties containing the core.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CORF</w:t>
      </w:r>
      <w:r>
        <w:rPr>
          <w:rFonts w:ascii="arial" w:eastAsia="arial" w:hAnsi="arial" w:cs="arial"/>
          <w:b w:val="0"/>
          <w:i w:val="0"/>
          <w:strike w:val="0"/>
          <w:noProof w:val="0"/>
          <w:color w:val="000000"/>
          <w:position w:val="0"/>
          <w:sz w:val="20"/>
          <w:u w:val="none"/>
          <w:vertAlign w:val="baseline"/>
        </w:rPr>
        <w:t xml:space="preserve"> stands for comprehensive outpatient rehabilitation facility.</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CR</w:t>
      </w:r>
      <w:r>
        <w:rPr>
          <w:rFonts w:ascii="arial" w:eastAsia="arial" w:hAnsi="arial" w:cs="arial"/>
          <w:b w:val="0"/>
          <w:i w:val="0"/>
          <w:strike w:val="0"/>
          <w:noProof w:val="0"/>
          <w:color w:val="000000"/>
          <w:position w:val="0"/>
          <w:sz w:val="20"/>
          <w:u w:val="none"/>
          <w:vertAlign w:val="baseline"/>
        </w:rPr>
        <w:t xml:space="preserve"> means cardiac rehabilitation as defined in § 410.49(a) of this chapter, a physician-supervised program that furnishes physician prescribed exercise, cardiac risk factor modification, psychosocial assessment, and outcomes assessment.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CR amount</w:t>
      </w:r>
      <w:r>
        <w:rPr>
          <w:rFonts w:ascii="arial" w:eastAsia="arial" w:hAnsi="arial" w:cs="arial"/>
          <w:b w:val="0"/>
          <w:i w:val="0"/>
          <w:strike w:val="0"/>
          <w:noProof w:val="0"/>
          <w:color w:val="000000"/>
          <w:position w:val="0"/>
          <w:sz w:val="20"/>
          <w:u w:val="none"/>
          <w:vertAlign w:val="baseline"/>
        </w:rPr>
        <w:t xml:space="preserve"> means the dollar amount determined by the number of CR/ICR services paid by Medicare under the OPPS or to any supplier reporting place of service code 11 on the PFS claim for a beneficiary in an AMI or CABG model episode or AMI care period or CABG care period.</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CR incentive payment</w:t>
      </w:r>
      <w:r>
        <w:rPr>
          <w:rFonts w:ascii="arial" w:eastAsia="arial" w:hAnsi="arial" w:cs="arial"/>
          <w:b w:val="0"/>
          <w:i w:val="0"/>
          <w:strike w:val="0"/>
          <w:noProof w:val="0"/>
          <w:color w:val="000000"/>
          <w:position w:val="0"/>
          <w:sz w:val="20"/>
          <w:u w:val="none"/>
          <w:vertAlign w:val="baseline"/>
        </w:rPr>
        <w:t xml:space="preserve"> means a payment made by CMS to an EPM-CR participant or FFS-CR participant for CR/ICR service use that is the sum of the CR amounts as determined in accordance with § 512.710.</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CR incentive payment model</w:t>
      </w:r>
      <w:r>
        <w:rPr>
          <w:rFonts w:ascii="arial" w:eastAsia="arial" w:hAnsi="arial" w:cs="arial"/>
          <w:b w:val="0"/>
          <w:i w:val="0"/>
          <w:strike w:val="0"/>
          <w:noProof w:val="0"/>
          <w:color w:val="000000"/>
          <w:position w:val="0"/>
          <w:sz w:val="20"/>
          <w:u w:val="none"/>
          <w:vertAlign w:val="baseline"/>
        </w:rPr>
        <w:t xml:space="preserve"> means the model testing CR incentive payments for CR/ICR service use made in accordance with subpart H of this part.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CR participant</w:t>
      </w:r>
      <w:r>
        <w:rPr>
          <w:rFonts w:ascii="arial" w:eastAsia="arial" w:hAnsi="arial" w:cs="arial"/>
          <w:b w:val="0"/>
          <w:i w:val="0"/>
          <w:strike w:val="0"/>
          <w:noProof w:val="0"/>
          <w:color w:val="000000"/>
          <w:position w:val="0"/>
          <w:sz w:val="20"/>
          <w:u w:val="none"/>
          <w:vertAlign w:val="baseline"/>
        </w:rPr>
        <w:t xml:space="preserve"> means all EPM-CR participants and FFS-CR participants.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CR performance year</w:t>
      </w:r>
      <w:r>
        <w:rPr>
          <w:rFonts w:ascii="arial" w:eastAsia="arial" w:hAnsi="arial" w:cs="arial"/>
          <w:b w:val="0"/>
          <w:i w:val="0"/>
          <w:strike w:val="0"/>
          <w:noProof w:val="0"/>
          <w:color w:val="000000"/>
          <w:position w:val="0"/>
          <w:sz w:val="20"/>
          <w:u w:val="none"/>
          <w:vertAlign w:val="baseline"/>
        </w:rPr>
        <w:t xml:space="preserve"> means one of the years in which the CR incentive payment model is being tested. Performance years for the CR incentive payment model correlate to calendar years with the exception of performance year 1, which is July 1, 2017 through December 31, 2017.</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CR service count</w:t>
      </w:r>
      <w:r>
        <w:rPr>
          <w:rFonts w:ascii="arial" w:eastAsia="arial" w:hAnsi="arial" w:cs="arial"/>
          <w:b w:val="0"/>
          <w:i w:val="0"/>
          <w:strike w:val="0"/>
          <w:noProof w:val="0"/>
          <w:color w:val="000000"/>
          <w:position w:val="0"/>
          <w:sz w:val="20"/>
          <w:u w:val="none"/>
          <w:vertAlign w:val="baseline"/>
        </w:rPr>
        <w:t xml:space="preserve"> means the number of CR/ICR services paid by Medicare under the OPPS or to any supplier reporting place of service code 11 on the PFS claim for a beneficiary in an AMI or CABG model episode or AMI care period or CABG care period.</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Distribution arrangement</w:t>
      </w:r>
      <w:r>
        <w:rPr>
          <w:rFonts w:ascii="arial" w:eastAsia="arial" w:hAnsi="arial" w:cs="arial"/>
          <w:b w:val="0"/>
          <w:i w:val="0"/>
          <w:strike w:val="0"/>
          <w:noProof w:val="0"/>
          <w:color w:val="000000"/>
          <w:position w:val="0"/>
          <w:sz w:val="20"/>
          <w:u w:val="none"/>
          <w:vertAlign w:val="baseline"/>
        </w:rPr>
        <w:t xml:space="preserve"> means a financial arrangement between an EPM collaborator that is an ACO, PGP, NPPGP, or TGP and a collaboration agent for the sole purpose of distributing some or all of a gainsharing payment received by the ACO, PGP, NPPGP, or TGP.</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Distribution payment</w:t>
      </w:r>
      <w:r>
        <w:rPr>
          <w:rFonts w:ascii="arial" w:eastAsia="arial" w:hAnsi="arial" w:cs="arial"/>
          <w:b w:val="0"/>
          <w:i w:val="0"/>
          <w:strike w:val="0"/>
          <w:noProof w:val="0"/>
          <w:color w:val="000000"/>
          <w:position w:val="0"/>
          <w:sz w:val="20"/>
          <w:u w:val="none"/>
          <w:vertAlign w:val="baseline"/>
        </w:rPr>
        <w:t xml:space="preserve"> means a payment from an EPM collaborator that is an ACO, PGP, NPPGP, or TGP to a collaboration agent, under a distribution arrangement, composed only of gainsharing payments.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DME</w:t>
      </w:r>
      <w:r>
        <w:rPr>
          <w:rFonts w:ascii="arial" w:eastAsia="arial" w:hAnsi="arial" w:cs="arial"/>
          <w:b w:val="0"/>
          <w:i w:val="0"/>
          <w:strike w:val="0"/>
          <w:noProof w:val="0"/>
          <w:color w:val="000000"/>
          <w:position w:val="0"/>
          <w:sz w:val="20"/>
          <w:u w:val="none"/>
          <w:vertAlign w:val="baseline"/>
        </w:rPr>
        <w:t xml:space="preserve"> stands for durable medical equipment.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Downstream collaboration agent</w:t>
      </w:r>
      <w:r>
        <w:rPr>
          <w:rFonts w:ascii="arial" w:eastAsia="arial" w:hAnsi="arial" w:cs="arial"/>
          <w:b w:val="0"/>
          <w:i w:val="0"/>
          <w:strike w:val="0"/>
          <w:noProof w:val="0"/>
          <w:color w:val="000000"/>
          <w:position w:val="0"/>
          <w:sz w:val="20"/>
          <w:u w:val="none"/>
          <w:vertAlign w:val="baseline"/>
        </w:rPr>
        <w:t xml:space="preserve"> means an individual who is not an EPM collaborator or a collaboration agent and who is a PGP member, an NPPGP member, or a TGP member that has entered into a downstream distribution arrangement with the same PGP, NPPGP, or TGP in which he or she is an owner or employee, and where the PGP, NPPGP, or TGP is a collaboration agent.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Downstream distribution arrangement</w:t>
      </w:r>
      <w:r>
        <w:rPr>
          <w:rFonts w:ascii="arial" w:eastAsia="arial" w:hAnsi="arial" w:cs="arial"/>
          <w:b w:val="0"/>
          <w:i w:val="0"/>
          <w:strike w:val="0"/>
          <w:noProof w:val="0"/>
          <w:color w:val="000000"/>
          <w:position w:val="0"/>
          <w:sz w:val="20"/>
          <w:u w:val="none"/>
          <w:vertAlign w:val="baseline"/>
        </w:rPr>
        <w:t xml:space="preserve"> means a financial arrangement between a collaboration agent that is both a PGP, NPPGP, or TGP and an ACO participant and a downstream collaboration agent for the sole purpose of distributing some or all of a distribution payment received by the PGP, NPPGP, or TGP.</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Downstream distribution payment</w:t>
      </w:r>
      <w:r>
        <w:rPr>
          <w:rFonts w:ascii="arial" w:eastAsia="arial" w:hAnsi="arial" w:cs="arial"/>
          <w:b w:val="0"/>
          <w:i w:val="0"/>
          <w:strike w:val="0"/>
          <w:noProof w:val="0"/>
          <w:color w:val="000000"/>
          <w:position w:val="0"/>
          <w:sz w:val="20"/>
          <w:u w:val="none"/>
          <w:vertAlign w:val="baseline"/>
        </w:rPr>
        <w:t xml:space="preserve"> means a payment from a collaboration agent that is both a PGP, NPPGP, or TGP and an ACO participant to a downstream collaboration agent, under a downstream distribution arrangement, composed only of distribution payments.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Effective discount factor</w:t>
      </w:r>
      <w:r>
        <w:rPr>
          <w:rFonts w:ascii="arial" w:eastAsia="arial" w:hAnsi="arial" w:cs="arial"/>
          <w:b w:val="0"/>
          <w:i w:val="0"/>
          <w:strike w:val="0"/>
          <w:noProof w:val="0"/>
          <w:color w:val="000000"/>
          <w:position w:val="0"/>
          <w:sz w:val="20"/>
          <w:u w:val="none"/>
          <w:vertAlign w:val="baseline"/>
        </w:rPr>
        <w:t xml:space="preserve"> means the discount factor established by the EPM participant's quality category as determined in § 512.315, that is applied to the episode benchmark price to calculate the quality-adjusted target price.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Episode attribution</w:t>
      </w:r>
      <w:r>
        <w:rPr>
          <w:rFonts w:ascii="arial" w:eastAsia="arial" w:hAnsi="arial" w:cs="arial"/>
          <w:b w:val="0"/>
          <w:i w:val="0"/>
          <w:strike w:val="0"/>
          <w:noProof w:val="0"/>
          <w:color w:val="000000"/>
          <w:position w:val="0"/>
          <w:sz w:val="20"/>
          <w:u w:val="none"/>
          <w:vertAlign w:val="baseline"/>
        </w:rPr>
        <w:t xml:space="preserve"> means the process of assigning financial responsibility for an EPM episode to an EPM participant.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Episode benchmark price</w:t>
      </w:r>
      <w:r>
        <w:rPr>
          <w:rFonts w:ascii="arial" w:eastAsia="arial" w:hAnsi="arial" w:cs="arial"/>
          <w:b w:val="0"/>
          <w:i w:val="0"/>
          <w:strike w:val="0"/>
          <w:noProof w:val="0"/>
          <w:color w:val="000000"/>
          <w:position w:val="0"/>
          <w:sz w:val="20"/>
          <w:u w:val="none"/>
          <w:vertAlign w:val="baseline"/>
        </w:rPr>
        <w:t xml:space="preserve"> means a dollar amount assigned to EPM episodes based on historical episode data (3 years of historical Medicare payment data grouped into EPM episodes according to the EPM episode definitions as discussed in § 512.300(b)) prior to the application of the effective discount factor, as described in § 512.300(d).</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Episode payment model (EPM)</w:t>
      </w:r>
      <w:r>
        <w:rPr>
          <w:rFonts w:ascii="arial" w:eastAsia="arial" w:hAnsi="arial" w:cs="arial"/>
          <w:b w:val="0"/>
          <w:i w:val="0"/>
          <w:strike w:val="0"/>
          <w:noProof w:val="0"/>
          <w:color w:val="000000"/>
          <w:position w:val="0"/>
          <w:sz w:val="20"/>
          <w:u w:val="none"/>
          <w:vertAlign w:val="baseline"/>
        </w:rPr>
        <w:t xml:space="preserve"> means the AMI model, CABG model, SHFFT model, or another model with payment made on an episode basis in accordance with this part. Each section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applies in its entirety to each model.</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EPM activities</w:t>
      </w:r>
      <w:r>
        <w:rPr>
          <w:rFonts w:ascii="arial" w:eastAsia="arial" w:hAnsi="arial" w:cs="arial"/>
          <w:b w:val="0"/>
          <w:i w:val="0"/>
          <w:strike w:val="0"/>
          <w:noProof w:val="0"/>
          <w:color w:val="000000"/>
          <w:position w:val="0"/>
          <w:sz w:val="20"/>
          <w:u w:val="none"/>
          <w:vertAlign w:val="baseline"/>
        </w:rPr>
        <w:t xml:space="preserve"> means activities related to promoting accountability for the quality, cost, and overall care for EPM beneficiaries, including managing and coordinating care; encouraging investment in infrastructure, enabling technologies, and redesigned care processes for high quality and efficient service delivery; the provision of items and services during an EPM episode in a manner that reduces costs and improves quality; or carrying out any other obligation or duty under the EPM.</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EPM beneficiary</w:t>
      </w:r>
      <w:r>
        <w:rPr>
          <w:rFonts w:ascii="arial" w:eastAsia="arial" w:hAnsi="arial" w:cs="arial"/>
          <w:b w:val="0"/>
          <w:i w:val="0"/>
          <w:strike w:val="0"/>
          <w:noProof w:val="0"/>
          <w:color w:val="000000"/>
          <w:position w:val="0"/>
          <w:sz w:val="20"/>
          <w:u w:val="none"/>
          <w:vertAlign w:val="baseline"/>
        </w:rPr>
        <w:t xml:space="preserve"> means a beneficiary who meets the beneficiary inclusion criteria in § 512.230 and who is in an EPM episode.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EPM collaborator</w:t>
      </w:r>
      <w:r>
        <w:rPr>
          <w:rFonts w:ascii="arial" w:eastAsia="arial" w:hAnsi="arial" w:cs="arial"/>
          <w:b w:val="0"/>
          <w:i w:val="0"/>
          <w:strike w:val="0"/>
          <w:noProof w:val="0"/>
          <w:color w:val="000000"/>
          <w:position w:val="0"/>
          <w:sz w:val="20"/>
          <w:u w:val="none"/>
          <w:vertAlign w:val="baseline"/>
        </w:rPr>
        <w:t xml:space="preserve"> means an ACO or one of the following Medicare-enrolled individuals or entities that enters into a sharing arrangement:</w:t>
      </w:r>
    </w:p>
    <w:p>
      <w:pPr>
        <w:keepNext w:val="0"/>
        <w:numPr>
          <w:numId w:val="1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SNF.</w:t>
      </w:r>
    </w:p>
    <w:p>
      <w:pPr>
        <w:keepNext w:val="0"/>
        <w:numPr>
          <w:numId w:val="1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HHA.</w:t>
      </w:r>
    </w:p>
    <w:p>
      <w:pPr>
        <w:keepNext w:val="0"/>
        <w:numPr>
          <w:numId w:val="1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LTCH.</w:t>
      </w:r>
    </w:p>
    <w:p>
      <w:pPr>
        <w:keepNext w:val="0"/>
        <w:numPr>
          <w:numId w:val="1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IRF.</w:t>
      </w:r>
    </w:p>
    <w:p>
      <w:pPr>
        <w:keepNext w:val="0"/>
        <w:numPr>
          <w:numId w:val="1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w:t>
      </w:r>
    </w:p>
    <w:p>
      <w:pPr>
        <w:keepNext w:val="0"/>
        <w:numPr>
          <w:numId w:val="1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Nonphysician practitioner.</w:t>
      </w:r>
    </w:p>
    <w:p>
      <w:pPr>
        <w:keepNext w:val="0"/>
        <w:numPr>
          <w:numId w:val="1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Therapist in private practice.</w:t>
      </w:r>
    </w:p>
    <w:p>
      <w:pPr>
        <w:keepNext w:val="0"/>
        <w:numPr>
          <w:numId w:val="1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CORF.</w:t>
      </w:r>
    </w:p>
    <w:p>
      <w:pPr>
        <w:keepNext w:val="0"/>
        <w:numPr>
          <w:numId w:val="1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 of outpatient therapy services.</w:t>
      </w:r>
    </w:p>
    <w:p>
      <w:pPr>
        <w:keepNext w:val="0"/>
        <w:numPr>
          <w:numId w:val="1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PGP.</w:t>
      </w:r>
    </w:p>
    <w:p>
      <w:pPr>
        <w:keepNext w:val="0"/>
        <w:numPr>
          <w:numId w:val="1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w:t>
      </w:r>
    </w:p>
    <w:p>
      <w:pPr>
        <w:keepNext w:val="0"/>
        <w:numPr>
          <w:numId w:val="1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CAH.</w:t>
      </w:r>
    </w:p>
    <w:p>
      <w:pPr>
        <w:keepNext w:val="0"/>
        <w:numPr>
          <w:numId w:val="1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NPPGP.</w:t>
      </w:r>
    </w:p>
    <w:p>
      <w:pPr>
        <w:keepNext w:val="0"/>
        <w:numPr>
          <w:numId w:val="1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TGP.</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EPM composite quality score</w:t>
      </w:r>
      <w:r>
        <w:rPr>
          <w:rFonts w:ascii="arial" w:eastAsia="arial" w:hAnsi="arial" w:cs="arial"/>
          <w:b w:val="0"/>
          <w:i w:val="0"/>
          <w:strike w:val="0"/>
          <w:noProof w:val="0"/>
          <w:color w:val="000000"/>
          <w:position w:val="0"/>
          <w:sz w:val="20"/>
          <w:u w:val="none"/>
          <w:vertAlign w:val="baseline"/>
        </w:rPr>
        <w:t xml:space="preserve"> means a score computed for each EPM participant's level of quality performance and improvement and successful reporting of voluntary data, if </w:t>
      </w:r>
      <w:r>
        <w:rPr>
          <w:rFonts w:ascii="arial" w:eastAsia="arial" w:hAnsi="arial" w:cs="arial"/>
          <w:b/>
          <w:i w:val="0"/>
          <w:strike w:val="0"/>
          <w:noProof w:val="0"/>
          <w:color w:val="000000"/>
          <w:position w:val="0"/>
          <w:sz w:val="20"/>
          <w:u w:val="none"/>
          <w:vertAlign w:val="baseline"/>
        </w:rPr>
        <w:t> [*625] </w:t>
      </w:r>
      <w:r>
        <w:rPr>
          <w:rFonts w:ascii="arial" w:eastAsia="arial" w:hAnsi="arial" w:cs="arial"/>
          <w:b w:val="0"/>
          <w:i w:val="0"/>
          <w:strike w:val="0"/>
          <w:noProof w:val="0"/>
          <w:color w:val="000000"/>
          <w:position w:val="0"/>
          <w:sz w:val="20"/>
          <w:u w:val="none"/>
          <w:vertAlign w:val="baseline"/>
        </w:rPr>
        <w:t xml:space="preserve"> applicable, on specified EPM quality measures as described in § 512.315.</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EPM-CR participant</w:t>
      </w:r>
      <w:r>
        <w:rPr>
          <w:rFonts w:ascii="arial" w:eastAsia="arial" w:hAnsi="arial" w:cs="arial"/>
          <w:b w:val="0"/>
          <w:i w:val="0"/>
          <w:strike w:val="0"/>
          <w:noProof w:val="0"/>
          <w:color w:val="000000"/>
          <w:position w:val="0"/>
          <w:sz w:val="20"/>
          <w:u w:val="none"/>
          <w:vertAlign w:val="baseline"/>
        </w:rPr>
        <w:t xml:space="preserve"> means an AMI or CABG model participant that is eligible to receive CR incentive payments from CMS in accordance with § 512.710.</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EPM episode of care (or Episode)</w:t>
      </w:r>
      <w:r>
        <w:rPr>
          <w:rFonts w:ascii="arial" w:eastAsia="arial" w:hAnsi="arial" w:cs="arial"/>
          <w:b w:val="0"/>
          <w:i w:val="0"/>
          <w:strike w:val="0"/>
          <w:noProof w:val="0"/>
          <w:color w:val="000000"/>
          <w:position w:val="0"/>
          <w:sz w:val="20"/>
          <w:u w:val="none"/>
          <w:vertAlign w:val="baseline"/>
        </w:rPr>
        <w:t xml:space="preserve"> means all Medicare Part A and Part B items and services described in § 512.210(a) (and excluding the items and services described in § 512.210(b)) that are furnished to an EPM beneficiary described in § 512.240 that begins with the beneficiary's admission to an anchor hospitalization, with the day of discharge itself from the anchor hospitalization being counted as the first day of the 90-day post-discharge period.</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EPM participant</w:t>
      </w:r>
      <w:r>
        <w:rPr>
          <w:rFonts w:ascii="arial" w:eastAsia="arial" w:hAnsi="arial" w:cs="arial"/>
          <w:b w:val="0"/>
          <w:i w:val="0"/>
          <w:strike w:val="0"/>
          <w:noProof w:val="0"/>
          <w:color w:val="000000"/>
          <w:position w:val="0"/>
          <w:sz w:val="20"/>
          <w:u w:val="none"/>
          <w:vertAlign w:val="baseline"/>
        </w:rPr>
        <w:t xml:space="preserve"> means a Medicare provider or supplier that is eligible to receive payment from CMS on an episode basis for services rendered to EPM beneficiaries.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EPM volume protection hospital</w:t>
      </w:r>
      <w:r>
        <w:rPr>
          <w:rFonts w:ascii="arial" w:eastAsia="arial" w:hAnsi="arial" w:cs="arial"/>
          <w:b w:val="0"/>
          <w:i w:val="0"/>
          <w:strike w:val="0"/>
          <w:noProof w:val="0"/>
          <w:color w:val="000000"/>
          <w:position w:val="0"/>
          <w:sz w:val="20"/>
          <w:u w:val="none"/>
          <w:vertAlign w:val="baseline"/>
        </w:rPr>
        <w:t xml:space="preserve"> means an EPM participant that meets the requirements under § 512.305(c)(2)(iii)(D).</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ESRD</w:t>
      </w:r>
      <w:r>
        <w:rPr>
          <w:rFonts w:ascii="arial" w:eastAsia="arial" w:hAnsi="arial" w:cs="arial"/>
          <w:b w:val="0"/>
          <w:i w:val="0"/>
          <w:strike w:val="0"/>
          <w:noProof w:val="0"/>
          <w:color w:val="000000"/>
          <w:position w:val="0"/>
          <w:sz w:val="20"/>
          <w:u w:val="none"/>
          <w:vertAlign w:val="baseline"/>
        </w:rPr>
        <w:t xml:space="preserve"> stands for end-stage renal disease.</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FFS-CR beneficiary</w:t>
      </w:r>
      <w:r>
        <w:rPr>
          <w:rFonts w:ascii="arial" w:eastAsia="arial" w:hAnsi="arial" w:cs="arial"/>
          <w:b w:val="0"/>
          <w:i w:val="0"/>
          <w:strike w:val="0"/>
          <w:noProof w:val="0"/>
          <w:color w:val="000000"/>
          <w:position w:val="0"/>
          <w:sz w:val="20"/>
          <w:u w:val="none"/>
          <w:vertAlign w:val="baseline"/>
        </w:rPr>
        <w:t xml:space="preserve"> means a beneficiary attributed to an FFS-CR participant and receiving care during an AMI care period or CABG care period.</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FFS-CR participant</w:t>
      </w:r>
      <w:r>
        <w:rPr>
          <w:rFonts w:ascii="arial" w:eastAsia="arial" w:hAnsi="arial" w:cs="arial"/>
          <w:b w:val="0"/>
          <w:i w:val="0"/>
          <w:strike w:val="0"/>
          <w:noProof w:val="0"/>
          <w:color w:val="000000"/>
          <w:position w:val="0"/>
          <w:sz w:val="20"/>
          <w:u w:val="none"/>
          <w:vertAlign w:val="baseline"/>
        </w:rPr>
        <w:t xml:space="preserve"> means a hospital that is not an EPM participant and that is eligible to receive CR incentive payments from CMS in accordance with § 512.710.</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Gainsharing payment</w:t>
      </w:r>
      <w:r>
        <w:rPr>
          <w:rFonts w:ascii="arial" w:eastAsia="arial" w:hAnsi="arial" w:cs="arial"/>
          <w:b w:val="0"/>
          <w:i w:val="0"/>
          <w:strike w:val="0"/>
          <w:noProof w:val="0"/>
          <w:color w:val="000000"/>
          <w:position w:val="0"/>
          <w:sz w:val="20"/>
          <w:u w:val="none"/>
          <w:vertAlign w:val="baseline"/>
        </w:rPr>
        <w:t xml:space="preserve"> means a payment from an EPM participant to an EPM collaborator, under a sharing arrangement, composed of only reconciliation payments or internal cost savings or both.</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HCAHPS</w:t>
      </w:r>
      <w:r>
        <w:rPr>
          <w:rFonts w:ascii="arial" w:eastAsia="arial" w:hAnsi="arial" w:cs="arial"/>
          <w:b w:val="0"/>
          <w:i w:val="0"/>
          <w:strike w:val="0"/>
          <w:noProof w:val="0"/>
          <w:color w:val="000000"/>
          <w:position w:val="0"/>
          <w:sz w:val="20"/>
          <w:u w:val="none"/>
          <w:vertAlign w:val="baseline"/>
        </w:rPr>
        <w:t xml:space="preserve"> stands for Hospital Consumer Assessment of Healthcare Providers and Systems.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HCPCS</w:t>
      </w:r>
      <w:r>
        <w:rPr>
          <w:rFonts w:ascii="arial" w:eastAsia="arial" w:hAnsi="arial" w:cs="arial"/>
          <w:b w:val="0"/>
          <w:i w:val="0"/>
          <w:strike w:val="0"/>
          <w:noProof w:val="0"/>
          <w:color w:val="000000"/>
          <w:position w:val="0"/>
          <w:sz w:val="20"/>
          <w:u w:val="none"/>
          <w:vertAlign w:val="baseline"/>
        </w:rPr>
        <w:t xml:space="preserve"> stands for CMS Common Procedure Coding System.</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Health Insurance Claim Number (HICN)</w:t>
      </w:r>
      <w:r>
        <w:rPr>
          <w:rFonts w:ascii="arial" w:eastAsia="arial" w:hAnsi="arial" w:cs="arial"/>
          <w:b w:val="0"/>
          <w:i w:val="0"/>
          <w:strike w:val="0"/>
          <w:noProof w:val="0"/>
          <w:color w:val="000000"/>
          <w:position w:val="0"/>
          <w:sz w:val="20"/>
          <w:u w:val="none"/>
          <w:vertAlign w:val="baseline"/>
        </w:rPr>
        <w:t xml:space="preserve"> means the unique number assigned by the Social Security Administration to an individual for the purpose of identifying that individual as a Medicare beneficiary.</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HHA</w:t>
      </w:r>
      <w:r>
        <w:rPr>
          <w:rFonts w:ascii="arial" w:eastAsia="arial" w:hAnsi="arial" w:cs="arial"/>
          <w:b w:val="0"/>
          <w:i w:val="0"/>
          <w:strike w:val="0"/>
          <w:noProof w:val="0"/>
          <w:color w:val="000000"/>
          <w:position w:val="0"/>
          <w:sz w:val="20"/>
          <w:u w:val="none"/>
          <w:vertAlign w:val="baseline"/>
        </w:rPr>
        <w:t xml:space="preserve"> means a Medicare-enrolled home health agency.</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Historical episode payment</w:t>
      </w:r>
      <w:r>
        <w:rPr>
          <w:rFonts w:ascii="arial" w:eastAsia="arial" w:hAnsi="arial" w:cs="arial"/>
          <w:b w:val="0"/>
          <w:i w:val="0"/>
          <w:strike w:val="0"/>
          <w:noProof w:val="0"/>
          <w:color w:val="000000"/>
          <w:position w:val="0"/>
          <w:sz w:val="20"/>
          <w:u w:val="none"/>
          <w:vertAlign w:val="baseline"/>
        </w:rPr>
        <w:t xml:space="preserve"> means the expenditures for episodes that occurred during the historical period used to determine the EPM episode benchmark price.</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Hospital</w:t>
      </w:r>
      <w:r>
        <w:rPr>
          <w:rFonts w:ascii="arial" w:eastAsia="arial" w:hAnsi="arial" w:cs="arial"/>
          <w:b w:val="0"/>
          <w:i w:val="0"/>
          <w:strike w:val="0"/>
          <w:noProof w:val="0"/>
          <w:color w:val="000000"/>
          <w:position w:val="0"/>
          <w:sz w:val="20"/>
          <w:u w:val="none"/>
          <w:vertAlign w:val="baseline"/>
        </w:rPr>
        <w:t xml:space="preserve"> means a provider subject to the prospective payment system specified in § 412.1(a)(1) of this chapter.</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ICD-CM</w:t>
      </w:r>
      <w:r>
        <w:rPr>
          <w:rFonts w:ascii="arial" w:eastAsia="arial" w:hAnsi="arial" w:cs="arial"/>
          <w:b w:val="0"/>
          <w:i w:val="0"/>
          <w:strike w:val="0"/>
          <w:noProof w:val="0"/>
          <w:color w:val="000000"/>
          <w:position w:val="0"/>
          <w:sz w:val="20"/>
          <w:u w:val="none"/>
          <w:vertAlign w:val="baseline"/>
        </w:rPr>
        <w:t xml:space="preserve"> stands for International Classification of Diseases, Clinical Modification.</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ICR</w:t>
      </w:r>
      <w:r>
        <w:rPr>
          <w:rFonts w:ascii="arial" w:eastAsia="arial" w:hAnsi="arial" w:cs="arial"/>
          <w:b w:val="0"/>
          <w:i w:val="0"/>
          <w:strike w:val="0"/>
          <w:noProof w:val="0"/>
          <w:color w:val="000000"/>
          <w:position w:val="0"/>
          <w:sz w:val="20"/>
          <w:u w:val="none"/>
          <w:vertAlign w:val="baseline"/>
        </w:rPr>
        <w:t xml:space="preserve"> means intensive cardiac rehabilitation as defined in § 410.49(a) of this chapter, a physician-supervised program that furnishes cardiac rehabilitation and has shown, in peer-reviewed published research, that it improves patients' cardiovascular disease through specific outcome measurements described in § 410.49(c) of this chapter.</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Inpatient prospective payment systems (IPPS)</w:t>
      </w:r>
      <w:r>
        <w:rPr>
          <w:rFonts w:ascii="arial" w:eastAsia="arial" w:hAnsi="arial" w:cs="arial"/>
          <w:b w:val="0"/>
          <w:i w:val="0"/>
          <w:strike w:val="0"/>
          <w:noProof w:val="0"/>
          <w:color w:val="000000"/>
          <w:position w:val="0"/>
          <w:sz w:val="20"/>
          <w:u w:val="none"/>
          <w:vertAlign w:val="baseline"/>
        </w:rPr>
        <w:t xml:space="preserve"> means the payment systems for subsection (d) hospitals as defined in section 1886(d)(1)(B) of the Act.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Internal cost savings</w:t>
      </w:r>
      <w:r>
        <w:rPr>
          <w:rFonts w:ascii="arial" w:eastAsia="arial" w:hAnsi="arial" w:cs="arial"/>
          <w:b w:val="0"/>
          <w:i w:val="0"/>
          <w:strike w:val="0"/>
          <w:noProof w:val="0"/>
          <w:color w:val="000000"/>
          <w:position w:val="0"/>
          <w:sz w:val="20"/>
          <w:u w:val="none"/>
          <w:vertAlign w:val="baseline"/>
        </w:rPr>
        <w:t xml:space="preserve"> means the measurable, actual, and verifiable cost savings realized by the EPM participant resulting from care redesign undertaken by such participant in connection with providing items and services to beneficiaries within specific EPM episodes. Internal cost savings does not include savings realized by any individual or entity that is not the EPM participant.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Intracardiac procedures</w:t>
      </w:r>
      <w:r>
        <w:rPr>
          <w:rFonts w:ascii="arial" w:eastAsia="arial" w:hAnsi="arial" w:cs="arial"/>
          <w:b w:val="0"/>
          <w:i w:val="0"/>
          <w:strike w:val="0"/>
          <w:noProof w:val="0"/>
          <w:color w:val="000000"/>
          <w:position w:val="0"/>
          <w:sz w:val="20"/>
          <w:u w:val="none"/>
          <w:vertAlign w:val="baseline"/>
        </w:rPr>
        <w:t xml:space="preserve"> means procedures performed within the heart chambers, rather than within coronary artery blood vessels, through percutaneous access to blood vessels. These procedures are indicated for the treatment of congenital cardiac malformations, cardiac valve disease, and cardiac arrhythmias.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IPF</w:t>
      </w:r>
      <w:r>
        <w:rPr>
          <w:rFonts w:ascii="arial" w:eastAsia="arial" w:hAnsi="arial" w:cs="arial"/>
          <w:b w:val="0"/>
          <w:i w:val="0"/>
          <w:strike w:val="0"/>
          <w:noProof w:val="0"/>
          <w:color w:val="000000"/>
          <w:position w:val="0"/>
          <w:sz w:val="20"/>
          <w:u w:val="none"/>
          <w:vertAlign w:val="baseline"/>
        </w:rPr>
        <w:t xml:space="preserve"> stands for inpatient psychiatric facility.</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IRF</w:t>
      </w:r>
      <w:r>
        <w:rPr>
          <w:rFonts w:ascii="arial" w:eastAsia="arial" w:hAnsi="arial" w:cs="arial"/>
          <w:b w:val="0"/>
          <w:i w:val="0"/>
          <w:strike w:val="0"/>
          <w:noProof w:val="0"/>
          <w:color w:val="000000"/>
          <w:position w:val="0"/>
          <w:sz w:val="20"/>
          <w:u w:val="none"/>
          <w:vertAlign w:val="baseline"/>
        </w:rPr>
        <w:t xml:space="preserve"> stands for inpatient rehabilitation facility.</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LTCH</w:t>
      </w:r>
      <w:r>
        <w:rPr>
          <w:rFonts w:ascii="arial" w:eastAsia="arial" w:hAnsi="arial" w:cs="arial"/>
          <w:b w:val="0"/>
          <w:i w:val="0"/>
          <w:strike w:val="0"/>
          <w:noProof w:val="0"/>
          <w:color w:val="000000"/>
          <w:position w:val="0"/>
          <w:sz w:val="20"/>
          <w:u w:val="none"/>
          <w:vertAlign w:val="baseline"/>
        </w:rPr>
        <w:t xml:space="preserve"> stands for long-term care hospital.</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MDH</w:t>
      </w:r>
      <w:r>
        <w:rPr>
          <w:rFonts w:ascii="arial" w:eastAsia="arial" w:hAnsi="arial" w:cs="arial"/>
          <w:b w:val="0"/>
          <w:i w:val="0"/>
          <w:strike w:val="0"/>
          <w:noProof w:val="0"/>
          <w:color w:val="000000"/>
          <w:position w:val="0"/>
          <w:sz w:val="20"/>
          <w:u w:val="none"/>
          <w:vertAlign w:val="baseline"/>
        </w:rPr>
        <w:t xml:space="preserve"> means a Medicare-dependent, small rural hospital that meets the classification criteria specified under § 412.108 of this chapter.</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Member of the PGP</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 xml:space="preserve"> PGP member</w:t>
      </w:r>
      <w:r>
        <w:rPr>
          <w:rFonts w:ascii="arial" w:eastAsia="arial" w:hAnsi="arial" w:cs="arial"/>
          <w:b w:val="0"/>
          <w:i w:val="0"/>
          <w:strike w:val="0"/>
          <w:noProof w:val="0"/>
          <w:color w:val="000000"/>
          <w:position w:val="0"/>
          <w:sz w:val="20"/>
          <w:u w:val="none"/>
          <w:vertAlign w:val="baseline"/>
        </w:rPr>
        <w:t xml:space="preserve"> means a physician, nonphysician practitioner, or therapist who is an owner or employee of a PGP and who has reassigned to the PGP his or her right to receive Medicare payment.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Member of the NPPGP</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NPPGP member</w:t>
      </w:r>
      <w:r>
        <w:rPr>
          <w:rFonts w:ascii="arial" w:eastAsia="arial" w:hAnsi="arial" w:cs="arial"/>
          <w:b w:val="0"/>
          <w:i w:val="0"/>
          <w:strike w:val="0"/>
          <w:noProof w:val="0"/>
          <w:color w:val="000000"/>
          <w:position w:val="0"/>
          <w:sz w:val="20"/>
          <w:u w:val="none"/>
          <w:vertAlign w:val="baseline"/>
        </w:rPr>
        <w:t xml:space="preserve"> means a nonphysician practitioner or therapist who is an owner or employee of an NPPGP and who has reassigned to the NPPGP his or her right to receive Medicare payment.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Member of the TGP</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TGP member</w:t>
      </w:r>
      <w:r>
        <w:rPr>
          <w:rFonts w:ascii="arial" w:eastAsia="arial" w:hAnsi="arial" w:cs="arial"/>
          <w:b w:val="0"/>
          <w:i w:val="0"/>
          <w:strike w:val="0"/>
          <w:noProof w:val="0"/>
          <w:color w:val="000000"/>
          <w:position w:val="0"/>
          <w:sz w:val="20"/>
          <w:u w:val="none"/>
          <w:vertAlign w:val="baseline"/>
        </w:rPr>
        <w:t xml:space="preserve"> means a therapist who is an owner or employee of a TGP and who has reassigned to the TGP his or her right to receive Medicare payment.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MSA</w:t>
      </w:r>
      <w:r>
        <w:rPr>
          <w:rFonts w:ascii="arial" w:eastAsia="arial" w:hAnsi="arial" w:cs="arial"/>
          <w:b w:val="0"/>
          <w:i w:val="0"/>
          <w:strike w:val="0"/>
          <w:noProof w:val="0"/>
          <w:color w:val="000000"/>
          <w:position w:val="0"/>
          <w:sz w:val="20"/>
          <w:u w:val="none"/>
          <w:vertAlign w:val="baseline"/>
        </w:rPr>
        <w:t xml:space="preserve"> stands for metropolitan statistical area and means a CBSA associated with at least one urbanized area that has a population of at least 50,000.</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MS-DRG</w:t>
      </w:r>
      <w:r>
        <w:rPr>
          <w:rFonts w:ascii="arial" w:eastAsia="arial" w:hAnsi="arial" w:cs="arial"/>
          <w:b w:val="0"/>
          <w:i w:val="0"/>
          <w:strike w:val="0"/>
          <w:noProof w:val="0"/>
          <w:color w:val="000000"/>
          <w:position w:val="0"/>
          <w:sz w:val="20"/>
          <w:u w:val="none"/>
          <w:vertAlign w:val="baseline"/>
        </w:rPr>
        <w:t xml:space="preserve"> stands for Medicare severity diagnosis-related group, which is the classification of inpatient hospital discharges updated in accordance with § 412.10 of this chapter.</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Nonphysician practitioner</w:t>
      </w:r>
      <w:r>
        <w:rPr>
          <w:rFonts w:ascii="arial" w:eastAsia="arial" w:hAnsi="arial" w:cs="arial"/>
          <w:b w:val="0"/>
          <w:i w:val="0"/>
          <w:strike w:val="0"/>
          <w:noProof w:val="0"/>
          <w:color w:val="000000"/>
          <w:position w:val="0"/>
          <w:sz w:val="20"/>
          <w:u w:val="none"/>
          <w:vertAlign w:val="baseline"/>
        </w:rPr>
        <w:t xml:space="preserve"> means (except for purposes of subpart G of this part) one of the following:</w:t>
      </w:r>
    </w:p>
    <w:p>
      <w:pPr>
        <w:keepNext w:val="0"/>
        <w:numPr>
          <w:numId w:val="1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physician assistant who satisfies the qualifications set forth at § 410.74(a)(2)(i) and (ii) of this chapter.</w:t>
      </w:r>
    </w:p>
    <w:p>
      <w:pPr>
        <w:keepNext w:val="0"/>
        <w:numPr>
          <w:numId w:val="1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nurse practitioner who satisfies the qualifications set forth at § 410.75(b) of this chapter.</w:t>
      </w:r>
    </w:p>
    <w:p>
      <w:pPr>
        <w:keepNext w:val="0"/>
        <w:numPr>
          <w:numId w:val="1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clinical nurse specialist who satisfies the qualifications set forth at § 410.76(b) of this chapter.</w:t>
      </w:r>
    </w:p>
    <w:p>
      <w:pPr>
        <w:keepNext w:val="0"/>
        <w:numPr>
          <w:numId w:val="1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certified registered nurse anesthetist (as defined at § 410.69(b) of this chapter).</w:t>
      </w:r>
    </w:p>
    <w:p>
      <w:pPr>
        <w:keepNext w:val="0"/>
        <w:numPr>
          <w:numId w:val="1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clinical social worker (as defined at § 410.73(a) of this chapter).</w:t>
      </w:r>
    </w:p>
    <w:p>
      <w:pPr>
        <w:keepNext w:val="0"/>
        <w:numPr>
          <w:numId w:val="1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registered dietician or nutrition professional (as defined at § 410.134 of this chapter).</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NPI</w:t>
      </w:r>
      <w:r>
        <w:rPr>
          <w:rFonts w:ascii="arial" w:eastAsia="arial" w:hAnsi="arial" w:cs="arial"/>
          <w:b w:val="0"/>
          <w:i w:val="0"/>
          <w:strike w:val="0"/>
          <w:noProof w:val="0"/>
          <w:color w:val="000000"/>
          <w:position w:val="0"/>
          <w:sz w:val="20"/>
          <w:u w:val="none"/>
          <w:vertAlign w:val="baseline"/>
        </w:rPr>
        <w:t xml:space="preserve"> stands for National Provider Identifier.</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NPPGP</w:t>
      </w:r>
      <w:r>
        <w:rPr>
          <w:rFonts w:ascii="arial" w:eastAsia="arial" w:hAnsi="arial" w:cs="arial"/>
          <w:b w:val="0"/>
          <w:i w:val="0"/>
          <w:strike w:val="0"/>
          <w:noProof w:val="0"/>
          <w:color w:val="000000"/>
          <w:position w:val="0"/>
          <w:sz w:val="20"/>
          <w:u w:val="none"/>
          <w:vertAlign w:val="baseline"/>
        </w:rPr>
        <w:t xml:space="preserve"> means an entity that is enrolled in Medicare as a group practice, includes at least one owner or employee who is a nonphysician practitioner, does not include a physician owner or employee, and has a valid and active TIN.</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NPRA</w:t>
      </w:r>
      <w:r>
        <w:rPr>
          <w:rFonts w:ascii="arial" w:eastAsia="arial" w:hAnsi="arial" w:cs="arial"/>
          <w:b w:val="0"/>
          <w:i w:val="0"/>
          <w:strike w:val="0"/>
          <w:noProof w:val="0"/>
          <w:color w:val="000000"/>
          <w:position w:val="0"/>
          <w:sz w:val="20"/>
          <w:u w:val="none"/>
          <w:vertAlign w:val="baseline"/>
        </w:rPr>
        <w:t xml:space="preserve"> means the net payment reconciliation amount determined in accordance with § 512.305(c).</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OIG</w:t>
      </w:r>
      <w:r>
        <w:rPr>
          <w:rFonts w:ascii="arial" w:eastAsia="arial" w:hAnsi="arial" w:cs="arial"/>
          <w:b w:val="0"/>
          <w:i w:val="0"/>
          <w:strike w:val="0"/>
          <w:noProof w:val="0"/>
          <w:color w:val="000000"/>
          <w:position w:val="0"/>
          <w:sz w:val="20"/>
          <w:u w:val="none"/>
          <w:vertAlign w:val="baseline"/>
        </w:rPr>
        <w:t xml:space="preserve"> stands for the Department of Health and Human Services Office of Inspector General.</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OPPS stands for the Medicare Outpatient Prospective Payment System.</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PAC</w:t>
      </w:r>
      <w:r>
        <w:rPr>
          <w:rFonts w:ascii="arial" w:eastAsia="arial" w:hAnsi="arial" w:cs="arial"/>
          <w:b w:val="0"/>
          <w:i w:val="0"/>
          <w:strike w:val="0"/>
          <w:noProof w:val="0"/>
          <w:color w:val="000000"/>
          <w:position w:val="0"/>
          <w:sz w:val="20"/>
          <w:u w:val="none"/>
          <w:vertAlign w:val="baseline"/>
        </w:rPr>
        <w:t xml:space="preserve"> stands for post-acute care.</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PBPM</w:t>
      </w:r>
      <w:r>
        <w:rPr>
          <w:rFonts w:ascii="arial" w:eastAsia="arial" w:hAnsi="arial" w:cs="arial"/>
          <w:b w:val="0"/>
          <w:i w:val="0"/>
          <w:strike w:val="0"/>
          <w:noProof w:val="0"/>
          <w:color w:val="000000"/>
          <w:position w:val="0"/>
          <w:sz w:val="20"/>
          <w:u w:val="none"/>
          <w:vertAlign w:val="baseline"/>
        </w:rPr>
        <w:t xml:space="preserve"> stands for per-beneficiary-per-month.</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PCI</w:t>
      </w:r>
      <w:r>
        <w:rPr>
          <w:rFonts w:ascii="arial" w:eastAsia="arial" w:hAnsi="arial" w:cs="arial"/>
          <w:b w:val="0"/>
          <w:i w:val="0"/>
          <w:strike w:val="0"/>
          <w:noProof w:val="0"/>
          <w:color w:val="000000"/>
          <w:position w:val="0"/>
          <w:sz w:val="20"/>
          <w:u w:val="none"/>
          <w:vertAlign w:val="baseline"/>
        </w:rPr>
        <w:t xml:space="preserve"> means percutaneous coronary intervention, a procedure used to open blocked arteries in the heart through percutaneous placement of a small wire mesh tube that keeps the artery open and minimizes the risk of it later narrowing.</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Performance year</w:t>
      </w:r>
      <w:r>
        <w:rPr>
          <w:rFonts w:ascii="arial" w:eastAsia="arial" w:hAnsi="arial" w:cs="arial"/>
          <w:b w:val="0"/>
          <w:i w:val="0"/>
          <w:strike w:val="0"/>
          <w:noProof w:val="0"/>
          <w:color w:val="000000"/>
          <w:position w:val="0"/>
          <w:sz w:val="20"/>
          <w:u w:val="none"/>
          <w:vertAlign w:val="baseline"/>
        </w:rPr>
        <w:t xml:space="preserve"> means one of the years in which the EPM is being tested. Performance years for the EPMs correlate to calendar years with the exception of performance year 1, which is July 1, 2017 through December 31, 2017.</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PFS</w:t>
      </w:r>
      <w:r>
        <w:rPr>
          <w:rFonts w:ascii="arial" w:eastAsia="arial" w:hAnsi="arial" w:cs="arial"/>
          <w:b w:val="0"/>
          <w:i w:val="0"/>
          <w:strike w:val="0"/>
          <w:noProof w:val="0"/>
          <w:color w:val="000000"/>
          <w:position w:val="0"/>
          <w:sz w:val="20"/>
          <w:u w:val="none"/>
          <w:vertAlign w:val="baseline"/>
        </w:rPr>
        <w:t xml:space="preserve"> means the Medicare Physician Fee Schedule authorized under section 1848 of the Act.</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PGP</w:t>
      </w:r>
      <w:r>
        <w:rPr>
          <w:rFonts w:ascii="arial" w:eastAsia="arial" w:hAnsi="arial" w:cs="arial"/>
          <w:b w:val="0"/>
          <w:i w:val="0"/>
          <w:strike w:val="0"/>
          <w:noProof w:val="0"/>
          <w:color w:val="000000"/>
          <w:position w:val="0"/>
          <w:sz w:val="20"/>
          <w:u w:val="none"/>
          <w:vertAlign w:val="baseline"/>
        </w:rPr>
        <w:t xml:space="preserve"> stands for physician group practice.</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Physician</w:t>
      </w:r>
      <w:r>
        <w:rPr>
          <w:rFonts w:ascii="arial" w:eastAsia="arial" w:hAnsi="arial" w:cs="arial"/>
          <w:b w:val="0"/>
          <w:i w:val="0"/>
          <w:strike w:val="0"/>
          <w:noProof w:val="0"/>
          <w:color w:val="000000"/>
          <w:position w:val="0"/>
          <w:sz w:val="20"/>
          <w:u w:val="none"/>
          <w:vertAlign w:val="baseline"/>
        </w:rPr>
        <w:t xml:space="preserve"> has the meaning set forth in section 1861(r) of the Act.</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Post-anchor hospitalization portion</w:t>
      </w:r>
      <w:r>
        <w:rPr>
          <w:rFonts w:ascii="arial" w:eastAsia="arial" w:hAnsi="arial" w:cs="arial"/>
          <w:b w:val="0"/>
          <w:i w:val="0"/>
          <w:strike w:val="0"/>
          <w:noProof w:val="0"/>
          <w:color w:val="000000"/>
          <w:position w:val="0"/>
          <w:sz w:val="20"/>
          <w:u w:val="none"/>
          <w:vertAlign w:val="baseline"/>
        </w:rPr>
        <w:t xml:space="preserve"> means the part of an episode that occurs after the anchor hospitalization.</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Post-episode spending amount</w:t>
      </w:r>
      <w:r>
        <w:rPr>
          <w:rFonts w:ascii="arial" w:eastAsia="arial" w:hAnsi="arial" w:cs="arial"/>
          <w:b w:val="0"/>
          <w:i w:val="0"/>
          <w:strike w:val="0"/>
          <w:noProof w:val="0"/>
          <w:color w:val="000000"/>
          <w:position w:val="0"/>
          <w:sz w:val="20"/>
          <w:u w:val="none"/>
          <w:vertAlign w:val="baseline"/>
        </w:rPr>
        <w:t xml:space="preserve"> means the sum of Medicare Parts A and B </w:t>
      </w:r>
      <w:r>
        <w:rPr>
          <w:rFonts w:ascii="arial" w:eastAsia="arial" w:hAnsi="arial" w:cs="arial"/>
          <w:b/>
          <w:i w:val="0"/>
          <w:strike w:val="0"/>
          <w:noProof w:val="0"/>
          <w:color w:val="000000"/>
          <w:position w:val="0"/>
          <w:sz w:val="20"/>
          <w:u w:val="none"/>
          <w:vertAlign w:val="baseline"/>
        </w:rPr>
        <w:t> [*626] </w:t>
      </w:r>
      <w:r>
        <w:rPr>
          <w:rFonts w:ascii="arial" w:eastAsia="arial" w:hAnsi="arial" w:cs="arial"/>
          <w:b w:val="0"/>
          <w:i w:val="0"/>
          <w:strike w:val="0"/>
          <w:noProof w:val="0"/>
          <w:color w:val="000000"/>
          <w:position w:val="0"/>
          <w:sz w:val="20"/>
          <w:u w:val="none"/>
          <w:vertAlign w:val="baseline"/>
        </w:rPr>
        <w:t xml:space="preserve"> payments for items and services that are furnished to a beneficiary within 30 days after the end of the beneficiary's EPM episode.</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Provider of outpatient therapy services</w:t>
      </w:r>
      <w:r>
        <w:rPr>
          <w:rFonts w:ascii="arial" w:eastAsia="arial" w:hAnsi="arial" w:cs="arial"/>
          <w:b w:val="0"/>
          <w:i w:val="0"/>
          <w:strike w:val="0"/>
          <w:noProof w:val="0"/>
          <w:color w:val="000000"/>
          <w:position w:val="0"/>
          <w:sz w:val="20"/>
          <w:u w:val="none"/>
          <w:vertAlign w:val="baseline"/>
        </w:rPr>
        <w:t xml:space="preserve"> means an entity that is enrolled in Medicare as a provider of therapy services and furnishes one or more of the following:</w:t>
      </w:r>
    </w:p>
    <w:p>
      <w:pPr>
        <w:keepNext w:val="0"/>
        <w:numPr>
          <w:numId w:val="1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Outpatient physical therapy services as defined in § 410.60 of this chapter.</w:t>
      </w:r>
    </w:p>
    <w:p>
      <w:pPr>
        <w:keepNext w:val="0"/>
        <w:numPr>
          <w:numId w:val="1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Outpatient occupational therapy services as defined in § 410.59 of this chapter.</w:t>
      </w:r>
    </w:p>
    <w:p>
      <w:pPr>
        <w:keepNext w:val="0"/>
        <w:numPr>
          <w:numId w:val="1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Outpatient speech-language pathology services as defined in § 410.62 of this chapter.</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Quality-adjusted target price</w:t>
      </w:r>
      <w:r>
        <w:rPr>
          <w:rFonts w:ascii="arial" w:eastAsia="arial" w:hAnsi="arial" w:cs="arial"/>
          <w:b w:val="0"/>
          <w:i w:val="0"/>
          <w:strike w:val="0"/>
          <w:noProof w:val="0"/>
          <w:color w:val="000000"/>
          <w:position w:val="0"/>
          <w:sz w:val="20"/>
          <w:u w:val="none"/>
          <w:vertAlign w:val="baseline"/>
        </w:rPr>
        <w:t xml:space="preserve"> means the dollar amount assigned to EPM episodes as the result of reducing the episode benchmark price by the EPM participant's effective discount factor based on the EPM participant's quality category, as described in § 512.315(b)(5), (c)(5), or (d)(5).</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Quality improvement points</w:t>
      </w:r>
      <w:r>
        <w:rPr>
          <w:rFonts w:ascii="arial" w:eastAsia="arial" w:hAnsi="arial" w:cs="arial"/>
          <w:b w:val="0"/>
          <w:i w:val="0"/>
          <w:strike w:val="0"/>
          <w:noProof w:val="0"/>
          <w:color w:val="000000"/>
          <w:position w:val="0"/>
          <w:sz w:val="20"/>
          <w:u w:val="none"/>
          <w:vertAlign w:val="baseline"/>
        </w:rPr>
        <w:t xml:space="preserve"> are points that CMS adds to an EPM participant's EPM composite quality score for a measure if the EPM participant's performance improves from the previous performance year according to the relevant EPM measure improvement methodology.</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Quality performance points</w:t>
      </w:r>
      <w:r>
        <w:rPr>
          <w:rFonts w:ascii="arial" w:eastAsia="arial" w:hAnsi="arial" w:cs="arial"/>
          <w:b w:val="0"/>
          <w:i w:val="0"/>
          <w:strike w:val="0"/>
          <w:noProof w:val="0"/>
          <w:color w:val="000000"/>
          <w:position w:val="0"/>
          <w:sz w:val="20"/>
          <w:u w:val="none"/>
          <w:vertAlign w:val="baseline"/>
        </w:rPr>
        <w:t xml:space="preserve"> are points that CMS adds to an EPM participant's EPM composite quality score for a measure based on the performance percentile scale and for successful submission of voluntary data if applicable to the EPM.</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Reconciliation payment</w:t>
      </w:r>
      <w:r>
        <w:rPr>
          <w:rFonts w:ascii="arial" w:eastAsia="arial" w:hAnsi="arial" w:cs="arial"/>
          <w:b w:val="0"/>
          <w:i w:val="0"/>
          <w:strike w:val="0"/>
          <w:noProof w:val="0"/>
          <w:color w:val="000000"/>
          <w:position w:val="0"/>
          <w:sz w:val="20"/>
          <w:u w:val="none"/>
          <w:vertAlign w:val="baseline"/>
        </w:rPr>
        <w:t xml:space="preserve"> means a payment made by CMS to an EPM participant as determined in accordance with § 512.305(d).</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Repayment amount</w:t>
      </w:r>
      <w:r>
        <w:rPr>
          <w:rFonts w:ascii="arial" w:eastAsia="arial" w:hAnsi="arial" w:cs="arial"/>
          <w:b w:val="0"/>
          <w:i w:val="0"/>
          <w:strike w:val="0"/>
          <w:noProof w:val="0"/>
          <w:color w:val="000000"/>
          <w:position w:val="0"/>
          <w:sz w:val="20"/>
          <w:u w:val="none"/>
          <w:vertAlign w:val="baseline"/>
        </w:rPr>
        <w:t xml:space="preserve"> means the amount owed by an EPM participant to CMS, as reflected on a reconciliation report.</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RRC</w:t>
      </w:r>
      <w:r>
        <w:rPr>
          <w:rFonts w:ascii="arial" w:eastAsia="arial" w:hAnsi="arial" w:cs="arial"/>
          <w:b w:val="0"/>
          <w:i w:val="0"/>
          <w:strike w:val="0"/>
          <w:noProof w:val="0"/>
          <w:color w:val="000000"/>
          <w:position w:val="0"/>
          <w:sz w:val="20"/>
          <w:u w:val="none"/>
          <w:vertAlign w:val="baseline"/>
        </w:rPr>
        <w:t xml:space="preserve"> means a rural referral center that satisfies the criteria set forth in § 412.96 of this chapter.</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Rural hospital</w:t>
      </w:r>
      <w:r>
        <w:rPr>
          <w:rFonts w:ascii="arial" w:eastAsia="arial" w:hAnsi="arial" w:cs="arial"/>
          <w:b w:val="0"/>
          <w:i w:val="0"/>
          <w:strike w:val="0"/>
          <w:noProof w:val="0"/>
          <w:color w:val="000000"/>
          <w:position w:val="0"/>
          <w:sz w:val="20"/>
          <w:u w:val="none"/>
          <w:vertAlign w:val="baseline"/>
        </w:rPr>
        <w:t xml:space="preserve"> means an IPPS hospital that meets one of the following definitions:</w:t>
      </w:r>
    </w:p>
    <w:p>
      <w:pPr>
        <w:keepNext w:val="0"/>
        <w:numPr>
          <w:numId w:val="1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located in a rural area as defined under § 412.64 of this chapter.</w:t>
      </w:r>
    </w:p>
    <w:p>
      <w:pPr>
        <w:keepNext w:val="0"/>
        <w:numPr>
          <w:numId w:val="1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located in a rural census tract defined under § 412.103(a)(1) of this chapter.</w:t>
      </w:r>
    </w:p>
    <w:p>
      <w:pPr>
        <w:keepNext w:val="0"/>
        <w:numPr>
          <w:numId w:val="1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reclassified as a rural hospital under § 412.103 of this chapter.</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SCH</w:t>
      </w:r>
      <w:r>
        <w:rPr>
          <w:rFonts w:ascii="arial" w:eastAsia="arial" w:hAnsi="arial" w:cs="arial"/>
          <w:b w:val="0"/>
          <w:i w:val="0"/>
          <w:strike w:val="0"/>
          <w:noProof w:val="0"/>
          <w:color w:val="000000"/>
          <w:position w:val="0"/>
          <w:sz w:val="20"/>
          <w:u w:val="none"/>
          <w:vertAlign w:val="baseline"/>
        </w:rPr>
        <w:t xml:space="preserve"> means a sole community hospital that meets the classification criteria specified in § 412.92 of this chapter.</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Sharing arrangement</w:t>
      </w:r>
      <w:r>
        <w:rPr>
          <w:rFonts w:ascii="arial" w:eastAsia="arial" w:hAnsi="arial" w:cs="arial"/>
          <w:b w:val="0"/>
          <w:i w:val="0"/>
          <w:strike w:val="0"/>
          <w:noProof w:val="0"/>
          <w:color w:val="000000"/>
          <w:position w:val="0"/>
          <w:sz w:val="20"/>
          <w:u w:val="none"/>
          <w:vertAlign w:val="baseline"/>
        </w:rPr>
        <w:t xml:space="preserve"> means a financial arrangement between an EPM participant and an EPM collaborator for the sole purpose of making gainsharing payments or alignment payments under the EPM.</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SHFFT</w:t>
      </w:r>
      <w:r>
        <w:rPr>
          <w:rFonts w:ascii="arial" w:eastAsia="arial" w:hAnsi="arial" w:cs="arial"/>
          <w:b w:val="0"/>
          <w:i w:val="0"/>
          <w:strike w:val="0"/>
          <w:noProof w:val="0"/>
          <w:color w:val="000000"/>
          <w:position w:val="0"/>
          <w:sz w:val="20"/>
          <w:u w:val="none"/>
          <w:vertAlign w:val="baseline"/>
        </w:rPr>
        <w:t xml:space="preserve"> stands for surgical hip/femur fracture treatment and means surgical treatment for hip and femur fractures, other than hip replacements, consisting primarily of hip fixation procedures, with or without reduction of the fracture, as well as open and closed surgical approaches.</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SHFFT model</w:t>
      </w:r>
      <w:r>
        <w:rPr>
          <w:rFonts w:ascii="arial" w:eastAsia="arial" w:hAnsi="arial" w:cs="arial"/>
          <w:b w:val="0"/>
          <w:i w:val="0"/>
          <w:strike w:val="0"/>
          <w:noProof w:val="0"/>
          <w:color w:val="000000"/>
          <w:position w:val="0"/>
          <w:sz w:val="20"/>
          <w:u w:val="none"/>
          <w:vertAlign w:val="baseline"/>
        </w:rPr>
        <w:t xml:space="preserve"> means the EPM for SHFFT.</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SHFFT model participant</w:t>
      </w:r>
      <w:r>
        <w:rPr>
          <w:rFonts w:ascii="arial" w:eastAsia="arial" w:hAnsi="arial" w:cs="arial"/>
          <w:b w:val="0"/>
          <w:i w:val="0"/>
          <w:strike w:val="0"/>
          <w:noProof w:val="0"/>
          <w:color w:val="000000"/>
          <w:position w:val="0"/>
          <w:sz w:val="20"/>
          <w:u w:val="none"/>
          <w:vertAlign w:val="baseline"/>
        </w:rPr>
        <w:t xml:space="preserve"> means an EPM participant that is an IPPS hospital (other than those hospitals specifically excepted under § 512.100(b)) with a CCN primary address in one of the geographic areas selected for participation in a SHFFT model in accordance with § 512.105(a), as of the date of selection or any time thereafter during any performance year.</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SNF</w:t>
      </w:r>
      <w:r>
        <w:rPr>
          <w:rFonts w:ascii="arial" w:eastAsia="arial" w:hAnsi="arial" w:cs="arial"/>
          <w:b w:val="0"/>
          <w:i w:val="0"/>
          <w:strike w:val="0"/>
          <w:noProof w:val="0"/>
          <w:color w:val="000000"/>
          <w:position w:val="0"/>
          <w:sz w:val="20"/>
          <w:u w:val="none"/>
          <w:vertAlign w:val="baseline"/>
        </w:rPr>
        <w:t xml:space="preserve"> stands for skilled nursing facility.</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TGP</w:t>
      </w:r>
      <w:r>
        <w:rPr>
          <w:rFonts w:ascii="arial" w:eastAsia="arial" w:hAnsi="arial" w:cs="arial"/>
          <w:b w:val="0"/>
          <w:i w:val="0"/>
          <w:strike w:val="0"/>
          <w:noProof w:val="0"/>
          <w:color w:val="000000"/>
          <w:position w:val="0"/>
          <w:sz w:val="20"/>
          <w:u w:val="none"/>
          <w:vertAlign w:val="baseline"/>
        </w:rPr>
        <w:t xml:space="preserve"> means an entity that is enrolled in Medicare as a therapy group in private practice, includes at least one owner or employee who is a therapist in private practice, does not include an owner or employee who is a physician or nonphysician practitioner, and has a valid and active TIN.</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THA/TKA</w:t>
      </w:r>
      <w:r>
        <w:rPr>
          <w:rFonts w:ascii="arial" w:eastAsia="arial" w:hAnsi="arial" w:cs="arial"/>
          <w:b w:val="0"/>
          <w:i w:val="0"/>
          <w:strike w:val="0"/>
          <w:noProof w:val="0"/>
          <w:color w:val="000000"/>
          <w:position w:val="0"/>
          <w:sz w:val="20"/>
          <w:u w:val="none"/>
          <w:vertAlign w:val="baseline"/>
        </w:rPr>
        <w:t xml:space="preserve"> stands for total hip arthroplasty/total knee arthroplasty.</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Therapist</w:t>
      </w:r>
      <w:r>
        <w:rPr>
          <w:rFonts w:ascii="arial" w:eastAsia="arial" w:hAnsi="arial" w:cs="arial"/>
          <w:b w:val="0"/>
          <w:i w:val="0"/>
          <w:strike w:val="0"/>
          <w:noProof w:val="0"/>
          <w:color w:val="000000"/>
          <w:position w:val="0"/>
          <w:sz w:val="20"/>
          <w:u w:val="none"/>
          <w:vertAlign w:val="baseline"/>
        </w:rPr>
        <w:t xml:space="preserve"> means one of the following individuals as defined at § 484.4 of this chapter:</w:t>
      </w:r>
    </w:p>
    <w:p>
      <w:pPr>
        <w:keepNext w:val="0"/>
        <w:numPr>
          <w:numId w:val="1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Physical therapist.</w:t>
      </w:r>
    </w:p>
    <w:p>
      <w:pPr>
        <w:keepNext w:val="0"/>
        <w:numPr>
          <w:numId w:val="1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Occupational therapist.</w:t>
      </w:r>
    </w:p>
    <w:p>
      <w:pPr>
        <w:keepNext w:val="0"/>
        <w:numPr>
          <w:numId w:val="1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Speech-language pathologist.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Therapist in private practice</w:t>
      </w:r>
      <w:r>
        <w:rPr>
          <w:rFonts w:ascii="arial" w:eastAsia="arial" w:hAnsi="arial" w:cs="arial"/>
          <w:b w:val="0"/>
          <w:i w:val="0"/>
          <w:strike w:val="0"/>
          <w:noProof w:val="0"/>
          <w:color w:val="000000"/>
          <w:position w:val="0"/>
          <w:sz w:val="20"/>
          <w:u w:val="none"/>
          <w:vertAlign w:val="baseline"/>
        </w:rPr>
        <w:t xml:space="preserve"> means a therapist that either--</w:t>
      </w:r>
    </w:p>
    <w:p>
      <w:pPr>
        <w:keepNext w:val="0"/>
        <w:numPr>
          <w:numId w:val="1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Complies with the special provisions for services furnished by physical therapists in private practice in § 410.60(c) of this chapter;</w:t>
      </w:r>
    </w:p>
    <w:p>
      <w:pPr>
        <w:keepNext w:val="0"/>
        <w:numPr>
          <w:numId w:val="1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Complies with the special provisions for services furnished by occupational therapists in private practice in § 410.59(c) of this chapter; or</w:t>
      </w:r>
    </w:p>
    <w:p>
      <w:pPr>
        <w:keepNext w:val="0"/>
        <w:numPr>
          <w:numId w:val="1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Complies with the special provisions for services furnished by speech-language pathologists in private practice in § 410.62(c) of this chapter.</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TIN</w:t>
      </w:r>
      <w:r>
        <w:rPr>
          <w:rFonts w:ascii="arial" w:eastAsia="arial" w:hAnsi="arial" w:cs="arial"/>
          <w:b w:val="0"/>
          <w:i w:val="0"/>
          <w:strike w:val="0"/>
          <w:noProof w:val="0"/>
          <w:color w:val="000000"/>
          <w:position w:val="0"/>
          <w:sz w:val="20"/>
          <w:u w:val="none"/>
          <w:vertAlign w:val="baseline"/>
        </w:rPr>
        <w:t xml:space="preserve"> stands for taxpayer identification number.</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Two-sided risk arrangement</w:t>
      </w:r>
      <w:r>
        <w:rPr>
          <w:rFonts w:ascii="arial" w:eastAsia="arial" w:hAnsi="arial" w:cs="arial"/>
          <w:b w:val="0"/>
          <w:i w:val="0"/>
          <w:strike w:val="0"/>
          <w:noProof w:val="0"/>
          <w:color w:val="000000"/>
          <w:position w:val="0"/>
          <w:sz w:val="20"/>
          <w:u w:val="none"/>
          <w:vertAlign w:val="baseline"/>
        </w:rPr>
        <w:t xml:space="preserve"> means an arrangement in which the ACO may share savings with the Medicare program, if it meets the requirements for doing so, and is also liable for sharing losses incurred under the program or model, if it meets the criteria under which sharing losses occurs.</w:t>
      </w:r>
    </w:p>
    <w:p>
      <w:pPr>
        <w:numPr>
          <w:numId w:val="1312"/>
        </w:numPr>
        <w:spacing w:before="120" w:line="240" w:lineRule="atLeast"/>
      </w:pPr>
      <w:r>
        <w:rPr>
          <w:b/>
          <w:i w:val="0"/>
          <w:sz w:val="20"/>
        </w:rPr>
        <w:t>del Participants</w:t>
      </w:r>
    </w:p>
    <w:p>
      <w:pPr>
        <w:numPr>
          <w:numId w:val="1313"/>
        </w:numPr>
        <w:spacing w:before="120" w:line="240" w:lineRule="atLeast"/>
      </w:pPr>
      <w:r>
        <w:rPr>
          <w:b/>
          <w:i w:val="0"/>
          <w:sz w:val="20"/>
        </w:rPr>
        <w:t>ested.</w:t>
      </w:r>
    </w:p>
    <w:p>
      <w:pPr>
        <w:keepNext w:val="0"/>
        <w:numPr>
          <w:numId w:val="13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episode is initiated when an EPM participant admits a Medicare beneficiary described in § 512.230 for an anchor hospitalization.</w:t>
      </w:r>
    </w:p>
    <w:p>
      <w:pPr>
        <w:numPr>
          <w:numId w:val="1315"/>
        </w:numPr>
        <w:spacing w:before="120" w:line="240" w:lineRule="atLeast"/>
      </w:pPr>
    </w:p>
    <w:p>
      <w:pPr>
        <w:keepNext w:val="0"/>
        <w:numPr>
          <w:numId w:val="1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hospital is excluded from participating in EPMs for EPM anchor MS-DRGs that are included in BPCI episodes in which the hospital currently participates.</w:t>
      </w:r>
    </w:p>
    <w:p>
      <w:pPr>
        <w:keepNext w:val="0"/>
        <w:numPr>
          <w:numId w:val="1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These exclusions cease to apply as of the date that the hospital no longer meets the conditions specified in this paragraph (b) or September 30, 2018, whichever date is sooner.</w:t>
      </w:r>
    </w:p>
    <w:p>
      <w:pPr>
        <w:keepNext w:val="0"/>
        <w:numPr>
          <w:numId w:val="1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EPM episode is initiated by a beneficiary's admission to an EPM participant for an anchor hospitalization that is paid under an EPM anchor MS-DRG and, in the case of the AMI model, with an AMI ICD-10-CM diagnosis code if the admission is under a PCI MS-DRG. The EPM anchor MS-DRGs and ICD-10-CM diagnosis codes for the EPM episodes are as follows:</w:t>
      </w:r>
    </w:p>
    <w:p>
      <w:pPr>
        <w:numPr>
          <w:numId w:val="1318"/>
        </w:numPr>
        <w:spacing w:before="120" w:line="240" w:lineRule="atLeast"/>
      </w:pPr>
      <w:r>
        <w:rPr>
          <w:b/>
          <w:i/>
          <w:sz w:val="20"/>
        </w:rPr>
        <w:t>n (AMI).</w:t>
      </w:r>
    </w:p>
    <w:p>
      <w:pPr>
        <w:keepNext w:val="0"/>
        <w:numPr>
          <w:numId w:val="1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 under an AMI MS-DRG (MS-DRGs 280 to 282); or</w:t>
      </w:r>
    </w:p>
    <w:p>
      <w:pPr>
        <w:keepNext w:val="0"/>
        <w:numPr>
          <w:numId w:val="1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 under a PCI MS-DRG (MS-DRGs 246 to 251) with an ICD-10-CM diagnosis code of AMI on the claim for the anchor hospitalization in the principal or secondary diagnosis code position.</w:t>
      </w:r>
    </w:p>
    <w:p>
      <w:pPr>
        <w:keepNext w:val="0"/>
        <w:numPr>
          <w:numId w:val="1321"/>
        </w:numPr>
        <w:spacing w:before="120" w:after="0" w:line="260" w:lineRule="atLeast"/>
        <w:ind w:right="0"/>
        <w:jc w:val="both"/>
      </w:pPr>
      <w:r>
        <w:rPr>
          <w:b/>
          <w:i/>
          <w:sz w:val="20"/>
        </w:rPr>
        <w:t>ft (CABG).</w:t>
      </w:r>
      <w:r>
        <w:rPr>
          <w:rFonts w:ascii="arial" w:eastAsia="arial" w:hAnsi="arial" w:cs="arial"/>
          <w:b w:val="0"/>
          <w:i w:val="0"/>
          <w:strike w:val="0"/>
          <w:noProof w:val="0"/>
          <w:color w:val="000000"/>
          <w:position w:val="0"/>
          <w:sz w:val="20"/>
          <w:u w:val="none"/>
          <w:vertAlign w:val="baseline"/>
        </w:rPr>
        <w:t>Discharge under a CABG MS-DRG (MS-DRGs 231 to 236).</w:t>
      </w:r>
    </w:p>
    <w:p>
      <w:pPr>
        <w:keepNext w:val="0"/>
        <w:numPr>
          <w:numId w:val="1322"/>
        </w:numPr>
        <w:spacing w:before="120" w:after="0" w:line="260" w:lineRule="atLeast"/>
        <w:ind w:right="0"/>
        <w:jc w:val="both"/>
      </w:pPr>
      <w:r>
        <w:rPr>
          <w:b/>
          <w:i/>
          <w:sz w:val="20"/>
        </w:rPr>
        <w:t>e treatment (SHFFT).</w:t>
      </w:r>
      <w:r>
        <w:rPr>
          <w:rFonts w:ascii="arial" w:eastAsia="arial" w:hAnsi="arial" w:cs="arial"/>
          <w:b w:val="0"/>
          <w:i w:val="0"/>
          <w:strike w:val="0"/>
          <w:noProof w:val="0"/>
          <w:color w:val="000000"/>
          <w:position w:val="0"/>
          <w:sz w:val="20"/>
          <w:u w:val="none"/>
          <w:vertAlign w:val="baseline"/>
        </w:rPr>
        <w:t>Discharge under a SHFFT MS-DRG (MS-DRGs 480 to 482).</w:t>
      </w:r>
    </w:p>
    <w:p>
      <w:pPr>
        <w:keepNext w:val="0"/>
        <w:numPr>
          <w:numId w:val="1323"/>
        </w:numPr>
        <w:spacing w:before="120" w:after="0" w:line="260" w:lineRule="atLeast"/>
        <w:ind w:right="0"/>
        <w:jc w:val="both"/>
      </w:pPr>
      <w:r>
        <w:rPr>
          <w:b/>
          <w:i/>
          <w:sz w:val="20"/>
        </w:rPr>
        <w:t xml:space="preserve"> episodes and EPM episodes with AMI ICD-CM diagnosis codes.</w:t>
      </w:r>
      <w:r>
        <w:rPr>
          <w:rFonts w:ascii="arial" w:eastAsia="arial" w:hAnsi="arial" w:cs="arial"/>
          <w:b w:val="0"/>
          <w:i w:val="0"/>
          <w:strike w:val="0"/>
          <w:noProof w:val="0"/>
          <w:color w:val="000000"/>
          <w:position w:val="0"/>
          <w:sz w:val="20"/>
          <w:u w:val="none"/>
          <w:vertAlign w:val="baseline"/>
        </w:rPr>
        <w:t>CMS develops a list of AMI ICD-9-CM and ICD-10-CM diagnosis codes that identify the initiation of historical episodes or initiate AMI model episodes when reported in the principal or secondary diagnosis code position on the inpatient hospital claim for a historical hospitalization or the anchor hospitalization discharged under PCI MS-DRGs (MS-DRGs 246 to 251). The list of ICD-9-CM and ICD-10-CM diagnosis codes representing AMI is posted on the CMS Web site.</w:t>
      </w:r>
    </w:p>
    <w:p>
      <w:pPr>
        <w:keepNext w:val="0"/>
        <w:numPr>
          <w:numId w:val="1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On an annual basis, or more frequently as needed, CMS updates the list of ICD-10-CM diagnosis codes representing AMI to reflect coding changes or other issues brought to CMS' attention. </w:t>
      </w:r>
      <w:r>
        <w:rPr>
          <w:rFonts w:ascii="arial" w:eastAsia="arial" w:hAnsi="arial" w:cs="arial"/>
          <w:b/>
          <w:i w:val="0"/>
          <w:strike w:val="0"/>
          <w:noProof w:val="0"/>
          <w:color w:val="000000"/>
          <w:position w:val="0"/>
          <w:sz w:val="20"/>
          <w:u w:val="none"/>
          <w:vertAlign w:val="baseline"/>
        </w:rPr>
        <w:t> [*627] </w:t>
      </w:r>
    </w:p>
    <w:p>
      <w:pPr>
        <w:keepNext w:val="0"/>
        <w:numPr>
          <w:numId w:val="1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applies the following standard when revising the list of ICD-10-CM diagnosis codes representing AMI: The ICD-10-CM diagnosis code is sufficiently specific that it represents an AMI.</w:t>
      </w:r>
    </w:p>
    <w:p>
      <w:pPr>
        <w:keepNext w:val="0"/>
        <w:numPr>
          <w:numId w:val="1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posts the following to the CMS Web site:</w:t>
      </w:r>
    </w:p>
    <w:p>
      <w:pPr>
        <w:keepNext w:val="0"/>
        <w:numPr>
          <w:numId w:val="1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Potential AMI ICD-10-CM diagnosis codes for public comment; and</w:t>
      </w:r>
    </w:p>
    <w:p>
      <w:pPr>
        <w:keepNext w:val="0"/>
        <w:numPr>
          <w:numId w:val="1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final AMI ICD-10-CM diagnosis code list after consideration of public comment.</w:t>
      </w:r>
    </w:p>
    <w:p>
      <w:pPr>
        <w:keepNext w:val="0"/>
        <w:numPr>
          <w:numId w:val="1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excludes AMI historical episodes with PCI MS-DRGs and inpatient claims that contain intracardiac ICD-9-CM procedure codes. CMS excludes historical AMI model episodes discharged under PCI MS-DRGs with an AMI ICD-9-CM diagnosis code in the principal or secondary diagnosis code position on the inpatient hospital claim from the AMI historical episodes that set episode benchmark prices if there is an intracardiac ICD-9-CM procedure code in any procedure code field on the inpatient hospital claim. The intracardiac ICD-9-CM procedure codes are as follows:</w:t>
      </w:r>
    </w:p>
    <w:p>
      <w:pPr>
        <w:keepNext w:val="0"/>
        <w:numPr>
          <w:numId w:val="13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35.52 (Repair of atrial septal defect with prosthesis, closed technique).</w:t>
      </w:r>
    </w:p>
    <w:p>
      <w:pPr>
        <w:keepNext w:val="0"/>
        <w:numPr>
          <w:numId w:val="13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35.96 (Percutaneous balloon valvuloplasty).</w:t>
      </w:r>
    </w:p>
    <w:p>
      <w:pPr>
        <w:keepNext w:val="0"/>
        <w:numPr>
          <w:numId w:val="1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35.97 (Percutaneous mitral valve repair with implant).</w:t>
      </w:r>
    </w:p>
    <w:p>
      <w:pPr>
        <w:keepNext w:val="0"/>
        <w:numPr>
          <w:numId w:val="1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37.26 (Catheter based invasive electrophysiologic testing).</w:t>
      </w:r>
    </w:p>
    <w:p>
      <w:pPr>
        <w:keepNext w:val="0"/>
        <w:numPr>
          <w:numId w:val="1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37.27 (Cardiac mapping).</w:t>
      </w:r>
    </w:p>
    <w:p>
      <w:pPr>
        <w:keepNext w:val="0"/>
        <w:numPr>
          <w:numId w:val="13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37.34 (Excision or destruction of other lesion or tissue of heart, endovascular approach).</w:t>
      </w:r>
    </w:p>
    <w:p>
      <w:pPr>
        <w:keepNext w:val="0"/>
        <w:numPr>
          <w:numId w:val="13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37.36 (Excision, destruction, or exclusion of left atrial appendage).</w:t>
      </w:r>
    </w:p>
    <w:p>
      <w:pPr>
        <w:keepNext w:val="0"/>
        <w:numPr>
          <w:numId w:val="13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37.90 (Insertion of left atrial appendage device).</w:t>
      </w:r>
    </w:p>
    <w:p>
      <w:pPr>
        <w:numPr>
          <w:numId w:val="1335"/>
        </w:numPr>
        <w:spacing w:before="120" w:line="240" w:lineRule="atLeast"/>
      </w:pPr>
    </w:p>
    <w:p>
      <w:pPr>
        <w:keepNext w:val="0"/>
        <w:numPr>
          <w:numId w:val="13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SHFFT model must be implemented in the same geographic areas as the CJR model as described under § 510.105 of the chapter.</w:t>
      </w:r>
    </w:p>
    <w:p>
      <w:pPr>
        <w:keepNext w:val="0"/>
        <w:numPr>
          <w:numId w:val="13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geographic areas for inclusion in the CABG and AMI models will be obtained using a random sampling of certain MSAs in the United States. All counties within each of the selected MSAs are selected for inclusion in the AMI and CABG models. CMS excludes MSAs that met the following criteria between January 1, 2014 and December 31, 2014 from the possibility of being selected geographic areas. MSAs are excluded if they--</w:t>
      </w:r>
    </w:p>
    <w:p>
      <w:pPr>
        <w:keepNext w:val="0"/>
        <w:numPr>
          <w:numId w:val="1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Had fewer than 75 AMI episodes;</w:t>
      </w:r>
    </w:p>
    <w:p>
      <w:pPr>
        <w:keepNext w:val="0"/>
        <w:numPr>
          <w:numId w:val="1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Had fewer than 75 AMI episodes that were not attributable to BPCI Model 2 or 4, AMI, CABG or PCI episodes;</w:t>
      </w:r>
    </w:p>
    <w:p>
      <w:pPr>
        <w:keepNext w:val="0"/>
        <w:numPr>
          <w:numId w:val="1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Had more than 50 percent of otherwise qualifying (BPCI or non BPCI) episodes attributable to a BPCI Model 2 or 4 AMI, CABG or PCI episodes; or</w:t>
      </w:r>
    </w:p>
    <w:p>
      <w:pPr>
        <w:keepNext w:val="0"/>
        <w:numPr>
          <w:numId w:val="1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in Maryland, Vermont, or another state where CMS is implementing a state-wide all-payer model. In such situations all MSAs in the state may be excluded even if hospitals are otherwise being paid in accordance with the IPPS and would otherwise qualify as an eligible EPM participant.</w:t>
      </w:r>
    </w:p>
    <w:p>
      <w:pPr>
        <w:keepNext w:val="0"/>
        <w:numPr>
          <w:numId w:val="13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all geographic areas where the AMI, CABG, or SHFFT models are being implemented, the accountable financial entity must be an acute care IPPS hospital.</w:t>
      </w:r>
    </w:p>
    <w:p>
      <w:pPr>
        <w:numPr>
          <w:numId w:val="1338"/>
        </w:numPr>
        <w:spacing w:before="120" w:line="240" w:lineRule="atLeast"/>
      </w:pPr>
      <w:r>
        <w:rPr>
          <w:b/>
          <w:i w:val="0"/>
          <w:sz w:val="20"/>
        </w:rPr>
        <w:t>d retention.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EPM participants, EPM collaborators, collaboration agents, downstream collaboration agents, and any other individuals or entities performing EPM activities must:</w:t>
      </w:r>
    </w:p>
    <w:p>
      <w:pPr>
        <w:keepNext w:val="0"/>
        <w:numPr>
          <w:numId w:val="13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Allow the Government, including CMS, OIG, HHS, and the Comptroller General or their designees, scheduled and unscheduled access to all books, contracts, records, documents, and other evidence (including data related to utilization and payments, quality of care criteria, billings, lists of EPM collaborators, sharing arrangements, distribution arrangements, downstream distribution arrangements, and the documentation required under §§ 512.500(d) and 512.525(d)) sufficient to enable the audit, evaluation, inspection, or investigation of the following:</w:t>
      </w:r>
    </w:p>
    <w:p>
      <w:pPr>
        <w:keepNext w:val="0"/>
        <w:numPr>
          <w:numId w:val="1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individual's or entity's compliance with EPM requirements and, if applicable, the individual's or entity's compliance with CR incentive payment model requirements.</w:t>
      </w:r>
    </w:p>
    <w:p>
      <w:pPr>
        <w:keepNext w:val="0"/>
        <w:numPr>
          <w:numId w:val="1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calculation, distribution, receipt, or recoupment of gainsharing payments, alignment payments, distribution payments, and downstream distribution payments.</w:t>
      </w:r>
    </w:p>
    <w:p>
      <w:pPr>
        <w:keepNext w:val="0"/>
        <w:numPr>
          <w:numId w:val="1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obligation to repay any reconciliation payments or CR incentive payments, if applicable, owed to CMS.</w:t>
      </w:r>
    </w:p>
    <w:p>
      <w:pPr>
        <w:keepNext w:val="0"/>
        <w:numPr>
          <w:numId w:val="1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quality of the services furnished to an EPM beneficiary during an EPM episode.</w:t>
      </w:r>
    </w:p>
    <w:p>
      <w:pPr>
        <w:keepNext w:val="0"/>
        <w:numPr>
          <w:numId w:val="1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sufficiency of EPM beneficiary notifications.</w:t>
      </w:r>
    </w:p>
    <w:p>
      <w:pPr>
        <w:keepNext w:val="0"/>
        <w:numPr>
          <w:numId w:val="1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accuracy of the EPM participant's submissions under CEHRT use requirements.</w:t>
      </w:r>
    </w:p>
    <w:p>
      <w:pPr>
        <w:keepNext w:val="0"/>
        <w:numPr>
          <w:numId w:val="13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all such books, contracts, records, documents, and other evidence for a period of 10 years from the last day of the EPM participant's participation in the EPM or from the date of completion of any audit, evaluation, inspection, or investigation, whichever is later, unless--</w:t>
      </w:r>
    </w:p>
    <w:p>
      <w:pPr>
        <w:keepNext w:val="0"/>
        <w:numPr>
          <w:numId w:val="13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determines a particular record or group of records should be retained for a longer period and notifies the EPM participant at least 30 calendar days before the disposition date; or</w:t>
      </w:r>
    </w:p>
    <w:p>
      <w:pPr>
        <w:keepNext w:val="0"/>
        <w:numPr>
          <w:numId w:val="13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has been a dispute or allegation of fraud or similar fault against the EPM participant, EPM collaborator, collaboration agent, downstream collaboration agent, or any other individual or entity performing EPM activities in which case the records must be maintained for 6 years from the date of any resulting final resolution of the dispute or allegation of fraud or similar fault.</w:t>
      </w:r>
    </w:p>
    <w:p>
      <w:pPr>
        <w:numPr>
          <w:numId w:val="1342"/>
        </w:numPr>
        <w:spacing w:before="120" w:line="240" w:lineRule="atLeast"/>
      </w:pPr>
      <w:r>
        <w:rPr>
          <w:b/>
          <w:i w:val="0"/>
          <w:sz w:val="20"/>
        </w:rPr>
        <w:t>T track requirements.</w:t>
      </w:r>
    </w:p>
    <w:p>
      <w:pPr>
        <w:keepNext w:val="0"/>
        <w:numPr>
          <w:numId w:val="13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2 if the EPM participant elects downside risk and for performance years 3 through 5, EPM participants choose either of the following:</w:t>
      </w:r>
    </w:p>
    <w:p>
      <w:pPr>
        <w:keepNext w:val="0"/>
        <w:numPr>
          <w:numId w:val="1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EPM participants attest in a form and manner specified by CMS to their use of CEHRT as defined in § 414.1305 of this chapter to document and communicate clinical care with patients and other health professionals.</w:t>
      </w:r>
    </w:p>
    <w:p>
      <w:pPr>
        <w:keepNext w:val="0"/>
        <w:numPr>
          <w:numId w:val="1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EPM participants do not attest in a form and manner specified by CMS to their use of CEHRT as defined in § 414.1305 of this chapter to document and communicate clinical care with patients and other health professionals.</w:t>
      </w:r>
    </w:p>
    <w:p>
      <w:pPr>
        <w:keepNext w:val="0"/>
        <w:numPr>
          <w:numId w:val="1346"/>
        </w:numPr>
        <w:spacing w:before="120" w:after="0" w:line="260" w:lineRule="atLeast"/>
        <w:ind w:right="0"/>
        <w:jc w:val="both"/>
      </w:pPr>
      <w:r>
        <w:rPr>
          <w:b/>
          <w:i/>
          <w:sz w:val="20"/>
        </w:rPr>
        <w:t>ements list.</w:t>
      </w:r>
      <w:r>
        <w:rPr>
          <w:rFonts w:ascii="arial" w:eastAsia="arial" w:hAnsi="arial" w:cs="arial"/>
          <w:b w:val="0"/>
          <w:i w:val="0"/>
          <w:strike w:val="0"/>
          <w:noProof w:val="0"/>
          <w:color w:val="000000"/>
          <w:position w:val="0"/>
          <w:sz w:val="20"/>
          <w:u w:val="none"/>
          <w:vertAlign w:val="baseline"/>
        </w:rPr>
        <w:t>Each EPM participant that chooses CEHRT use as provided in paragraph (a)(1) of this section must submit to CMS a clinician financial arrangements list in a form and manner specified by CMS on a no more than quarterly basis. The list must include the following information on individuals and entities for the period of the EPM performance year specified by CMS:</w:t>
      </w:r>
    </w:p>
    <w:p>
      <w:pPr>
        <w:keepNext w:val="0"/>
        <w:numPr>
          <w:numId w:val="1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physician, nonphysician practitioner, or therapist in private practice who is an EPM collaborator during the period of the EPM performance year specified by CMS:</w:t>
      </w:r>
    </w:p>
    <w:p>
      <w:pPr>
        <w:keepNext w:val="0"/>
        <w:numPr>
          <w:numId w:val="1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TIN, and NPI of the EPM collaborator.</w:t>
      </w:r>
    </w:p>
    <w:p>
      <w:pPr>
        <w:keepNext w:val="0"/>
        <w:numPr>
          <w:numId w:val="1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start date and, if applicable, end date, for the sharing arrangement between the EPM participant and the EPM collaborator.</w:t>
      </w:r>
    </w:p>
    <w:p>
      <w:pPr>
        <w:keepNext w:val="0"/>
        <w:numPr>
          <w:numId w:val="1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each physician, nonphysician practitioner, or therapist who is a collaboration agent during the period of the EPM performance year specified by CMS: </w:t>
      </w:r>
      <w:r>
        <w:rPr>
          <w:rFonts w:ascii="arial" w:eastAsia="arial" w:hAnsi="arial" w:cs="arial"/>
          <w:b/>
          <w:i w:val="0"/>
          <w:strike w:val="0"/>
          <w:noProof w:val="0"/>
          <w:color w:val="000000"/>
          <w:position w:val="0"/>
          <w:sz w:val="20"/>
          <w:u w:val="none"/>
          <w:vertAlign w:val="baseline"/>
        </w:rPr>
        <w:t> [*628] </w:t>
      </w:r>
    </w:p>
    <w:p>
      <w:pPr>
        <w:keepNext w:val="0"/>
        <w:numPr>
          <w:numId w:val="1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and TIN of the EPM collaborator and the name, TIN, and NPI of the collaboration agent.</w:t>
      </w:r>
    </w:p>
    <w:p>
      <w:pPr>
        <w:keepNext w:val="0"/>
        <w:numPr>
          <w:numId w:val="1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start date and, if applicable, end date, for the distribution arrangement between the EPM collaborator and the collaboration agent.</w:t>
      </w:r>
    </w:p>
    <w:p>
      <w:pPr>
        <w:keepNext w:val="0"/>
        <w:numPr>
          <w:numId w:val="1353"/>
        </w:numPr>
        <w:spacing w:before="120" w:after="0" w:line="260" w:lineRule="atLeast"/>
        <w:ind w:right="0"/>
        <w:jc w:val="both"/>
      </w:pPr>
      <w:r>
        <w:rPr>
          <w:b/>
          <w:i/>
          <w:sz w:val="20"/>
        </w:rPr>
        <w:t>gents.</w:t>
      </w:r>
      <w:r>
        <w:rPr>
          <w:rFonts w:ascii="arial" w:eastAsia="arial" w:hAnsi="arial" w:cs="arial"/>
          <w:b w:val="0"/>
          <w:i w:val="0"/>
          <w:strike w:val="0"/>
          <w:noProof w:val="0"/>
          <w:color w:val="000000"/>
          <w:position w:val="0"/>
          <w:sz w:val="20"/>
          <w:u w:val="none"/>
          <w:vertAlign w:val="baseline"/>
        </w:rPr>
        <w:t>For each physician, nonphysician practitioner, or therapist who is a downstream collaboration agent during the period of the EPM performance year specified by CMS:</w:t>
      </w:r>
    </w:p>
    <w:p>
      <w:pPr>
        <w:keepNext w:val="0"/>
        <w:numPr>
          <w:numId w:val="1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and TIN of the EPM collaborator, the name and TIN of the collaboration agent and the name, TIN, and NPI of the downstream collaboration agent.</w:t>
      </w:r>
    </w:p>
    <w:p>
      <w:pPr>
        <w:keepNext w:val="0"/>
        <w:numPr>
          <w:numId w:val="1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start date and, if applicable, end date, for the downstream distribution arrangement between the collaboration agent and the downstream collaboration agent.</w:t>
      </w:r>
    </w:p>
    <w:p>
      <w:pPr>
        <w:keepNext w:val="0"/>
        <w:numPr>
          <w:numId w:val="1356"/>
        </w:numPr>
        <w:spacing w:before="120" w:after="0" w:line="260" w:lineRule="atLeast"/>
        <w:ind w:right="0"/>
        <w:jc w:val="both"/>
      </w:pPr>
      <w:r>
        <w:rPr>
          <w:b/>
          <w:i/>
          <w:sz w:val="20"/>
        </w:rPr>
        <w:t>als.</w:t>
      </w:r>
      <w:r>
        <w:rPr>
          <w:rFonts w:ascii="arial" w:eastAsia="arial" w:hAnsi="arial" w:cs="arial"/>
          <w:b w:val="0"/>
          <w:i w:val="0"/>
          <w:strike w:val="0"/>
          <w:noProof w:val="0"/>
          <w:color w:val="000000"/>
          <w:position w:val="0"/>
          <w:sz w:val="20"/>
          <w:u w:val="none"/>
          <w:vertAlign w:val="baseline"/>
        </w:rPr>
        <w:t>If there are no individuals that meet the requirements to be reported, as specified in paragraphs (b)(1) through (3) of this section, the EPM participant must attest in a form and manner required by CMS that there are no individuals to report on the clinician financial arrangements list.</w:t>
      </w:r>
    </w:p>
    <w:p>
      <w:pPr>
        <w:numPr>
          <w:numId w:val="1357"/>
        </w:numPr>
        <w:spacing w:before="120" w:line="240" w:lineRule="atLeast"/>
      </w:pPr>
      <w:r>
        <w:rPr>
          <w:b/>
          <w:i/>
          <w:sz w:val="20"/>
        </w:rPr>
        <w:t>.</w:t>
      </w:r>
    </w:p>
    <w:p>
      <w:pPr>
        <w:keepNext w:val="0"/>
        <w:numPr>
          <w:numId w:val="1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EPM participant that chooses CEHRT use as provided in paragraph (a)(1) of this section must maintain documentation of their attestation to CEHRT use and clinician financial arrangements lists.</w:t>
      </w:r>
    </w:p>
    <w:p>
      <w:pPr>
        <w:keepNext w:val="0"/>
        <w:numPr>
          <w:numId w:val="1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must retain and provide access to the required documentation in accordance with § 512.110.</w:t>
      </w:r>
    </w:p>
    <w:p>
      <w:pPr>
        <w:numPr>
          <w:numId w:val="1359"/>
        </w:numPr>
        <w:spacing w:before="120" w:line="240" w:lineRule="atLeast"/>
      </w:pPr>
    </w:p>
    <w:p>
      <w:pPr>
        <w:numPr>
          <w:numId w:val="1360"/>
        </w:numPr>
        <w:spacing w:before="120" w:line="240" w:lineRule="atLeast"/>
      </w:pPr>
      <w:r>
        <w:rPr>
          <w:b/>
          <w:i w:val="0"/>
          <w:sz w:val="20"/>
        </w:rPr>
        <w:t xml:space="preserve"> episodes.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All AMI, CABG, and SHFFT episodes begin on or after July 1, 2017 and end on or before December 31, 2021.</w:t>
      </w:r>
    </w:p>
    <w:p>
      <w:pPr>
        <w:numPr>
          <w:numId w:val="1361"/>
        </w:numPr>
        <w:spacing w:before="120" w:line="240" w:lineRule="atLeast"/>
      </w:pPr>
      <w:r>
        <w:rPr>
          <w:b/>
          <w:i w:val="0"/>
          <w:sz w:val="20"/>
        </w:rPr>
        <w:t>d services.</w:t>
      </w:r>
    </w:p>
    <w:p>
      <w:pPr>
        <w:keepNext w:val="0"/>
        <w:numPr>
          <w:numId w:val="1362"/>
        </w:numPr>
        <w:spacing w:before="120" w:after="0" w:line="260" w:lineRule="atLeast"/>
        <w:ind w:right="0"/>
        <w:jc w:val="both"/>
      </w:pPr>
      <w:r>
        <w:rPr>
          <w:b/>
          <w:i/>
          <w:sz w:val="20"/>
        </w:rPr>
        <w:t>PM.</w:t>
      </w:r>
      <w:r>
        <w:rPr>
          <w:rFonts w:ascii="arial" w:eastAsia="arial" w:hAnsi="arial" w:cs="arial"/>
          <w:b w:val="0"/>
          <w:i w:val="0"/>
          <w:strike w:val="0"/>
          <w:noProof w:val="0"/>
          <w:color w:val="000000"/>
          <w:position w:val="0"/>
          <w:sz w:val="20"/>
          <w:u w:val="none"/>
          <w:vertAlign w:val="baseline"/>
        </w:rPr>
        <w:t>All Medicare Parts A and B items and services are included in the EPM episode, except as specified in paragraph (b) of this section. These services include, but are not limited to, the following:</w:t>
      </w:r>
    </w:p>
    <w:p>
      <w:pPr>
        <w:keepNext w:val="0"/>
        <w:numPr>
          <w:numId w:val="1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Physicians' services.</w:t>
      </w:r>
    </w:p>
    <w:p>
      <w:pPr>
        <w:keepNext w:val="0"/>
        <w:numPr>
          <w:numId w:val="1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hospital services.</w:t>
      </w:r>
    </w:p>
    <w:p>
      <w:pPr>
        <w:keepNext w:val="0"/>
        <w:numPr>
          <w:numId w:val="1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IPF services.</w:t>
      </w:r>
    </w:p>
    <w:p>
      <w:pPr>
        <w:keepNext w:val="0"/>
        <w:numPr>
          <w:numId w:val="1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LTCH services.</w:t>
      </w:r>
    </w:p>
    <w:p>
      <w:pPr>
        <w:keepNext w:val="0"/>
        <w:numPr>
          <w:numId w:val="1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IRF services.</w:t>
      </w:r>
    </w:p>
    <w:p>
      <w:pPr>
        <w:keepNext w:val="0"/>
        <w:numPr>
          <w:numId w:val="1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SNF services.</w:t>
      </w:r>
    </w:p>
    <w:p>
      <w:pPr>
        <w:keepNext w:val="0"/>
        <w:numPr>
          <w:numId w:val="1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HHA services.</w:t>
      </w:r>
    </w:p>
    <w:p>
      <w:pPr>
        <w:keepNext w:val="0"/>
        <w:numPr>
          <w:numId w:val="1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outpatient services.</w:t>
      </w:r>
    </w:p>
    <w:p>
      <w:pPr>
        <w:keepNext w:val="0"/>
        <w:numPr>
          <w:numId w:val="1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Independent outpatient therapy services.</w:t>
      </w:r>
    </w:p>
    <w:p>
      <w:pPr>
        <w:keepNext w:val="0"/>
        <w:numPr>
          <w:numId w:val="13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Clinical laboratory services.</w:t>
      </w:r>
    </w:p>
    <w:p>
      <w:pPr>
        <w:keepNext w:val="0"/>
        <w:numPr>
          <w:numId w:val="1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DME.</w:t>
      </w:r>
    </w:p>
    <w:p>
      <w:pPr>
        <w:keepNext w:val="0"/>
        <w:numPr>
          <w:numId w:val="1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 B drugs and biologicals.</w:t>
      </w:r>
    </w:p>
    <w:p>
      <w:pPr>
        <w:keepNext w:val="0"/>
        <w:numPr>
          <w:numId w:val="13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Hospice.</w:t>
      </w:r>
    </w:p>
    <w:p>
      <w:pPr>
        <w:keepNext w:val="0"/>
        <w:numPr>
          <w:numId w:val="13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PBPM payments under models tested under section 1115A of the Act.</w:t>
      </w:r>
    </w:p>
    <w:p>
      <w:pPr>
        <w:keepNext w:val="0"/>
        <w:numPr>
          <w:numId w:val="1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items, services, and payments are excluded from the EPM episode:</w:t>
      </w:r>
    </w:p>
    <w:p>
      <w:pPr>
        <w:keepNext w:val="0"/>
        <w:numPr>
          <w:numId w:val="1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Hemophilia clotting factors provided in accordance with § 412.115 of this chapter.</w:t>
      </w:r>
    </w:p>
    <w:p>
      <w:pPr>
        <w:keepNext w:val="0"/>
        <w:numPr>
          <w:numId w:val="1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technology add-on payments for medical devices as defined in part 412, subpart F, of this chapter.</w:t>
      </w:r>
    </w:p>
    <w:p>
      <w:pPr>
        <w:keepNext w:val="0"/>
        <w:numPr>
          <w:numId w:val="1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Transitional pass-through payments for medical devices as defined in § 419.66 of this chapter.</w:t>
      </w:r>
    </w:p>
    <w:p>
      <w:pPr>
        <w:keepNext w:val="0"/>
        <w:numPr>
          <w:numId w:val="1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and services unrelated to the anchor MS-DRG that initiates the EPM episode, as determined by CMS. Excluded services include, but are not limited, to the following:</w:t>
      </w:r>
    </w:p>
    <w:p>
      <w:pPr>
        <w:keepNext w:val="0"/>
        <w:numPr>
          <w:numId w:val="13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hospital admissions for MS-DRGs that group to the following categories of diagnoses:</w:t>
      </w:r>
    </w:p>
    <w:p>
      <w:pPr>
        <w:keepNext w:val="0"/>
        <w:numPr>
          <w:numId w:val="1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Oncology.</w:t>
      </w:r>
    </w:p>
    <w:p>
      <w:pPr>
        <w:keepNext w:val="0"/>
        <w:numPr>
          <w:numId w:val="13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Trauma medical.</w:t>
      </w:r>
    </w:p>
    <w:p>
      <w:pPr>
        <w:keepNext w:val="0"/>
        <w:numPr>
          <w:numId w:val="1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Chronic disease surgical unrelated to a condition likely to have been affected by care during the EPM episode, such as prostatectomy.</w:t>
      </w:r>
    </w:p>
    <w:p>
      <w:pPr>
        <w:keepNext w:val="0"/>
        <w:numPr>
          <w:numId w:val="1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Acute disease surgical unrelated to a condition resulting from or likely to have been affected by care during the EPM episode, such as appendectomy.</w:t>
      </w:r>
    </w:p>
    <w:p>
      <w:pPr>
        <w:keepNext w:val="0"/>
        <w:numPr>
          <w:numId w:val="1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Medicare Part B services during the 90-day post-discharge period and additionally DME during the anchor hospitalization, as identified by the principal ICD-CM diagnosis code on the claim that groups to the following categories of diagnoses:</w:t>
      </w:r>
    </w:p>
    <w:p>
      <w:pPr>
        <w:keepNext w:val="0"/>
        <w:numPr>
          <w:numId w:val="1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Acute disease diagnoses unrelated to a condition resulting from or likely to have been affected care during the EPM episode, such as severe head injury.</w:t>
      </w:r>
    </w:p>
    <w:p>
      <w:pPr>
        <w:keepNext w:val="0"/>
        <w:numPr>
          <w:numId w:val="1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Certain chronic disease diagnoses, as specified by CMS on a diagnosis-by-diagnosis basis depending on whether the condition was likely to have been affected by care during the EPM episode or whether substantial services were likely to be provided for the chronic condition during the EPM episode.</w:t>
      </w:r>
    </w:p>
    <w:p>
      <w:pPr>
        <w:keepNext w:val="0"/>
        <w:numPr>
          <w:numId w:val="13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Certain PBPM payments under models tested under section 1115A of the Act that CMS determines to be primarily used for care coordination or care management services for clinical conditions in excluded categories of diagnoses for an EPM, as described in paragraphs (b)(4)(i) and (ii) of this section.</w:t>
      </w:r>
    </w:p>
    <w:p>
      <w:pPr>
        <w:keepNext w:val="0"/>
        <w:numPr>
          <w:numId w:val="1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PBPM model payments funded from the Innovation Center appropriation.</w:t>
      </w:r>
    </w:p>
    <w:p>
      <w:pPr>
        <w:numPr>
          <w:numId w:val="1381"/>
        </w:numPr>
        <w:spacing w:before="120" w:line="240" w:lineRule="atLeast"/>
      </w:pPr>
      <w:r>
        <w:rPr>
          <w:b/>
          <w:i/>
          <w:sz w:val="20"/>
        </w:rPr>
        <w:t>ts for EPMs.</w:t>
      </w:r>
    </w:p>
    <w:p>
      <w:pPr>
        <w:keepNext w:val="0"/>
        <w:numPr>
          <w:numId w:val="1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exclusion list that applies to each anchor MS-DRG for an EPM episode and that displays excluded MS-DRGs, ICD-9-CM and ICD-10-CM diagnosis codes, and CMS model PBPM payments is posted on the CMS Web site.</w:t>
      </w:r>
    </w:p>
    <w:p>
      <w:pPr>
        <w:keepNext w:val="0"/>
        <w:numPr>
          <w:numId w:val="1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an annual basis, or more frequently as needed, CMS updates the EPM exclusion lists to reflect annual coding changes or other issues brought to CMS' attention.</w:t>
      </w:r>
    </w:p>
    <w:p>
      <w:pPr>
        <w:keepNext w:val="0"/>
        <w:numPr>
          <w:numId w:val="1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applies the following standards when revising the EPM exclusion lists for reasons other than to reflect annual coding changes:</w:t>
      </w:r>
    </w:p>
    <w:p>
      <w:pPr>
        <w:keepNext w:val="0"/>
        <w:numPr>
          <w:numId w:val="13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or services that are directly related to the EPM episode or the quality or safety of the EPM episode care are included in the EPM episode.</w:t>
      </w:r>
    </w:p>
    <w:p>
      <w:pPr>
        <w:keepNext w:val="0"/>
        <w:numPr>
          <w:numId w:val="1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or services for chronic conditions that may be affected by the EPM episode care are related and included in the EPM episode.</w:t>
      </w:r>
    </w:p>
    <w:p>
      <w:pPr>
        <w:keepNext w:val="0"/>
        <w:numPr>
          <w:numId w:val="13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and services for chronic conditions that are generally not affected by the EPM episode care are excluded from the EPM episode.</w:t>
      </w:r>
    </w:p>
    <w:p>
      <w:pPr>
        <w:keepNext w:val="0"/>
        <w:numPr>
          <w:numId w:val="13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and services for acute clinical conditions not arising from existing EPM episode-related chronic clinical conditions or complications of EPM episode care are excluded from the EPM episode.</w:t>
      </w:r>
    </w:p>
    <w:p>
      <w:pPr>
        <w:keepNext w:val="0"/>
        <w:numPr>
          <w:numId w:val="13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PBPM payments under CMS models determined to be primarily used for care coordination or care management services for clinical conditions in excluded categories of diagnoses for an EPM, as described in paragraph (b)(4)(iii) of this section, are excluded from the EPM episode.</w:t>
      </w:r>
    </w:p>
    <w:p>
      <w:pPr>
        <w:keepNext w:val="0"/>
        <w:numPr>
          <w:numId w:val="1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posts the following on the CMS Web site:</w:t>
      </w:r>
    </w:p>
    <w:p>
      <w:pPr>
        <w:keepNext w:val="0"/>
        <w:numPr>
          <w:numId w:val="13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Potential revisions to the EPM exclusion lists to allow for public comment; and</w:t>
      </w:r>
    </w:p>
    <w:p>
      <w:pPr>
        <w:keepNext w:val="0"/>
        <w:numPr>
          <w:numId w:val="1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Updated EPM exclusion lists after consideration of public comment.</w:t>
      </w:r>
    </w:p>
    <w:p>
      <w:pPr>
        <w:numPr>
          <w:numId w:val="1390"/>
        </w:numPr>
        <w:spacing w:before="120" w:line="240" w:lineRule="atLeast"/>
      </w:pPr>
      <w:r>
        <w:rPr>
          <w:b/>
          <w:i w:val="0"/>
          <w:sz w:val="20"/>
        </w:rPr>
        <w:t>n criteria.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EPM episode care is furnished to beneficiaries who meet all of the following criteria upon admission to the anchor hospitalization:</w:t>
      </w:r>
    </w:p>
    <w:p>
      <w:pPr>
        <w:keepNext w:val="0"/>
        <w:numPr>
          <w:numId w:val="1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Part A and Part B.</w:t>
      </w:r>
    </w:p>
    <w:p>
      <w:pPr>
        <w:keepNext w:val="0"/>
        <w:numPr>
          <w:numId w:val="1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Eligibility for Medicare is not based on end-stage renal disease, as described in § 406.13 of this chapter.</w:t>
      </w:r>
    </w:p>
    <w:p>
      <w:pPr>
        <w:keepNext w:val="0"/>
        <w:numPr>
          <w:numId w:val="1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enrolled in any managed care plan (for example, Medicare Advantage, health care prepayment plans, or cost-based health maintenance organizations).</w:t>
      </w:r>
    </w:p>
    <w:p>
      <w:pPr>
        <w:keepNext w:val="0"/>
        <w:numPr>
          <w:numId w:val="1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covered under a United Mine Workers of America health care plan.</w:t>
      </w:r>
    </w:p>
    <w:p>
      <w:pPr>
        <w:keepNext w:val="0"/>
        <w:numPr>
          <w:numId w:val="1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Have Medicare as their primary payer pursuant to the requirements in § 411.20 of this chapter. </w:t>
      </w:r>
      <w:r>
        <w:rPr>
          <w:rFonts w:ascii="arial" w:eastAsia="arial" w:hAnsi="arial" w:cs="arial"/>
          <w:b/>
          <w:i w:val="0"/>
          <w:strike w:val="0"/>
          <w:noProof w:val="0"/>
          <w:color w:val="000000"/>
          <w:position w:val="0"/>
          <w:sz w:val="20"/>
          <w:u w:val="none"/>
          <w:vertAlign w:val="baseline"/>
        </w:rPr>
        <w:t> [*629] </w:t>
      </w:r>
    </w:p>
    <w:p>
      <w:pPr>
        <w:keepNext w:val="0"/>
        <w:numPr>
          <w:numId w:val="1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prospectively assigned to one of the following:--</w:t>
      </w:r>
    </w:p>
    <w:p>
      <w:pPr>
        <w:keepNext w:val="0"/>
        <w:numPr>
          <w:numId w:val="1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ACO in the Next Generation ACO model;</w:t>
      </w:r>
    </w:p>
    <w:p>
      <w:pPr>
        <w:keepNext w:val="0"/>
        <w:numPr>
          <w:numId w:val="1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ACO in a track of the Comprehensive ESRD Care Model incorporating downside risk for financial losses; or</w:t>
      </w:r>
    </w:p>
    <w:p>
      <w:pPr>
        <w:keepNext w:val="0"/>
        <w:numPr>
          <w:numId w:val="1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Shared Savings Program ACO in Track 3.</w:t>
      </w:r>
    </w:p>
    <w:p>
      <w:pPr>
        <w:keepNext w:val="0"/>
        <w:numPr>
          <w:numId w:val="1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under the care of an attending or operating physician, as designated on the inpatient hospital claim, who is a member of a physician group practice that initiates BPCI Model 2 episodes at the EPM participant for the MS-DRG that would be the anchor MS-DRG under the EPM.</w:t>
      </w:r>
    </w:p>
    <w:p>
      <w:pPr>
        <w:keepNext w:val="0"/>
        <w:numPr>
          <w:numId w:val="1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already in any BPCI model episode.</w:t>
      </w:r>
    </w:p>
    <w:p>
      <w:pPr>
        <w:keepNext w:val="0"/>
        <w:numPr>
          <w:numId w:val="1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already in an AMI; SHFFT; CABG; or CJR model episode with an episode definition that does not exclude the MS-DRG that would be the anchor MS-DRG under the EPM.</w:t>
      </w:r>
    </w:p>
    <w:p>
      <w:pPr>
        <w:numPr>
          <w:numId w:val="1393"/>
        </w:numPr>
        <w:spacing w:before="120" w:line="240" w:lineRule="atLeast"/>
      </w:pPr>
      <w:r>
        <w:rPr>
          <w:b/>
          <w:i w:val="0"/>
          <w:sz w:val="20"/>
        </w:rPr>
        <w:t xml:space="preserve"> EPM episode.</w:t>
      </w:r>
    </w:p>
    <w:p>
      <w:pPr>
        <w:numPr>
          <w:numId w:val="1394"/>
        </w:numPr>
        <w:spacing w:before="120" w:line="240" w:lineRule="atLeast"/>
      </w:pPr>
    </w:p>
    <w:p>
      <w:pPr>
        <w:keepNext w:val="0"/>
        <w:numPr>
          <w:numId w:val="13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AMI episode begins with the admission of a Medicare beneficiary as described in § 512.230 to an AMI model participant for an anchor hospitalization and ends on the 90th day after the date of discharge, with the day of discharge itself being counted as the first day in the 90-day post-discharge period.</w:t>
      </w:r>
    </w:p>
    <w:p>
      <w:pPr>
        <w:keepNext w:val="0"/>
        <w:numPr>
          <w:numId w:val="1396"/>
        </w:numPr>
        <w:spacing w:before="120" w:after="0" w:line="260" w:lineRule="atLeast"/>
        <w:ind w:right="0"/>
        <w:jc w:val="both"/>
      </w:pPr>
      <w:r>
        <w:rPr>
          <w:b/>
          <w:i/>
          <w:sz w:val="20"/>
        </w:rPr>
        <w:t>el episode.</w:t>
      </w:r>
      <w:r>
        <w:rPr>
          <w:rFonts w:ascii="arial" w:eastAsia="arial" w:hAnsi="arial" w:cs="arial"/>
          <w:b w:val="0"/>
          <w:i w:val="0"/>
          <w:strike w:val="0"/>
          <w:noProof w:val="0"/>
          <w:color w:val="000000"/>
          <w:position w:val="0"/>
          <w:sz w:val="20"/>
          <w:u w:val="none"/>
          <w:vertAlign w:val="baseline"/>
        </w:rPr>
        <w:t>The AMI episode is canceled and is not included in the determination of NPRA as specified in § 512.305 if the beneficiary does any of the following during the episode:</w:t>
      </w:r>
    </w:p>
    <w:p>
      <w:pPr>
        <w:keepNext w:val="0"/>
        <w:numPr>
          <w:numId w:val="13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Ceases to meet any criterion listed in § 512.230(a) through (f).</w:t>
      </w:r>
    </w:p>
    <w:p>
      <w:pPr>
        <w:keepNext w:val="0"/>
        <w:numPr>
          <w:numId w:val="13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Dies.</w:t>
      </w:r>
    </w:p>
    <w:p>
      <w:pPr>
        <w:keepNext w:val="0"/>
        <w:numPr>
          <w:numId w:val="1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transferred during the anchor hospitalization for inpatient hospitalization at another hospital.</w:t>
      </w:r>
    </w:p>
    <w:p>
      <w:pPr>
        <w:keepNext w:val="0"/>
        <w:numPr>
          <w:numId w:val="14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Initiates any BPCI model episode.</w:t>
      </w:r>
    </w:p>
    <w:p>
      <w:pPr>
        <w:numPr>
          <w:numId w:val="1401"/>
        </w:numPr>
        <w:spacing w:before="120" w:line="240" w:lineRule="atLeast"/>
      </w:pPr>
    </w:p>
    <w:p>
      <w:pPr>
        <w:keepNext w:val="0"/>
        <w:numPr>
          <w:numId w:val="14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CABG episode begins with the admission of a Medicare beneficiary as described in § 512.230 to a CABG model participant for an anchor hospitalization and ends on the 90th day after the date of discharge, with the day of discharge itself being counted as the first day in the 90-day post-discharge period.</w:t>
      </w:r>
    </w:p>
    <w:p>
      <w:pPr>
        <w:keepNext w:val="0"/>
        <w:numPr>
          <w:numId w:val="1403"/>
        </w:numPr>
        <w:spacing w:before="120" w:after="0" w:line="260" w:lineRule="atLeast"/>
        <w:ind w:right="0"/>
        <w:jc w:val="both"/>
      </w:pPr>
      <w:r>
        <w:rPr>
          <w:b/>
          <w:i/>
          <w:sz w:val="20"/>
        </w:rPr>
        <w:t>el episode.</w:t>
      </w:r>
      <w:r>
        <w:rPr>
          <w:rFonts w:ascii="arial" w:eastAsia="arial" w:hAnsi="arial" w:cs="arial"/>
          <w:b w:val="0"/>
          <w:i w:val="0"/>
          <w:strike w:val="0"/>
          <w:noProof w:val="0"/>
          <w:color w:val="000000"/>
          <w:position w:val="0"/>
          <w:sz w:val="20"/>
          <w:u w:val="none"/>
          <w:vertAlign w:val="baseline"/>
        </w:rPr>
        <w:t>The CABG episode is canceled and is not included in the determination of NPRA as specified in § 512.305 if the beneficiary does any of the following during the episode:</w:t>
      </w:r>
    </w:p>
    <w:p>
      <w:pPr>
        <w:keepNext w:val="0"/>
        <w:numPr>
          <w:numId w:val="1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Ceases to meet any criterion listed in § 512.230(a) through (f).</w:t>
      </w:r>
    </w:p>
    <w:p>
      <w:pPr>
        <w:keepNext w:val="0"/>
        <w:numPr>
          <w:numId w:val="1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Dies.</w:t>
      </w:r>
    </w:p>
    <w:p>
      <w:pPr>
        <w:keepNext w:val="0"/>
        <w:numPr>
          <w:numId w:val="14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Initiates any BPCI model episode.</w:t>
      </w:r>
    </w:p>
    <w:p>
      <w:pPr>
        <w:numPr>
          <w:numId w:val="1407"/>
        </w:numPr>
        <w:spacing w:before="120" w:line="240" w:lineRule="atLeast"/>
      </w:pPr>
    </w:p>
    <w:p>
      <w:pPr>
        <w:keepNext w:val="0"/>
        <w:numPr>
          <w:numId w:val="1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SHFFT episode begins with the admission of a Medicare beneficiary as described in § 512.230 to a SHFFT model participant for an anchor hospitalization and ends on the 90th day after the date of discharge, with the day of discharge itself being counted as the first day in the 90-day post-discharge period.</w:t>
      </w:r>
    </w:p>
    <w:p>
      <w:pPr>
        <w:keepNext w:val="0"/>
        <w:numPr>
          <w:numId w:val="1409"/>
        </w:numPr>
        <w:spacing w:before="120" w:after="0" w:line="260" w:lineRule="atLeast"/>
        <w:ind w:right="0"/>
        <w:jc w:val="both"/>
      </w:pPr>
      <w:r>
        <w:rPr>
          <w:b/>
          <w:i/>
          <w:sz w:val="20"/>
        </w:rPr>
        <w:t>del episode.</w:t>
      </w:r>
      <w:r>
        <w:rPr>
          <w:rFonts w:ascii="arial" w:eastAsia="arial" w:hAnsi="arial" w:cs="arial"/>
          <w:b w:val="0"/>
          <w:i w:val="0"/>
          <w:strike w:val="0"/>
          <w:noProof w:val="0"/>
          <w:color w:val="000000"/>
          <w:position w:val="0"/>
          <w:sz w:val="20"/>
          <w:u w:val="none"/>
          <w:vertAlign w:val="baseline"/>
        </w:rPr>
        <w:t>The SHFFT episode is canceled and is not included in the determination of NPRA as specified in § 512.305 if the beneficiary does any of the following during the episode:</w:t>
      </w:r>
    </w:p>
    <w:p>
      <w:pPr>
        <w:keepNext w:val="0"/>
        <w:numPr>
          <w:numId w:val="14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Ceases to meet any criterion listed in § 512.230 (a) through (f).</w:t>
      </w:r>
    </w:p>
    <w:p>
      <w:pPr>
        <w:keepNext w:val="0"/>
        <w:numPr>
          <w:numId w:val="14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Dies.</w:t>
      </w:r>
    </w:p>
    <w:p>
      <w:pPr>
        <w:keepNext w:val="0"/>
        <w:numPr>
          <w:numId w:val="14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Initiates any BPCI model episode.</w:t>
      </w:r>
    </w:p>
    <w:p>
      <w:pPr>
        <w:numPr>
          <w:numId w:val="1413"/>
        </w:numPr>
        <w:spacing w:before="120" w:line="240" w:lineRule="atLeast"/>
      </w:pPr>
      <w:r>
        <w:rPr>
          <w:b/>
          <w:i w:val="0"/>
          <w:sz w:val="20"/>
        </w:rPr>
        <w:t>t</w:t>
      </w:r>
    </w:p>
    <w:p>
      <w:pPr>
        <w:numPr>
          <w:numId w:val="1414"/>
        </w:numPr>
        <w:spacing w:before="120" w:line="240" w:lineRule="atLeast"/>
      </w:pPr>
      <w:r>
        <w:rPr>
          <w:b/>
          <w:i w:val="0"/>
          <w:sz w:val="20"/>
        </w:rPr>
        <w:t>sode quality-adjusted target prices and actual episode payments.</w:t>
      </w:r>
    </w:p>
    <w:p>
      <w:pPr>
        <w:keepNext w:val="0"/>
        <w:numPr>
          <w:numId w:val="1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establishes episode quality-adjusted target prices and calculates actual episode payments for EPM participants for each performance year of the EPMs as specified in this section.</w:t>
      </w:r>
    </w:p>
    <w:p>
      <w:pPr>
        <w:keepNext w:val="0"/>
        <w:numPr>
          <w:numId w:val="1416"/>
        </w:numPr>
        <w:spacing w:before="120" w:after="0" w:line="260" w:lineRule="atLeast"/>
        <w:ind w:right="0"/>
        <w:jc w:val="both"/>
      </w:pPr>
      <w:r>
        <w:rPr>
          <w:b/>
          <w:i/>
          <w:sz w:val="20"/>
        </w:rPr>
        <w:t>y-adjusted target prices.</w:t>
      </w:r>
      <w:r>
        <w:rPr>
          <w:rFonts w:ascii="arial" w:eastAsia="arial" w:hAnsi="arial" w:cs="arial"/>
          <w:b w:val="0"/>
          <w:i w:val="0"/>
          <w:strike w:val="0"/>
          <w:noProof w:val="0"/>
          <w:color w:val="000000"/>
          <w:position w:val="0"/>
          <w:sz w:val="20"/>
          <w:u w:val="none"/>
          <w:vertAlign w:val="baseline"/>
        </w:rPr>
        <w:t>Episode quality-adjusted target prices and actual episode payments are calculated for episodes according to the following:</w:t>
      </w:r>
    </w:p>
    <w:p>
      <w:pPr>
        <w:keepNext w:val="0"/>
        <w:numPr>
          <w:numId w:val="14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episodes involving AMI, MS-DRGs.</w:t>
      </w:r>
    </w:p>
    <w:p>
      <w:pPr>
        <w:keepNext w:val="0"/>
        <w:numPr>
          <w:numId w:val="14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280 (Acute myocardial infarction, discharged alive with MCC).</w:t>
      </w:r>
    </w:p>
    <w:p>
      <w:pPr>
        <w:keepNext w:val="0"/>
        <w:numPr>
          <w:numId w:val="14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281 (Acute myocardial infarction, discharged alive with CC).</w:t>
      </w:r>
    </w:p>
    <w:p>
      <w:pPr>
        <w:keepNext w:val="0"/>
        <w:numPr>
          <w:numId w:val="1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282 (Acute myocardial infarction, discharged alive without CC/MCC).</w:t>
      </w:r>
    </w:p>
    <w:p>
      <w:pPr>
        <w:keepNext w:val="0"/>
        <w:numPr>
          <w:numId w:val="1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246 (Perc cardiovasc proc with drug-eluting stent with MCC or 4+ vessels/stents).</w:t>
      </w:r>
    </w:p>
    <w:p>
      <w:pPr>
        <w:keepNext w:val="0"/>
        <w:numPr>
          <w:numId w:val="14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247 (Perc cardiovasc proc with drug-eluting stent without MCC).</w:t>
      </w:r>
    </w:p>
    <w:p>
      <w:pPr>
        <w:keepNext w:val="0"/>
        <w:numPr>
          <w:numId w:val="14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248 (Perc cardiovasc proc with non-drug-eluting stent with MCC or 4+ vessels/stents).</w:t>
      </w:r>
    </w:p>
    <w:p>
      <w:pPr>
        <w:keepNext w:val="0"/>
        <w:numPr>
          <w:numId w:val="1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249 (Perc cardiovasc proc with non-drug-eluting stent without MCC).</w:t>
      </w:r>
    </w:p>
    <w:p>
      <w:pPr>
        <w:keepNext w:val="0"/>
        <w:numPr>
          <w:numId w:val="14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250 (Perc cardiovasc proc without coronary artery stent with MCC).</w:t>
      </w:r>
    </w:p>
    <w:p>
      <w:pPr>
        <w:keepNext w:val="0"/>
        <w:numPr>
          <w:numId w:val="14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251 (Perc cardiovasc proc without coronary artery stent without MCC).</w:t>
      </w:r>
    </w:p>
    <w:p>
      <w:pPr>
        <w:keepNext w:val="0"/>
        <w:numPr>
          <w:numId w:val="14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episodes involving CABG, MS-DRGs.</w:t>
      </w:r>
    </w:p>
    <w:p>
      <w:pPr>
        <w:keepNext w:val="0"/>
        <w:numPr>
          <w:numId w:val="14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231 (Coronary bypass with PTCA with MCC).</w:t>
      </w:r>
    </w:p>
    <w:p>
      <w:pPr>
        <w:keepNext w:val="0"/>
        <w:numPr>
          <w:numId w:val="14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232 (Coronary bypass with PTCA without MCC).</w:t>
      </w:r>
    </w:p>
    <w:p>
      <w:pPr>
        <w:keepNext w:val="0"/>
        <w:numPr>
          <w:numId w:val="1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233 (Coronary bypass with cardiac cath with MCC).</w:t>
      </w:r>
    </w:p>
    <w:p>
      <w:pPr>
        <w:keepNext w:val="0"/>
        <w:numPr>
          <w:numId w:val="1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234 (Coronary bypass with cardiac cath without MCC).</w:t>
      </w:r>
    </w:p>
    <w:p>
      <w:pPr>
        <w:keepNext w:val="0"/>
        <w:numPr>
          <w:numId w:val="14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235 (Coronary bypass without cardiac cath with MCC).</w:t>
      </w:r>
    </w:p>
    <w:p>
      <w:pPr>
        <w:keepNext w:val="0"/>
        <w:numPr>
          <w:numId w:val="14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236 (Coronary bypass without cardiac cath without MCC).</w:t>
      </w:r>
    </w:p>
    <w:p>
      <w:pPr>
        <w:keepNext w:val="0"/>
        <w:numPr>
          <w:numId w:val="14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episodes involving SHFFT, MS-DRGs.</w:t>
      </w:r>
    </w:p>
    <w:p>
      <w:pPr>
        <w:keepNext w:val="0"/>
        <w:numPr>
          <w:numId w:val="14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480 (Hip and femur procedures except major joint with MCC).</w:t>
      </w:r>
    </w:p>
    <w:p>
      <w:pPr>
        <w:keepNext w:val="0"/>
        <w:numPr>
          <w:numId w:val="1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481 (Hip and femur procedures except major joint with CC).</w:t>
      </w:r>
    </w:p>
    <w:p>
      <w:pPr>
        <w:keepNext w:val="0"/>
        <w:numPr>
          <w:numId w:val="1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482 (Hip and femur procedures except major joint without CC or MCC).</w:t>
      </w:r>
    </w:p>
    <w:p>
      <w:pPr>
        <w:keepNext w:val="0"/>
        <w:numPr>
          <w:numId w:val="1436"/>
        </w:numPr>
        <w:spacing w:before="120" w:after="0" w:line="260" w:lineRule="atLeast"/>
        <w:ind w:right="0"/>
        <w:jc w:val="both"/>
      </w:pPr>
      <w:r>
        <w:rPr>
          <w:b/>
          <w:i/>
          <w:sz w:val="20"/>
        </w:rPr>
        <w:t>ed target prices.</w:t>
      </w:r>
      <w:r>
        <w:rPr>
          <w:rFonts w:ascii="arial" w:eastAsia="arial" w:hAnsi="arial" w:cs="arial"/>
          <w:b w:val="0"/>
          <w:i w:val="0"/>
          <w:strike w:val="0"/>
          <w:noProof w:val="0"/>
          <w:color w:val="000000"/>
          <w:position w:val="0"/>
          <w:sz w:val="20"/>
          <w:u w:val="none"/>
          <w:vertAlign w:val="baseline"/>
        </w:rPr>
        <w:t>CMS calculates quality adjusted target prices as specified in § 512.300(c)(1) through (13).</w:t>
      </w:r>
    </w:p>
    <w:p>
      <w:pPr>
        <w:keepNext w:val="0"/>
        <w:numPr>
          <w:numId w:val="1437"/>
        </w:numPr>
        <w:spacing w:before="120" w:after="0" w:line="260" w:lineRule="atLeast"/>
        <w:ind w:right="0"/>
        <w:jc w:val="both"/>
      </w:pPr>
      <w:r>
        <w:rPr>
          <w:b/>
          <w:i/>
          <w:sz w:val="20"/>
        </w:rPr>
        <w:t>cal expenditures.</w:t>
      </w:r>
      <w:r>
        <w:rPr>
          <w:rFonts w:ascii="arial" w:eastAsia="arial" w:hAnsi="arial" w:cs="arial"/>
          <w:b w:val="0"/>
          <w:i w:val="0"/>
          <w:strike w:val="0"/>
          <w:noProof w:val="0"/>
          <w:color w:val="000000"/>
          <w:position w:val="0"/>
          <w:sz w:val="20"/>
          <w:u w:val="none"/>
          <w:vertAlign w:val="baseline"/>
        </w:rPr>
        <w:t>CMS calculates historical expenditure calculations based on the following calendar years:</w:t>
      </w:r>
    </w:p>
    <w:p>
      <w:pPr>
        <w:keepNext w:val="0"/>
        <w:numPr>
          <w:numId w:val="1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Episodes beginning in 2013 through 2015 for performance years 1 and 2.</w:t>
      </w:r>
    </w:p>
    <w:p>
      <w:pPr>
        <w:keepNext w:val="0"/>
        <w:numPr>
          <w:numId w:val="14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Episodes beginning in 2015 through 2017 for performance years 3 and 4.</w:t>
      </w:r>
    </w:p>
    <w:p>
      <w:pPr>
        <w:keepNext w:val="0"/>
        <w:numPr>
          <w:numId w:val="14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Episodes beginning in 2017 through 2019 for performance year 5.</w:t>
      </w:r>
    </w:p>
    <w:p>
      <w:pPr>
        <w:keepNext w:val="0"/>
        <w:numPr>
          <w:numId w:val="1441"/>
        </w:numPr>
        <w:spacing w:before="120" w:after="0" w:line="260" w:lineRule="atLeast"/>
        <w:ind w:right="0"/>
        <w:jc w:val="both"/>
      </w:pPr>
      <w:r>
        <w:rPr>
          <w:b/>
          <w:i/>
          <w:sz w:val="20"/>
        </w:rPr>
        <w:t>-adjusted target prices.</w:t>
      </w:r>
      <w:r>
        <w:rPr>
          <w:rFonts w:ascii="arial" w:eastAsia="arial" w:hAnsi="arial" w:cs="arial"/>
          <w:b w:val="0"/>
          <w:i w:val="0"/>
          <w:strike w:val="0"/>
          <w:noProof w:val="0"/>
          <w:color w:val="000000"/>
          <w:position w:val="0"/>
          <w:sz w:val="20"/>
          <w:u w:val="none"/>
          <w:vertAlign w:val="baseline"/>
        </w:rPr>
        <w:t>CMS calculates quality-adjusted target prices based on a blend of each EPM-participant hospital-specific and regional historical episode expenditures.</w:t>
      </w:r>
    </w:p>
    <w:p>
      <w:pPr>
        <w:keepNext w:val="0"/>
        <w:numPr>
          <w:numId w:val="14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region corresponds to the U.S. Census Division associated with the primary address of the CCN of the EPM participant and the regional component is based on episodes occurring at all acute care hospitals in said region, except as follows.</w:t>
      </w:r>
    </w:p>
    <w:p>
      <w:pPr>
        <w:keepNext w:val="0"/>
        <w:numPr>
          <w:numId w:val="14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cases where an MSA selected for participation in an EPM spans more than one U.S. Census Division, the entire MSA is grouped into the U.S. Census Division where the largest city by population in the MSA is located for quality-adjusted target price and episode payment calculations.</w:t>
      </w:r>
    </w:p>
    <w:p>
      <w:pPr>
        <w:keepNext w:val="0"/>
        <w:numPr>
          <w:numId w:val="1444"/>
        </w:numPr>
        <w:spacing w:before="120" w:after="0" w:line="260" w:lineRule="atLeast"/>
        <w:ind w:right="0"/>
        <w:jc w:val="both"/>
      </w:pPr>
      <w:r>
        <w:rPr>
          <w:b/>
          <w:i/>
          <w:sz w:val="20"/>
        </w:rPr>
        <w:t>-adjusted target price blend.</w:t>
      </w:r>
      <w:r>
        <w:rPr>
          <w:rFonts w:ascii="arial" w:eastAsia="arial" w:hAnsi="arial" w:cs="arial"/>
          <w:b w:val="0"/>
          <w:i w:val="0"/>
          <w:strike w:val="0"/>
          <w:noProof w:val="0"/>
          <w:color w:val="000000"/>
          <w:position w:val="0"/>
          <w:sz w:val="20"/>
          <w:u w:val="none"/>
          <w:vertAlign w:val="baseline"/>
        </w:rPr>
        <w:t>The quality-adjusted target price blend consists of the following:</w:t>
      </w:r>
    </w:p>
    <w:p>
      <w:pPr>
        <w:keepNext w:val="0"/>
        <w:numPr>
          <w:numId w:val="1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Two-thirds of the EPM participant's own historical episode payments and one-third of the regional historical episode payments for performance years 1 and 2.</w:t>
      </w:r>
    </w:p>
    <w:p>
      <w:pPr>
        <w:keepNext w:val="0"/>
        <w:numPr>
          <w:numId w:val="14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One-third of the EPM participant's own historical episode payments and two-thirds of the regional historical episode payments for performance year 3.</w:t>
      </w:r>
    </w:p>
    <w:p>
      <w:pPr>
        <w:keepNext w:val="0"/>
        <w:numPr>
          <w:numId w:val="14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Regional historical episode payments for performance years 4 and 5.</w:t>
      </w:r>
    </w:p>
    <w:p>
      <w:pPr>
        <w:numPr>
          <w:numId w:val="1448"/>
        </w:numPr>
        <w:spacing w:before="120" w:line="240" w:lineRule="atLeast"/>
      </w:pPr>
      <w:r>
        <w:rPr>
          <w:b/>
          <w:i/>
          <w:sz w:val="20"/>
        </w:rPr>
        <w:t>ospitals.</w:t>
      </w:r>
    </w:p>
    <w:p>
      <w:pPr>
        <w:keepNext w:val="0"/>
        <w:numPr>
          <w:numId w:val="14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the SHFFT model, quality-adjusted target prices for participants with fewer than 50 SHFFT </w:t>
      </w:r>
      <w:r>
        <w:rPr>
          <w:rFonts w:ascii="arial" w:eastAsia="arial" w:hAnsi="arial" w:cs="arial"/>
          <w:b/>
          <w:i w:val="0"/>
          <w:strike w:val="0"/>
          <w:noProof w:val="0"/>
          <w:color w:val="000000"/>
          <w:position w:val="0"/>
          <w:sz w:val="20"/>
          <w:u w:val="none"/>
          <w:vertAlign w:val="baseline"/>
        </w:rPr>
        <w:t> [*630] </w:t>
      </w:r>
      <w:r>
        <w:rPr>
          <w:rFonts w:ascii="arial" w:eastAsia="arial" w:hAnsi="arial" w:cs="arial"/>
          <w:b w:val="0"/>
          <w:i w:val="0"/>
          <w:strike w:val="0"/>
          <w:noProof w:val="0"/>
          <w:color w:val="000000"/>
          <w:position w:val="0"/>
          <w:sz w:val="20"/>
          <w:u w:val="none"/>
          <w:vertAlign w:val="baseline"/>
        </w:rPr>
        <w:t xml:space="preserve"> model episodes in total across the 3 historical years of data used to calculate the quality-adjusted target price are based on 100 percent regional historical episode payments.</w:t>
      </w:r>
    </w:p>
    <w:p>
      <w:pPr>
        <w:keepNext w:val="0"/>
        <w:numPr>
          <w:numId w:val="1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AMI model, quality-adjusted target prices for anchor MS-DRGs 280-282 for participants with fewer than 75 AMI model episodes with anchor MS-DRGs 280-282 in total across the 3 historical years of data used to calculate the quality-adjusted target price are based on 100 percent regional historical episode payments.</w:t>
      </w:r>
    </w:p>
    <w:p>
      <w:pPr>
        <w:keepNext w:val="0"/>
        <w:numPr>
          <w:numId w:val="14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AMI model, quality-adjusted target prices for anchor MS-DRGs 246-251 for participants with fewer than 125 AMI model episodes with anchor MS-DRGs 246-251 in total across the 3 historical years of data used to calculate the quality-adjusted target price are based on 100 percent regional historical episode payments.</w:t>
      </w:r>
    </w:p>
    <w:p>
      <w:pPr>
        <w:keepNext w:val="0"/>
        <w:numPr>
          <w:numId w:val="14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CABG model, quality-adjusted target prices for participants with fewer than 50 CABG model episodes in total across the 3 historical years of data used to calculate the quality-adjusted target price are based on 100 percent regional historical episode payments.</w:t>
      </w:r>
    </w:p>
    <w:p>
      <w:pPr>
        <w:keepNext w:val="0"/>
        <w:numPr>
          <w:numId w:val="1453"/>
        </w:numPr>
        <w:spacing w:before="120" w:after="0" w:line="260" w:lineRule="atLeast"/>
        <w:ind w:right="0"/>
        <w:jc w:val="both"/>
      </w:pPr>
      <w:r>
        <w:rPr>
          <w:b/>
          <w:i/>
          <w:sz w:val="20"/>
        </w:rPr>
        <w:t>ged or split hospitals.</w:t>
      </w:r>
      <w:r>
        <w:rPr>
          <w:rFonts w:ascii="arial" w:eastAsia="arial" w:hAnsi="arial" w:cs="arial"/>
          <w:b w:val="0"/>
          <w:i w:val="0"/>
          <w:strike w:val="0"/>
          <w:noProof w:val="0"/>
          <w:color w:val="000000"/>
          <w:position w:val="0"/>
          <w:sz w:val="20"/>
          <w:u w:val="none"/>
          <w:vertAlign w:val="baseline"/>
        </w:rPr>
        <w:t>EPM-participant hospital-specific historical episode payments for EPM participants that have undergone a merger, consolidation, spin off or other reorganization that results in a new hospital entity without 3 full years of historical claims data are determined using the historical episode payments attributed to their predecessor(s).</w:t>
      </w:r>
    </w:p>
    <w:p>
      <w:pPr>
        <w:keepNext w:val="0"/>
        <w:numPr>
          <w:numId w:val="1454"/>
        </w:numPr>
        <w:spacing w:before="120" w:after="0" w:line="260" w:lineRule="atLeast"/>
        <w:ind w:right="0"/>
        <w:jc w:val="both"/>
      </w:pPr>
      <w:r>
        <w:rPr>
          <w:b/>
          <w:i/>
          <w:sz w:val="20"/>
        </w:rPr>
        <w:t>formance years or payment updates.</w:t>
      </w:r>
      <w:r>
        <w:rPr>
          <w:rFonts w:ascii="arial" w:eastAsia="arial" w:hAnsi="arial" w:cs="arial"/>
          <w:b w:val="0"/>
          <w:i w:val="0"/>
          <w:strike w:val="0"/>
          <w:noProof w:val="0"/>
          <w:color w:val="000000"/>
          <w:position w:val="0"/>
          <w:sz w:val="20"/>
          <w:u w:val="none"/>
          <w:vertAlign w:val="baseline"/>
        </w:rPr>
        <w:t>Where an episode straddles performance years or payment updates, the quality-adjusted target price is based on the quality-adjusted target price for the type of episode as of the date of admission for the anchor hospitalization.</w:t>
      </w:r>
    </w:p>
    <w:p>
      <w:pPr>
        <w:numPr>
          <w:numId w:val="1455"/>
        </w:numPr>
        <w:spacing w:before="120" w:line="240" w:lineRule="atLeast"/>
      </w:pPr>
      <w:r>
        <w:rPr>
          <w:b/>
          <w:i/>
          <w:sz w:val="20"/>
        </w:rPr>
        <w:t>spitalizations under the AMI and CABG models --</w:t>
      </w:r>
    </w:p>
    <w:p>
      <w:pPr>
        <w:keepNext w:val="0"/>
        <w:numPr>
          <w:numId w:val="1456"/>
        </w:numPr>
        <w:spacing w:before="120" w:after="0" w:line="260" w:lineRule="atLeast"/>
        <w:ind w:right="0"/>
        <w:jc w:val="both"/>
      </w:pPr>
      <w:r>
        <w:rPr>
          <w:b/>
          <w:i/>
          <w:sz w:val="20"/>
        </w:rPr>
        <w:t xml:space="preserve"> episodes with anchor MS-DRGs 231-236.</w:t>
      </w:r>
      <w:r>
        <w:rPr>
          <w:rFonts w:ascii="arial" w:eastAsia="arial" w:hAnsi="arial" w:cs="arial"/>
          <w:b w:val="0"/>
          <w:i w:val="0"/>
          <w:strike w:val="0"/>
          <w:noProof w:val="0"/>
          <w:color w:val="000000"/>
          <w:position w:val="0"/>
          <w:sz w:val="20"/>
          <w:u w:val="none"/>
          <w:vertAlign w:val="baseline"/>
        </w:rPr>
        <w:t>The episode benchmark price for an episode with CABG anchor MS-DRG 231-236 is set based on the sum of expenditures during the anchor hospitalization portion and post-anchor hospitalization portion of the episode as follows:</w:t>
      </w:r>
    </w:p>
    <w:p>
      <w:pPr>
        <w:keepNext w:val="0"/>
        <w:numPr>
          <w:numId w:val="1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anchor hospitalization portion of the episode benchmark price is set based on the CABG anchor MS-DRG at discharge.</w:t>
      </w:r>
    </w:p>
    <w:p>
      <w:pPr>
        <w:keepNext w:val="0"/>
        <w:numPr>
          <w:numId w:val="14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post-anchor hospitalization portion of the episode benchmark price is set separately for episodes:</w:t>
      </w:r>
    </w:p>
    <w:p>
      <w:pPr>
        <w:keepNext w:val="0"/>
        <w:numPr>
          <w:numId w:val="1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ICD-CM diagnosis code on the anchor inpatient claim and CABG anchor MS-DRG with major complication or comorbidity (231, 233, or 235).</w:t>
      </w:r>
    </w:p>
    <w:p>
      <w:pPr>
        <w:keepNext w:val="0"/>
        <w:numPr>
          <w:numId w:val="1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ICD-CM diagnosis code on the anchor inpatient claim and CABG anchor MS-DRG without major complication or comorbidity (232, 234, or 236).</w:t>
      </w:r>
    </w:p>
    <w:p>
      <w:pPr>
        <w:keepNext w:val="0"/>
        <w:numPr>
          <w:numId w:val="1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ICD-CM diagnosis code on the anchor inpatient claim and CABG anchor MS-DRG with major complication or comorbidity (231, 233, or 235).</w:t>
      </w:r>
    </w:p>
    <w:p>
      <w:pPr>
        <w:keepNext w:val="0"/>
        <w:numPr>
          <w:numId w:val="1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ICD-CM diagnosis code on the anchor inpatient claim and CABG anchor MS-DRG without major complication or comorbidity (232, 234, or 236).</w:t>
      </w:r>
    </w:p>
    <w:p>
      <w:pPr>
        <w:keepNext w:val="0"/>
        <w:numPr>
          <w:numId w:val="1460"/>
        </w:numPr>
        <w:spacing w:before="120" w:after="0" w:line="260" w:lineRule="atLeast"/>
        <w:ind w:right="0"/>
        <w:jc w:val="both"/>
      </w:pPr>
      <w:r>
        <w:rPr>
          <w:b/>
          <w:i/>
          <w:sz w:val="20"/>
        </w:rPr>
        <w:t>MI Model Episodes with CABG Readmissions.</w:t>
      </w:r>
      <w:r>
        <w:rPr>
          <w:rFonts w:ascii="arial" w:eastAsia="arial" w:hAnsi="arial" w:cs="arial"/>
          <w:b w:val="0"/>
          <w:i w:val="0"/>
          <w:strike w:val="0"/>
          <w:noProof w:val="0"/>
          <w:color w:val="000000"/>
          <w:position w:val="0"/>
          <w:sz w:val="20"/>
          <w:u w:val="none"/>
          <w:vertAlign w:val="baseline"/>
        </w:rPr>
        <w:t>The episode benchmark price for an AMI model episode with AMI anchor MS-DRG 280-282 or PCI anchor MS-DRG 246-251 with a readmission to any of CABG anchor MS-DRGs 231-236 is the sum of the anchor hospitalization portion of the CABG episode benchmark price corresponding to the MS-DRG of the CABG readmission and the episode benchmark price for the corresponding anchor MS-DRG that would be applied to the episode if it did not include a CABG readmission.</w:t>
      </w:r>
    </w:p>
    <w:p>
      <w:pPr>
        <w:keepNext w:val="0"/>
        <w:numPr>
          <w:numId w:val="1461"/>
        </w:numPr>
        <w:spacing w:before="120" w:after="0" w:line="260" w:lineRule="atLeast"/>
        <w:ind w:right="0"/>
        <w:jc w:val="both"/>
      </w:pPr>
      <w:r>
        <w:rPr>
          <w:b/>
          <w:i/>
          <w:sz w:val="20"/>
        </w:rPr>
        <w:t>n payments and Medicare repayments.</w:t>
      </w:r>
      <w:r>
        <w:rPr>
          <w:rFonts w:ascii="arial" w:eastAsia="arial" w:hAnsi="arial" w:cs="arial"/>
          <w:b w:val="0"/>
          <w:i w:val="0"/>
          <w:strike w:val="0"/>
          <w:noProof w:val="0"/>
          <w:color w:val="000000"/>
          <w:position w:val="0"/>
          <w:sz w:val="20"/>
          <w:u w:val="none"/>
          <w:vertAlign w:val="baseline"/>
        </w:rPr>
        <w:t>CMS will include certain reconciliation payments and Medicare repayments when updating quality adjusted target prices.</w:t>
      </w:r>
    </w:p>
    <w:p>
      <w:pPr>
        <w:keepNext w:val="0"/>
        <w:numPr>
          <w:numId w:val="1462"/>
        </w:numPr>
        <w:spacing w:before="120" w:after="0" w:line="260" w:lineRule="atLeast"/>
        <w:ind w:right="0"/>
        <w:jc w:val="both"/>
      </w:pPr>
      <w:r>
        <w:rPr>
          <w:b/>
          <w:i/>
          <w:sz w:val="20"/>
        </w:rPr>
        <w:t>n payments and Medicare repayments in BPCI initiative.</w:t>
      </w:r>
      <w:r>
        <w:rPr>
          <w:rFonts w:ascii="arial" w:eastAsia="arial" w:hAnsi="arial" w:cs="arial"/>
          <w:b w:val="0"/>
          <w:i w:val="0"/>
          <w:strike w:val="0"/>
          <w:noProof w:val="0"/>
          <w:color w:val="000000"/>
          <w:position w:val="0"/>
          <w:sz w:val="20"/>
          <w:u w:val="none"/>
          <w:vertAlign w:val="baseline"/>
        </w:rPr>
        <w:t>Reconciliation payments and Medicare repayments under § 512.305(d)(2) and (3) and those from episodes in the BPCI initiative are included when updating quality-adjusted target prices for performance years 3 through 5, subject to the adjustment for CABG model episodes in paragraph (c)(8)(ii) of this section.</w:t>
      </w:r>
    </w:p>
    <w:p>
      <w:pPr>
        <w:keepNext w:val="0"/>
        <w:numPr>
          <w:numId w:val="1463"/>
        </w:numPr>
        <w:spacing w:before="120" w:after="0" w:line="260" w:lineRule="atLeast"/>
        <w:ind w:right="0"/>
        <w:jc w:val="both"/>
      </w:pPr>
      <w:r>
        <w:rPr>
          <w:b/>
          <w:i/>
          <w:sz w:val="20"/>
        </w:rPr>
        <w:t>on payments and Medicare repayments in CABG model episodes.</w:t>
      </w:r>
      <w:r>
        <w:rPr>
          <w:rFonts w:ascii="arial" w:eastAsia="arial" w:hAnsi="arial" w:cs="arial"/>
          <w:b w:val="0"/>
          <w:i w:val="0"/>
          <w:strike w:val="0"/>
          <w:noProof w:val="0"/>
          <w:color w:val="000000"/>
          <w:position w:val="0"/>
          <w:sz w:val="20"/>
          <w:u w:val="none"/>
          <w:vertAlign w:val="baseline"/>
        </w:rPr>
        <w:t>When updating prices for CABG episodes, reconciliation payments and Medicare repayments under § 512.305(d)(2) and (d)(3) and from episodes included in the BPCI initiative will be apportioned proportionally to the anchor hospitalization and post-anchor hospitalization portions of historical CABG episodes. The proportions will be based on based on regional average historical episode payments that occurred during the anchor hospitalization portion of CABG model episodes and regional average historical episode payments that occurred during the post-anchor anchor hospitalization portion of CABG model episodes that were initiated during the 3 historical years.</w:t>
      </w:r>
    </w:p>
    <w:p>
      <w:pPr>
        <w:keepNext w:val="0"/>
        <w:numPr>
          <w:numId w:val="1464"/>
        </w:numPr>
        <w:spacing w:before="120" w:after="0" w:line="260" w:lineRule="atLeast"/>
        <w:ind w:right="0"/>
        <w:jc w:val="both"/>
      </w:pPr>
      <w:r>
        <w:rPr>
          <w:b/>
          <w:i/>
          <w:sz w:val="20"/>
        </w:rPr>
        <w:t>djusted target prices.</w:t>
      </w:r>
      <w:r>
        <w:rPr>
          <w:rFonts w:ascii="arial" w:eastAsia="arial" w:hAnsi="arial" w:cs="arial"/>
          <w:b w:val="0"/>
          <w:i w:val="0"/>
          <w:strike w:val="0"/>
          <w:noProof w:val="0"/>
          <w:color w:val="000000"/>
          <w:position w:val="0"/>
          <w:sz w:val="20"/>
          <w:u w:val="none"/>
          <w:vertAlign w:val="baseline"/>
        </w:rPr>
        <w:t>CMS communicates quality--adjusted target prices to EPM participants prior to the beginning of the performance period in which they apply.</w:t>
      </w:r>
    </w:p>
    <w:p>
      <w:pPr>
        <w:keepNext w:val="0"/>
        <w:numPr>
          <w:numId w:val="1465"/>
        </w:numPr>
        <w:spacing w:before="120" w:after="0" w:line="260" w:lineRule="atLeast"/>
        <w:ind w:right="0"/>
        <w:jc w:val="both"/>
      </w:pPr>
      <w:r>
        <w:rPr>
          <w:b/>
          <w:i/>
          <w:sz w:val="20"/>
        </w:rPr>
        <w:t>r updating quality-adjusted target prices.</w:t>
      </w:r>
      <w:r>
        <w:rPr>
          <w:rFonts w:ascii="arial" w:eastAsia="arial" w:hAnsi="arial" w:cs="arial"/>
          <w:b w:val="0"/>
          <w:i w:val="0"/>
          <w:strike w:val="0"/>
          <w:noProof w:val="0"/>
          <w:color w:val="000000"/>
          <w:position w:val="0"/>
          <w:sz w:val="20"/>
          <w:u w:val="none"/>
          <w:vertAlign w:val="baseline"/>
        </w:rPr>
        <w:t>In general quality-adjusted target prices are updated to account for Medicare payment updates no less than 2 times per year, for updated quality-adjusted target prices effective October 1 and January 1, and at other intervals if necessary as determined by CMS.</w:t>
      </w:r>
    </w:p>
    <w:p>
      <w:pPr>
        <w:keepNext w:val="0"/>
        <w:numPr>
          <w:numId w:val="1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CABG model episodes, quality-adjusted target prices are updated by separately updating the anchor hospitalization portion of the episode benchmark price and the post-anchor hospitalization portion of the episode benchmark price and then applying the effective discount factor.</w:t>
      </w:r>
    </w:p>
    <w:p>
      <w:pPr>
        <w:keepNext w:val="0"/>
        <w:numPr>
          <w:numId w:val="1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1468"/>
        </w:numPr>
        <w:spacing w:before="120" w:after="0" w:line="260" w:lineRule="atLeast"/>
        <w:ind w:right="0"/>
        <w:jc w:val="both"/>
      </w:pPr>
      <w:r>
        <w:rPr>
          <w:b/>
          <w:i/>
          <w:sz w:val="20"/>
        </w:rPr>
        <w:t>penditure data.</w:t>
      </w:r>
      <w:r>
        <w:rPr>
          <w:rFonts w:ascii="arial" w:eastAsia="arial" w:hAnsi="arial" w:cs="arial"/>
          <w:b w:val="0"/>
          <w:i w:val="0"/>
          <w:strike w:val="0"/>
          <w:noProof w:val="0"/>
          <w:color w:val="000000"/>
          <w:position w:val="0"/>
          <w:sz w:val="20"/>
          <w:u w:val="none"/>
          <w:vertAlign w:val="baseline"/>
        </w:rPr>
        <w:t>CMS trends historical expenditure data by applying separate national trend factors to episode payments. A trend factor is calculated for each of the first 2 years in the historical period based on the ratio of national average episode payments in the third year of the historical period to national average episode payments in each of the first 2 years in the historical period, for the following scenarios:</w:t>
      </w:r>
    </w:p>
    <w:p>
      <w:pPr>
        <w:keepNext w:val="0"/>
        <w:numPr>
          <w:numId w:val="14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Separately for each SHFFT anchor MS-DRGs 480 through 482.</w:t>
      </w:r>
    </w:p>
    <w:p>
      <w:pPr>
        <w:keepNext w:val="0"/>
        <w:numPr>
          <w:numId w:val="1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Separately for each AMI anchor MS-DRGs 280 through 282 and PCI anchor MS-DRGs 246 through 251 for AMI model episodes without CABG readmissions.</w:t>
      </w:r>
    </w:p>
    <w:p>
      <w:pPr>
        <w:keepNext w:val="0"/>
        <w:numPr>
          <w:numId w:val="14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CABG model episodes, separately for the anchor hospitalization portion and post-anchor hospitalization portion as follows:</w:t>
      </w:r>
    </w:p>
    <w:p>
      <w:pPr>
        <w:keepNext w:val="0"/>
        <w:numPr>
          <w:numId w:val="14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anchor hospitalization portion of CABG model episodes, separately for each CABG anchor MS-DRGs 231 through 236.</w:t>
      </w:r>
    </w:p>
    <w:p>
      <w:pPr>
        <w:keepNext w:val="0"/>
        <w:numPr>
          <w:numId w:val="1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post-anchor hospitalization portion of CABG model episodes, separately for episodes:</w:t>
      </w:r>
    </w:p>
    <w:p>
      <w:pPr>
        <w:keepNext w:val="0"/>
        <w:numPr>
          <w:numId w:val="1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ICD-CM diagnosis code on the anchor inpatient claim and CABG anchor MS-DRG with major complication or comorbidity (231, 233, or 235).</w:t>
      </w:r>
    </w:p>
    <w:p>
      <w:pPr>
        <w:keepNext w:val="0"/>
        <w:numPr>
          <w:numId w:val="1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With AMI ICD-CM diagnosis code on the anchor inpatient claim and CABG anchor MS-DRG without major </w:t>
      </w:r>
      <w:r>
        <w:rPr>
          <w:rFonts w:ascii="arial" w:eastAsia="arial" w:hAnsi="arial" w:cs="arial"/>
          <w:b/>
          <w:i w:val="0"/>
          <w:strike w:val="0"/>
          <w:noProof w:val="0"/>
          <w:color w:val="000000"/>
          <w:position w:val="0"/>
          <w:sz w:val="20"/>
          <w:u w:val="none"/>
          <w:vertAlign w:val="baseline"/>
        </w:rPr>
        <w:t> [*631] </w:t>
      </w:r>
      <w:r>
        <w:rPr>
          <w:rFonts w:ascii="arial" w:eastAsia="arial" w:hAnsi="arial" w:cs="arial"/>
          <w:b w:val="0"/>
          <w:i w:val="0"/>
          <w:strike w:val="0"/>
          <w:noProof w:val="0"/>
          <w:color w:val="000000"/>
          <w:position w:val="0"/>
          <w:sz w:val="20"/>
          <w:u w:val="none"/>
          <w:vertAlign w:val="baseline"/>
        </w:rPr>
        <w:t xml:space="preserve"> complication or comorbidity (232, 234, or 236).</w:t>
      </w:r>
    </w:p>
    <w:p>
      <w:pPr>
        <w:keepNext w:val="0"/>
        <w:numPr>
          <w:numId w:val="1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ICD-CM diagnosis code on the anchor inpatient claim and CABG anchor MS-DRG with major complication or comorbidity (231, 233, or 235).</w:t>
      </w:r>
    </w:p>
    <w:p>
      <w:pPr>
        <w:keepNext w:val="0"/>
        <w:numPr>
          <w:numId w:val="1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ICD-CM diagnosis code on the anchor inpatient claim and CABG anchor MS-DRG without major complication or comorbidity (232, 234, or 236).</w:t>
      </w:r>
    </w:p>
    <w:p>
      <w:pPr>
        <w:keepNext w:val="0"/>
        <w:numPr>
          <w:numId w:val="1475"/>
        </w:numPr>
        <w:spacing w:before="120" w:after="0" w:line="260" w:lineRule="atLeast"/>
        <w:ind w:right="0"/>
        <w:jc w:val="both"/>
      </w:pPr>
      <w:r>
        <w:rPr>
          <w:b/>
          <w:i/>
          <w:sz w:val="20"/>
        </w:rPr>
        <w:t>ation.</w:t>
      </w:r>
      <w:r>
        <w:rPr>
          <w:rFonts w:ascii="arial" w:eastAsia="arial" w:hAnsi="arial" w:cs="arial"/>
          <w:b w:val="0"/>
          <w:i w:val="0"/>
          <w:strike w:val="0"/>
          <w:noProof w:val="0"/>
          <w:color w:val="000000"/>
          <w:position w:val="0"/>
          <w:sz w:val="20"/>
          <w:u w:val="none"/>
          <w:vertAlign w:val="baseline"/>
        </w:rPr>
        <w:t>CMS applies the CMS Price (Payment) Standardization Detailed Methodology to remove wage level differences in calculating EPM-episode benchmark prices and actual EPM-episode payments. CMS reintroduces wage index variations by multiplying the blended and updated historical payments by a wage normalization factor of 0.7 * IPPS wage index + 0.3.</w:t>
      </w:r>
    </w:p>
    <w:p>
      <w:pPr>
        <w:keepNext w:val="0"/>
        <w:numPr>
          <w:numId w:val="1476"/>
        </w:numPr>
        <w:spacing w:before="120" w:after="0" w:line="260" w:lineRule="atLeast"/>
        <w:ind w:right="0"/>
        <w:jc w:val="both"/>
      </w:pPr>
      <w:r>
        <w:rPr>
          <w:b/>
          <w:i/>
          <w:sz w:val="20"/>
        </w:rPr>
        <w:t xml:space="preserve"> stable benchmark and quality-adjusted target prices.</w:t>
      </w:r>
      <w:r>
        <w:rPr>
          <w:rFonts w:ascii="arial" w:eastAsia="arial" w:hAnsi="arial" w:cs="arial"/>
          <w:b w:val="0"/>
          <w:i w:val="0"/>
          <w:strike w:val="0"/>
          <w:noProof w:val="0"/>
          <w:color w:val="000000"/>
          <w:position w:val="0"/>
          <w:sz w:val="20"/>
          <w:u w:val="none"/>
          <w:vertAlign w:val="baseline"/>
        </w:rPr>
        <w:t>For purposes of having sufficient episode volume to set stable EPM episode benchmark and quality-adjusted target prices, where applicable, CMS aggregates EPM episodes and portions of EPM episodes across dimensions that include anchor MS-DRGs, the presence of an AMI ICD-CM diagnosis code on the anchor inpatient claim, and the presence of a major complication or comorbidity for anchor CABG MS-DRGs.</w:t>
      </w:r>
    </w:p>
    <w:p>
      <w:pPr>
        <w:keepNext w:val="0"/>
        <w:numPr>
          <w:numId w:val="14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EPM, CMS combines episodes for anchor MS-DRGs adjusted for severity and hospital-specific and region-specific weights both for EPM participants and IPPS hospitals within each region for the purposes of blending EPM-participant hospital-specific components of the episode benchmark price and region-specific components of the episode benchmark price as follows:</w:t>
      </w:r>
    </w:p>
    <w:p>
      <w:pPr>
        <w:keepNext w:val="0"/>
        <w:numPr>
          <w:numId w:val="14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SHFFT model episodes, CMS combines episodes with anchor MS-DRGs 480 through 482.</w:t>
      </w:r>
    </w:p>
    <w:p>
      <w:pPr>
        <w:keepNext w:val="0"/>
        <w:numPr>
          <w:numId w:val="14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AMI model episodes with AMI anchor MS-DRGs in 280 through 282 or PCI anchor MS-DRGs 246 through 251 and without readmissions for CABG MS-DRGs, episodes with AMI anchor MS-DRGs 280 through 282 are grouped separately from episodes with PCI anchor MS-DRGs 246 through 251.</w:t>
      </w:r>
    </w:p>
    <w:p>
      <w:pPr>
        <w:keepNext w:val="0"/>
        <w:numPr>
          <w:numId w:val="1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CABG model episodes with CABG anchor MS-DRGs in 231 through 236, CMS separately groups the anchor hospitalization portion and the post-anchor hospitalization portion.</w:t>
      </w:r>
    </w:p>
    <w:p>
      <w:pPr>
        <w:keepNext w:val="0"/>
        <w:numPr>
          <w:numId w:val="14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anchor hospitalization portion of CABG model episodes, the anchor hospitalization portion is grouped by the CABG anchor MS-DRG.</w:t>
      </w:r>
    </w:p>
    <w:p>
      <w:pPr>
        <w:keepNext w:val="0"/>
        <w:numPr>
          <w:numId w:val="14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post-anchor hospitalization portion of CABG model episodes, the post-anchor hospitalization portion is grouped by episodes:</w:t>
      </w:r>
    </w:p>
    <w:p>
      <w:pPr>
        <w:keepNext w:val="0"/>
        <w:numPr>
          <w:numId w:val="14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ICD-CM diagnosis code on the anchor inpatient claim and anchor MS-DRG with major complication or comorbidity (231, 233, or 235).</w:t>
      </w:r>
    </w:p>
    <w:p>
      <w:pPr>
        <w:keepNext w:val="0"/>
        <w:numPr>
          <w:numId w:val="14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ICD-CM diagnosis code on the anchor inpatient claim and anchor MS-DRG without major complication or comorbidity (232, 234, or 236).</w:t>
      </w:r>
    </w:p>
    <w:p>
      <w:pPr>
        <w:keepNext w:val="0"/>
        <w:numPr>
          <w:numId w:val="1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ICD-CM diagnosis code on the anchor inpatient claim and anchor MS-DRG with major complication or comorbidity (231, 233, or 235).</w:t>
      </w:r>
    </w:p>
    <w:p>
      <w:pPr>
        <w:keepNext w:val="0"/>
        <w:numPr>
          <w:numId w:val="1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ICD-CM diagnosis code on the anchor inpatient claim and anchor MS-DRG without major complication or comorbidity (232, 234, or 236).</w:t>
      </w:r>
    </w:p>
    <w:p>
      <w:pPr>
        <w:keepNext w:val="0"/>
        <w:numPr>
          <w:numId w:val="1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blending EPM-participant hospital-specific and regional-specific components of the combined episodes, CMS separates episodes to calculate episode benchmark prices according to the episode anchor MS-DRG, subject to adjustments described in § 512.300(c)(7).</w:t>
      </w:r>
    </w:p>
    <w:p>
      <w:pPr>
        <w:keepNext w:val="0"/>
        <w:numPr>
          <w:numId w:val="1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EPM participant's quality-adjusted target prices incorporate an effective discount factor to reflect Medicare's portion of reduced expenditures from the EPM as described in this section.</w:t>
      </w:r>
    </w:p>
    <w:p>
      <w:pPr>
        <w:keepNext w:val="0"/>
        <w:numPr>
          <w:numId w:val="1488"/>
        </w:numPr>
        <w:spacing w:before="120" w:after="0" w:line="260" w:lineRule="atLeast"/>
        <w:ind w:right="0"/>
        <w:jc w:val="both"/>
      </w:pPr>
      <w:r>
        <w:rPr>
          <w:b/>
          <w:i/>
          <w:sz w:val="20"/>
        </w:rPr>
        <w:t>for reconciliation payments.</w:t>
      </w:r>
      <w:r>
        <w:rPr>
          <w:rFonts w:ascii="arial" w:eastAsia="arial" w:hAnsi="arial" w:cs="arial"/>
          <w:b w:val="0"/>
          <w:i w:val="0"/>
          <w:strike w:val="0"/>
          <w:noProof w:val="0"/>
          <w:color w:val="000000"/>
          <w:position w:val="0"/>
          <w:sz w:val="20"/>
          <w:u w:val="none"/>
          <w:vertAlign w:val="baseline"/>
        </w:rPr>
        <w:t>The effective discount factor for reconciliation payment in all performance years is determined by the EPM participant's quality category as provided in § 512.315(b)(5), (c)(5), and (d)(5).</w:t>
      </w:r>
    </w:p>
    <w:p>
      <w:pPr>
        <w:keepNext w:val="0"/>
        <w:numPr>
          <w:numId w:val="1489"/>
        </w:numPr>
        <w:spacing w:before="120" w:after="0" w:line="260" w:lineRule="atLeast"/>
        <w:ind w:right="0"/>
        <w:jc w:val="both"/>
      </w:pPr>
      <w:r>
        <w:rPr>
          <w:b/>
          <w:i/>
          <w:sz w:val="20"/>
        </w:rPr>
        <w:t xml:space="preserve"> for repayment amounts.</w:t>
      </w:r>
      <w:r>
        <w:rPr>
          <w:rFonts w:ascii="arial" w:eastAsia="arial" w:hAnsi="arial" w:cs="arial"/>
          <w:b w:val="0"/>
          <w:i w:val="0"/>
          <w:strike w:val="0"/>
          <w:noProof w:val="0"/>
          <w:color w:val="000000"/>
          <w:position w:val="0"/>
          <w:sz w:val="20"/>
          <w:u w:val="none"/>
          <w:vertAlign w:val="baseline"/>
        </w:rPr>
        <w:t>The applicable discount factor for repayment amounts is--</w:t>
      </w:r>
    </w:p>
    <w:p>
      <w:pPr>
        <w:keepNext w:val="0"/>
        <w:numPr>
          <w:numId w:val="14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applicable in performance year 1, as the requirement for EPM participant repayment is waived.</w:t>
      </w:r>
    </w:p>
    <w:p>
      <w:pPr>
        <w:keepNext w:val="0"/>
        <w:numPr>
          <w:numId w:val="14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applicable in performance year 2 as the requirement for EPM participant repayment is waived except for an EPM participant that has elected downside risk for that performance year.</w:t>
      </w:r>
    </w:p>
    <w:p>
      <w:pPr>
        <w:keepNext w:val="0"/>
        <w:numPr>
          <w:numId w:val="14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performance year 2 for an EPM participant that has elected downside risk and performance years 3 and 4 when partial EPM participant repayment applies, as determined by the EPM participant's quality category as provided in § 512.315(b)(5), (c)(5), and (d)(5).</w:t>
      </w:r>
    </w:p>
    <w:p>
      <w:pPr>
        <w:keepNext w:val="0"/>
        <w:numPr>
          <w:numId w:val="14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applicable in performance year 5 when full EPM participant repayment applies, as determined by the effective discount factor that applies to repayment amounts as specified in paragraph (d)(1) of this section.</w:t>
      </w:r>
    </w:p>
    <w:p>
      <w:pPr>
        <w:numPr>
          <w:numId w:val="1494"/>
        </w:numPr>
        <w:spacing w:before="120" w:line="240" w:lineRule="atLeast"/>
      </w:pPr>
      <w:r>
        <w:rPr>
          <w:b/>
          <w:i/>
          <w:sz w:val="20"/>
        </w:rPr>
        <w:t>oth quality-adjusted target prices and actual episode payments --</w:t>
      </w:r>
    </w:p>
    <w:p>
      <w:pPr>
        <w:keepNext w:val="0"/>
        <w:numPr>
          <w:numId w:val="1495"/>
        </w:numPr>
        <w:spacing w:before="120" w:after="0" w:line="260" w:lineRule="atLeast"/>
        <w:ind w:right="0"/>
        <w:jc w:val="both"/>
      </w:pPr>
      <w:r>
        <w:rPr>
          <w:b/>
          <w:i/>
          <w:sz w:val="20"/>
        </w:rPr>
        <w:t xml:space="preserve"> payment.</w:t>
      </w:r>
      <w:r>
        <w:rPr>
          <w:rFonts w:ascii="arial" w:eastAsia="arial" w:hAnsi="arial" w:cs="arial"/>
          <w:b w:val="0"/>
          <w:i w:val="0"/>
          <w:strike w:val="0"/>
          <w:noProof w:val="0"/>
          <w:color w:val="000000"/>
          <w:position w:val="0"/>
          <w:sz w:val="20"/>
          <w:u w:val="none"/>
          <w:vertAlign w:val="baseline"/>
        </w:rPr>
        <w:t>For each EPM, actual episode payments and historical episode payments are capped at 2 standard deviations above the mean regional episode payment for the EPM-participant hospital-specific and regional components of the quality-adjusted target price under the EPM, as well as for calculating actual episode payments under the EPM during a performance year, subject to the exceptions noted in paragraphs (e)(1)(i) through (iii) of this section.</w:t>
      </w:r>
    </w:p>
    <w:p>
      <w:pPr>
        <w:keepNext w:val="0"/>
        <w:numPr>
          <w:numId w:val="14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AMI model episodes with anchor MS-DRGs 280-282 or PCI anchor MS-DRGs 246 through 251 without readmission for CABG MS-DRGs 231 through 236, payments are capped separately based on the anchor MS-DRG.</w:t>
      </w:r>
    </w:p>
    <w:p>
      <w:pPr>
        <w:keepNext w:val="0"/>
        <w:numPr>
          <w:numId w:val="14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CABG model episodes with CABG MS-DRGs 231 through 236, episode payments during the anchor hospitalization portion are capped separately from episode payments during the post-anchor hospitalization portion as follows.</w:t>
      </w:r>
    </w:p>
    <w:p>
      <w:pPr>
        <w:keepNext w:val="0"/>
        <w:numPr>
          <w:numId w:val="14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Payments during the anchor hospitalization portion are capped based on the CABG anchor MS-DRGs 231 through 236.</w:t>
      </w:r>
    </w:p>
    <w:p>
      <w:pPr>
        <w:keepNext w:val="0"/>
        <w:numPr>
          <w:numId w:val="1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Payments during the post-anchor hospitalization portion are capped separately for episodes:</w:t>
      </w:r>
    </w:p>
    <w:p>
      <w:pPr>
        <w:keepNext w:val="0"/>
        <w:numPr>
          <w:numId w:val="1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an AMI ICD-CM diagnosis code on the anchor inpatient claim and CABG anchor MS-DRG with major complication or comorbidity (231, 233, or 235).</w:t>
      </w:r>
    </w:p>
    <w:p>
      <w:pPr>
        <w:keepNext w:val="0"/>
        <w:numPr>
          <w:numId w:val="1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an AMI ICD-CM diagnosis code on the anchor inpatient claim and CABG anchor MS-DRG without major complication or comorbidity (232, 234, or 236).</w:t>
      </w:r>
    </w:p>
    <w:p>
      <w:pPr>
        <w:keepNext w:val="0"/>
        <w:numPr>
          <w:numId w:val="1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an AMI ICD-CM diagnosis code on the anchor inpatient claim and CABG anchor MS-DRG with major complication or comorbidity (231, 233, or 235).</w:t>
      </w:r>
    </w:p>
    <w:p>
      <w:pPr>
        <w:keepNext w:val="0"/>
        <w:numPr>
          <w:numId w:val="15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an AMI ICD-CM diagnosis code on the anchor inpatient claim and CABG anchor MS-DRG without major complication or comorbidity (232, 234, or 236).</w:t>
      </w:r>
    </w:p>
    <w:p>
      <w:pPr>
        <w:keepNext w:val="0"/>
        <w:numPr>
          <w:numId w:val="15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AMI episodes with either AMI anchor MS-DRGs 280 through 282 or PCI anchor MS-DRGs 246 through 251 and with readmission for a CABG MS-DRG 231-236, the cap is applied separately to the payments during the CABG readmission and all other payments during the episode.</w:t>
      </w:r>
    </w:p>
    <w:p>
      <w:pPr>
        <w:keepNext w:val="0"/>
        <w:numPr>
          <w:numId w:val="15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payments during the CABG readmission portion of the episode, the cap is applied for the anchor hospitalization portion of a CABG </w:t>
      </w:r>
      <w:r>
        <w:rPr>
          <w:rFonts w:ascii="arial" w:eastAsia="arial" w:hAnsi="arial" w:cs="arial"/>
          <w:b/>
          <w:i w:val="0"/>
          <w:strike w:val="0"/>
          <w:noProof w:val="0"/>
          <w:color w:val="000000"/>
          <w:position w:val="0"/>
          <w:sz w:val="20"/>
          <w:u w:val="none"/>
          <w:vertAlign w:val="baseline"/>
        </w:rPr>
        <w:t> [*632] </w:t>
      </w:r>
      <w:r>
        <w:rPr>
          <w:rFonts w:ascii="arial" w:eastAsia="arial" w:hAnsi="arial" w:cs="arial"/>
          <w:b w:val="0"/>
          <w:i w:val="0"/>
          <w:strike w:val="0"/>
          <w:noProof w:val="0"/>
          <w:color w:val="000000"/>
          <w:position w:val="0"/>
          <w:sz w:val="20"/>
          <w:u w:val="none"/>
          <w:vertAlign w:val="baseline"/>
        </w:rPr>
        <w:t xml:space="preserve"> episode for the corresponding CABG readmission MS-DRG.</w:t>
      </w:r>
    </w:p>
    <w:p>
      <w:pPr>
        <w:keepNext w:val="0"/>
        <w:numPr>
          <w:numId w:val="15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all other payments during the episode, the cap is applied to the AMI model episodes with AMI anchor MS-DRGs 280 through 282 or PCI anchor MS-DRGs 246 through 251 and without readmission for CABG MS-DRGs corresponding to the AMI anchor MS-DRG.</w:t>
      </w:r>
    </w:p>
    <w:p>
      <w:pPr>
        <w:keepNext w:val="0"/>
        <w:numPr>
          <w:numId w:val="1507"/>
        </w:numPr>
        <w:spacing w:before="120" w:after="0" w:line="260" w:lineRule="atLeast"/>
        <w:ind w:right="0"/>
        <w:jc w:val="both"/>
      </w:pPr>
      <w:r>
        <w:rPr>
          <w:b/>
          <w:i/>
          <w:sz w:val="20"/>
        </w:rPr>
        <w:t>grams and add-on payments under existing Medicare payment systems.</w:t>
      </w:r>
      <w:r>
        <w:rPr>
          <w:rFonts w:ascii="arial" w:eastAsia="arial" w:hAnsi="arial" w:cs="arial"/>
          <w:b w:val="0"/>
          <w:i w:val="0"/>
          <w:strike w:val="0"/>
          <w:noProof w:val="0"/>
          <w:color w:val="000000"/>
          <w:position w:val="0"/>
          <w:sz w:val="20"/>
          <w:u w:val="none"/>
          <w:vertAlign w:val="baseline"/>
        </w:rPr>
        <w:t>Certain incentive programs and add-on payments are excluded by CMS' application of the CMS Price (Payment) Standardization Detailed Methodology used for the Medicare spending per beneficiary measure in the Hospital Value-Based Purchasing Program and Physician Value-Based Payment Modifier Program as specified in § 414.1235(a)(6) and (c)(1) of this chapter.</w:t>
      </w:r>
    </w:p>
    <w:p>
      <w:pPr>
        <w:numPr>
          <w:numId w:val="1508"/>
        </w:numPr>
        <w:spacing w:before="120" w:line="240" w:lineRule="atLeast"/>
      </w:pPr>
      <w:r>
        <w:rPr>
          <w:b/>
          <w:i/>
          <w:sz w:val="20"/>
        </w:rPr>
        <w:t xml:space="preserve"> services that straddle the episode --</w:t>
      </w:r>
    </w:p>
    <w:p>
      <w:pPr>
        <w:keepNext w:val="0"/>
        <w:numPr>
          <w:numId w:val="15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Services included in the episode that begin before the start of or continue beyond the end of an EPM episode are prorated so that only the portion attributable to care furnished during the episode are included in the calculation of actual episode payments.</w:t>
      </w:r>
    </w:p>
    <w:p>
      <w:pPr>
        <w:keepNext w:val="0"/>
        <w:numPr>
          <w:numId w:val="15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Payments for services that straddle the episode are prorated using the following methodology:</w:t>
      </w:r>
    </w:p>
    <w:p>
      <w:pPr>
        <w:keepNext w:val="0"/>
        <w:numPr>
          <w:numId w:val="1511"/>
        </w:numPr>
        <w:spacing w:before="120" w:after="0" w:line="260" w:lineRule="atLeast"/>
        <w:ind w:right="0"/>
        <w:jc w:val="both"/>
      </w:pPr>
      <w:r>
        <w:rPr>
          <w:b/>
          <w:i/>
          <w:sz w:val="20"/>
        </w:rPr>
        <w:t>s and other inpatient services.</w:t>
      </w:r>
      <w:r>
        <w:rPr>
          <w:rFonts w:ascii="arial" w:eastAsia="arial" w:hAnsi="arial" w:cs="arial"/>
          <w:b w:val="0"/>
          <w:i w:val="0"/>
          <w:strike w:val="0"/>
          <w:noProof w:val="0"/>
          <w:color w:val="000000"/>
          <w:position w:val="0"/>
          <w:sz w:val="20"/>
          <w:u w:val="none"/>
          <w:vertAlign w:val="baseline"/>
        </w:rPr>
        <w:t>Non-IPPS inpatient services, and services furnished by other inpatient providers that extend beyond the end of the episode are prorated according to the percentage of the actual length of stay (in days) that falls within the episode.</w:t>
      </w:r>
    </w:p>
    <w:p>
      <w:pPr>
        <w:keepNext w:val="0"/>
        <w:numPr>
          <w:numId w:val="1512"/>
        </w:numPr>
        <w:spacing w:before="120" w:after="0" w:line="260" w:lineRule="atLeast"/>
        <w:ind w:right="0"/>
        <w:jc w:val="both"/>
      </w:pPr>
      <w:r>
        <w:rPr>
          <w:b/>
          <w:i/>
          <w:sz w:val="20"/>
        </w:rPr>
        <w:t>es.</w:t>
      </w:r>
      <w:r>
        <w:rPr>
          <w:rFonts w:ascii="arial" w:eastAsia="arial" w:hAnsi="arial" w:cs="arial"/>
          <w:b w:val="0"/>
          <w:i w:val="0"/>
          <w:strike w:val="0"/>
          <w:noProof w:val="0"/>
          <w:color w:val="000000"/>
          <w:position w:val="0"/>
          <w:sz w:val="20"/>
          <w:u w:val="none"/>
          <w:vertAlign w:val="baseline"/>
        </w:rPr>
        <w:t>Home health services paid under the prospective payment system in part 484, subpart E of this chapter are prorated according to the percentage of days, starting with the first billable service date (start of care date) and through and including the last billable service date, that occur during the episode. This methodology is applied in the same way if the home health services begin (the start of care date) prior to the start of the episode.</w:t>
      </w:r>
    </w:p>
    <w:p>
      <w:pPr>
        <w:keepNext w:val="0"/>
        <w:numPr>
          <w:numId w:val="15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IPPS claim amounts that extend beyond the end of the episode are prorated according to the geometric mean length of stay, using the following methodology:</w:t>
      </w:r>
    </w:p>
    <w:p>
      <w:pPr>
        <w:keepNext w:val="0"/>
        <w:numPr>
          <w:numId w:val="1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first day of the IPPS stay is counted as 2 days.</w:t>
      </w:r>
    </w:p>
    <w:p>
      <w:pPr>
        <w:keepNext w:val="0"/>
        <w:numPr>
          <w:numId w:val="15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actual length of stay that occurred during the episode is equal to or greater than the MS-DRG geometric mean, the normal MS-DRG payment is fully allocated to the episode.</w:t>
      </w:r>
    </w:p>
    <w:p>
      <w:pPr>
        <w:keepNext w:val="0"/>
        <w:numPr>
          <w:numId w:val="1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actual length of stay that occurred during the episode is less than the geometric mean, the normal MS-DRG payment amount is allocated to the episode based on the number of inpatient days that fall within the episode.</w:t>
      </w:r>
    </w:p>
    <w:p>
      <w:pPr>
        <w:keepNext w:val="0"/>
        <w:numPr>
          <w:numId w:val="1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full amount is not allocated to the episode, any remainder amount is allocated to the post-episode spending calculation (determined in § 512.307(c)).</w:t>
      </w:r>
    </w:p>
    <w:p>
      <w:pPr>
        <w:numPr>
          <w:numId w:val="1518"/>
        </w:numPr>
        <w:spacing w:before="120" w:line="240" w:lineRule="atLeast"/>
      </w:pPr>
      <w:r>
        <w:rPr>
          <w:b/>
          <w:i w:val="0"/>
          <w:sz w:val="20"/>
        </w:rPr>
        <w:t xml:space="preserve"> NPRA and reconciliation process.</w:t>
      </w:r>
    </w:p>
    <w:p>
      <w:pPr>
        <w:keepNext w:val="0"/>
        <w:numPr>
          <w:numId w:val="15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Providers and suppliers furnishing items and services included in the EPM episode bill for such items and services in accordance with existing rules and as if this part were not in effect.</w:t>
      </w:r>
    </w:p>
    <w:p>
      <w:pPr>
        <w:keepNext w:val="0"/>
        <w:numPr>
          <w:numId w:val="1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annually performs the processes described in paragraphs (c) and (d) of this section to determine actual episode payments for each EPM episode for the performance year (except for episodes that have been canceled in accordance with § 512.240(a)(2), (b)(2), and (c)(2)) and determines the amount of a reconciliation payment to or Medicare repayment amount from EPM participants, if any, for that performance year.</w:t>
      </w:r>
    </w:p>
    <w:p>
      <w:pPr>
        <w:numPr>
          <w:numId w:val="1521"/>
        </w:numPr>
        <w:spacing w:before="120" w:line="240" w:lineRule="atLeast"/>
      </w:pPr>
      <w:r>
        <w:rPr>
          <w:b/>
          <w:i/>
          <w:sz w:val="20"/>
        </w:rPr>
        <w:t>stablish NPRA.</w:t>
      </w:r>
    </w:p>
    <w:p>
      <w:pPr>
        <w:keepNext w:val="0"/>
        <w:numPr>
          <w:numId w:val="1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Beginning 2 months after the end of each performance year and using the most recent claims data and non-claims-based payment data available, CMS performs a reconciliation calculation to establish an NPRA for each EPM participant based on the following process.</w:t>
      </w:r>
    </w:p>
    <w:p>
      <w:pPr>
        <w:keepNext w:val="0"/>
        <w:numPr>
          <w:numId w:val="1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w:t>
      </w:r>
    </w:p>
    <w:p>
      <w:pPr>
        <w:keepNext w:val="0"/>
        <w:numPr>
          <w:numId w:val="15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Assesses whether EPM participants are in an acceptable or better quality category under § 512.315; and</w:t>
      </w:r>
    </w:p>
    <w:p>
      <w:pPr>
        <w:keepNext w:val="0"/>
        <w:numPr>
          <w:numId w:val="1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Calculates the NPRA for each EPM participant for each performance year by comparing the quality-adjusted target prices and the EPM participant's actual episode payments for the performance year or portion of that performance year as described in § 512.300 as follows:</w:t>
      </w:r>
    </w:p>
    <w:p>
      <w:pPr>
        <w:keepNext w:val="0"/>
        <w:numPr>
          <w:numId w:val="15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Determines actual EPM episode payments for each EPM episode included in the performance year or portion of that performance year.</w:t>
      </w:r>
    </w:p>
    <w:p>
      <w:pPr>
        <w:keepNext w:val="0"/>
        <w:numPr>
          <w:numId w:val="1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Multiplies the quality-adjusted target price by the number of non-canceled EPM episodes included in the performance year or portion of that performance year to which that episode quality-adjusted price applies and aggregates these amounts.</w:t>
      </w:r>
    </w:p>
    <w:p>
      <w:pPr>
        <w:keepNext w:val="0"/>
        <w:numPr>
          <w:numId w:val="1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Subtracts the amount determined under paragraph (c)(2)(ii)(A) of this section from the amount determined under paragraph (c)(2)(ii)(B) of this section.</w:t>
      </w:r>
    </w:p>
    <w:p>
      <w:pPr>
        <w:keepNext w:val="0"/>
        <w:numPr>
          <w:numId w:val="1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Applies the following:</w:t>
      </w:r>
    </w:p>
    <w:p>
      <w:pPr>
        <w:keepNext w:val="0"/>
        <w:numPr>
          <w:numId w:val="1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paragraphs (c)(2)(iii)(C) and (D) of this section, the total amount of the NPRA and subsequent reconciliation calculation for a performance year or portion of that performance year cannot exceed the following:</w:t>
      </w:r>
    </w:p>
    <w:p>
      <w:pPr>
        <w:keepNext w:val="0"/>
        <w:numPr>
          <w:numId w:val="1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2--</w:t>
      </w:r>
    </w:p>
    <w:p>
      <w:pPr>
        <w:keepNext w:val="0"/>
        <w:numPr>
          <w:numId w:val="15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Five percent of the amount calculated in paragraph (c)(2)(ii)(B) of this section for the performance year if the EPM participant elected downside risk for that year.</w:t>
      </w:r>
    </w:p>
    <w:p>
      <w:pPr>
        <w:keepNext w:val="0"/>
        <w:numPr>
          <w:numId w:val="1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Zero percent of the amount calculated in paragraph (c)(2)(ii)(B) of this section for the performance year for all other EPM participants.</w:t>
      </w:r>
    </w:p>
    <w:p>
      <w:pPr>
        <w:keepNext w:val="0"/>
        <w:numPr>
          <w:numId w:val="1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3, 5 percent of the amount calculated in paragraph (c)(2)(ii)(B) of this section for the performance year.</w:t>
      </w:r>
    </w:p>
    <w:p>
      <w:pPr>
        <w:keepNext w:val="0"/>
        <w:numPr>
          <w:numId w:val="1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4, 10 percent of the amount calculated in paragraph (c)(2)(ii)(B) of this section for the performance year.</w:t>
      </w:r>
    </w:p>
    <w:p>
      <w:pPr>
        <w:keepNext w:val="0"/>
        <w:numPr>
          <w:numId w:val="1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5, 20 percent of the amount calculated in paragraph (c)(2)(ii)(B) of this section for the performance year.</w:t>
      </w:r>
    </w:p>
    <w:p>
      <w:pPr>
        <w:keepNext w:val="0"/>
        <w:numPr>
          <w:numId w:val="15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the NPRA and subsequent reconciliation calculation for a performance year cannot exceed the following:</w:t>
      </w:r>
    </w:p>
    <w:p>
      <w:pPr>
        <w:keepNext w:val="0"/>
        <w:numPr>
          <w:numId w:val="15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years 1, 2, and 3, 5 percent of the amount calculated in paragraph (c)(2)(ii)(B) of this section for the performance year.</w:t>
      </w:r>
    </w:p>
    <w:p>
      <w:pPr>
        <w:keepNext w:val="0"/>
        <w:numPr>
          <w:numId w:val="15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4, 10 percent of the amount calculated in paragraph (c)(2)(ii)(B) of this section for the performance year.</w:t>
      </w:r>
    </w:p>
    <w:p>
      <w:pPr>
        <w:keepNext w:val="0"/>
        <w:numPr>
          <w:numId w:val="15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5, 20 percent of the amount calculated in paragraph (c)(2)(ii)(B) of this section for the performance year.</w:t>
      </w:r>
    </w:p>
    <w:p>
      <w:pPr>
        <w:keepNext w:val="0"/>
        <w:numPr>
          <w:numId w:val="1535"/>
        </w:numPr>
        <w:spacing w:before="120" w:after="0" w:line="260" w:lineRule="atLeast"/>
        <w:ind w:right="0"/>
        <w:jc w:val="both"/>
      </w:pPr>
      <w:r>
        <w:rPr>
          <w:b/>
          <w:i/>
          <w:sz w:val="20"/>
        </w:rPr>
        <w:t>rural hospitals, SCHs, MDHs, and RRCs.</w:t>
      </w:r>
      <w:r>
        <w:rPr>
          <w:rFonts w:ascii="arial" w:eastAsia="arial" w:hAnsi="arial" w:cs="arial"/>
          <w:b w:val="0"/>
          <w:i w:val="0"/>
          <w:strike w:val="0"/>
          <w:noProof w:val="0"/>
          <w:color w:val="000000"/>
          <w:position w:val="0"/>
          <w:sz w:val="20"/>
          <w:u w:val="none"/>
          <w:vertAlign w:val="baseline"/>
        </w:rPr>
        <w:t>The total amount of the NPRA and subsequent reconciliation calculation for a performance year cannot exceed the following:</w:t>
      </w:r>
    </w:p>
    <w:p>
      <w:pPr>
        <w:keepNext w:val="0"/>
        <w:numPr>
          <w:numId w:val="15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2--</w:t>
      </w:r>
    </w:p>
    <w:p>
      <w:pPr>
        <w:keepNext w:val="0"/>
        <w:numPr>
          <w:numId w:val="15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Three percent of the amount calculated in paragraph (c)(2)(ii)(B) of this section for the performance year if the EPM participant elected downside risk for that year.</w:t>
      </w:r>
    </w:p>
    <w:p>
      <w:pPr>
        <w:keepNext w:val="0"/>
        <w:numPr>
          <w:numId w:val="15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Zero percent of the amount calculated in paragraph (c)(2)(ii)(B) of this section for the performance year for all other EPM participants.</w:t>
      </w:r>
    </w:p>
    <w:p>
      <w:pPr>
        <w:keepNext w:val="0"/>
        <w:numPr>
          <w:numId w:val="15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performance year 3, 3 percent of the amount calculated in paragraph (c)(2)(ii)(B) of this section for the performance year. </w:t>
      </w:r>
      <w:r>
        <w:rPr>
          <w:rFonts w:ascii="arial" w:eastAsia="arial" w:hAnsi="arial" w:cs="arial"/>
          <w:b/>
          <w:i w:val="0"/>
          <w:strike w:val="0"/>
          <w:noProof w:val="0"/>
          <w:color w:val="000000"/>
          <w:position w:val="0"/>
          <w:sz w:val="20"/>
          <w:u w:val="none"/>
          <w:vertAlign w:val="baseline"/>
        </w:rPr>
        <w:t> [*633] </w:t>
      </w:r>
    </w:p>
    <w:p>
      <w:pPr>
        <w:keepNext w:val="0"/>
        <w:numPr>
          <w:numId w:val="15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years 4 and 5, 5 percent of the amount calculated in paragraph (c)(2)(ii)(B) of this section for the performance year.</w:t>
      </w:r>
    </w:p>
    <w:p>
      <w:pPr>
        <w:keepNext w:val="0"/>
        <w:numPr>
          <w:numId w:val="1539"/>
        </w:numPr>
        <w:spacing w:before="120" w:after="0" w:line="260" w:lineRule="atLeast"/>
        <w:ind w:right="0"/>
        <w:jc w:val="both"/>
      </w:pPr>
      <w:r>
        <w:rPr>
          <w:b/>
          <w:i/>
          <w:sz w:val="20"/>
        </w:rPr>
        <w:t>EPM volume protection hospitals.</w:t>
      </w:r>
      <w:r>
        <w:rPr>
          <w:rFonts w:ascii="arial" w:eastAsia="arial" w:hAnsi="arial" w:cs="arial"/>
          <w:b w:val="0"/>
          <w:i w:val="0"/>
          <w:strike w:val="0"/>
          <w:noProof w:val="0"/>
          <w:color w:val="000000"/>
          <w:position w:val="0"/>
          <w:sz w:val="20"/>
          <w:u w:val="none"/>
          <w:vertAlign w:val="baseline"/>
        </w:rPr>
        <w:t>EPM participants may be determined to be an EPM volume protection hospital under an EPM.</w:t>
      </w:r>
    </w:p>
    <w:p>
      <w:pPr>
        <w:keepNext w:val="0"/>
        <w:numPr>
          <w:numId w:val="1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EPM participant is determined to be an EPM volume protection hospital under a model if their total volume of EPM historical episodes is at or below the 10th percentile of hospital-specific historical EPM episodes for hospitals with one or more episodes located in the MSAs eligible for selection into that specific EPM.</w:t>
      </w:r>
    </w:p>
    <w:p>
      <w:pPr>
        <w:keepNext w:val="0"/>
        <w:numPr>
          <w:numId w:val="1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establishes thresholds as specified in paragraph (c)(2)(iii)(D)(</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of this section based on episodes beginning in the time period specified in § 512.300(c)(1)(i).</w:t>
      </w:r>
    </w:p>
    <w:p>
      <w:pPr>
        <w:keepNext w:val="0"/>
        <w:numPr>
          <w:numId w:val="1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an EPM participant determined to have a low volume of episodes within a model as specified in paragraph (c)(2)(iii)(D)(</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but not paragraph (c)(2)(iii)(C) of this section, then the financial loss limits specified under paragraph (c)(2)(iii)(C) of this section are applied.</w:t>
      </w:r>
    </w:p>
    <w:p>
      <w:pPr>
        <w:keepNext w:val="0"/>
        <w:numPr>
          <w:numId w:val="1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posts to the CMS Web site the threshold established in this section and a list of CCNs of EPM participants that are classified as EPM volume protection hospitals.</w:t>
      </w:r>
    </w:p>
    <w:p>
      <w:pPr>
        <w:keepNext w:val="0"/>
        <w:numPr>
          <w:numId w:val="15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communicates to each EPM participant whether it is classified as an EPM volume protection hospital at the same time that CMS communicates quality-adjusted target prices as described in  § 512.300(c)(9).</w:t>
      </w:r>
    </w:p>
    <w:p>
      <w:pPr>
        <w:keepNext w:val="0"/>
        <w:numPr>
          <w:numId w:val="1543"/>
        </w:numPr>
        <w:spacing w:before="120" w:after="0" w:line="260" w:lineRule="atLeast"/>
        <w:ind w:right="0"/>
        <w:jc w:val="both"/>
      </w:pPr>
      <w:r>
        <w:rPr>
          <w:b/>
          <w:i/>
          <w:sz w:val="20"/>
        </w:rPr>
        <w:t xml:space="preserve"> on losses and gains.</w:t>
      </w:r>
      <w:r>
        <w:rPr>
          <w:rFonts w:ascii="arial" w:eastAsia="arial" w:hAnsi="arial" w:cs="arial"/>
          <w:b w:val="0"/>
          <w:i w:val="0"/>
          <w:strike w:val="0"/>
          <w:noProof w:val="0"/>
          <w:color w:val="000000"/>
          <w:position w:val="0"/>
          <w:sz w:val="20"/>
          <w:u w:val="none"/>
          <w:vertAlign w:val="baseline"/>
        </w:rPr>
        <w:t>CMS establishes limits on losses and gains specifically with respect to and separately for each EPM.</w:t>
      </w:r>
    </w:p>
    <w:p>
      <w:pPr>
        <w:numPr>
          <w:numId w:val="1544"/>
        </w:numPr>
        <w:spacing w:before="120" w:line="240" w:lineRule="atLeast"/>
      </w:pPr>
      <w:r>
        <w:rPr>
          <w:b/>
          <w:i/>
          <w:sz w:val="20"/>
        </w:rPr>
        <w:t>ation or repayment amount --</w:t>
      </w:r>
    </w:p>
    <w:p>
      <w:pPr>
        <w:numPr>
          <w:numId w:val="1545"/>
        </w:numPr>
        <w:spacing w:before="120" w:line="240" w:lineRule="atLeast"/>
      </w:pPr>
    </w:p>
    <w:p>
      <w:pPr>
        <w:keepNext w:val="0"/>
        <w:numPr>
          <w:numId w:val="1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paragraphs (c)(2)(iii)(B) and (d)(1)(iii) of this section, for performance year 1, the reconciliation payment (if any) is equal to the NPRA.</w:t>
      </w:r>
    </w:p>
    <w:p>
      <w:pPr>
        <w:keepNext w:val="0"/>
        <w:numPr>
          <w:numId w:val="15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paragraphs (c)(2)(iii)(A) through (D) and (d)(1)(iii) of this section, for performance years 2 through 5, results from the subsequent reconciliation calculation for a prior year's reconciliation, as described in § 512.307, and the post-episode spending and ACO overlap calculations, as described in § 512.307(b) and (c), are added to the current year's NPRA in order to determine the reconciliation or repayment amount.</w:t>
      </w:r>
    </w:p>
    <w:p>
      <w:pPr>
        <w:keepNext w:val="0"/>
        <w:numPr>
          <w:numId w:val="1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reconciliation or repayment amount may be adjusted as described in § 512.460(b).</w:t>
      </w:r>
    </w:p>
    <w:p>
      <w:pPr>
        <w:keepNext w:val="0"/>
        <w:numPr>
          <w:numId w:val="15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amount described in paragraph (d)(1) of this section is positive and the EPM participant quality category as described in § 512.315 is acceptable, good, or excellent, Medicare pays the EPM participant a reconciliation payment in an amount equal to the amount described in paragraph (d)(1) of this section. If the EPM participant's quality category as described in § 512.315 is unacceptable, the EPM participant is not eligible to be paid a reconciliation payment.</w:t>
      </w:r>
    </w:p>
    <w:p>
      <w:pPr>
        <w:keepNext w:val="0"/>
        <w:numPr>
          <w:numId w:val="15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amount described in paragraph (d)(1) of this section is negative, the EPM participant pays to Medicare an amount equal to the amount described in paragraph (d)(1) of this section, in accordance with § 405.371 of this chapter. CMS waives this requirement for performance year 1.</w:t>
      </w:r>
    </w:p>
    <w:p>
      <w:pPr>
        <w:keepNext w:val="0"/>
        <w:numPr>
          <w:numId w:val="1551"/>
        </w:numPr>
        <w:spacing w:before="120" w:after="0" w:line="260" w:lineRule="atLeast"/>
        <w:ind w:right="0"/>
        <w:jc w:val="both"/>
      </w:pPr>
      <w:r>
        <w:rPr>
          <w:b/>
          <w:i/>
          <w:sz w:val="20"/>
        </w:rPr>
        <w:t>be engaged in inappropriate and systemic under delivery of care.</w:t>
      </w:r>
      <w:r>
        <w:rPr>
          <w:rFonts w:ascii="arial" w:eastAsia="arial" w:hAnsi="arial" w:cs="arial"/>
          <w:b w:val="0"/>
          <w:i w:val="0"/>
          <w:strike w:val="0"/>
          <w:noProof w:val="0"/>
          <w:color w:val="000000"/>
          <w:position w:val="0"/>
          <w:sz w:val="20"/>
          <w:u w:val="none"/>
          <w:vertAlign w:val="baseline"/>
        </w:rPr>
        <w:t>If the EPM participant is found to be engaged in an inappropriate and systemic under delivery of care as specified in § 512.460(b)(1)(i)(C), the quality of the care provided must be considered to be seriously compromised and the EPM participant must be ineligible to receive or retain a reconciliation payment for any period in which such under delivery of care was found to occur.</w:t>
      </w:r>
    </w:p>
    <w:p>
      <w:pPr>
        <w:numPr>
          <w:numId w:val="1552"/>
        </w:numPr>
        <w:spacing w:before="120" w:line="240" w:lineRule="atLeast"/>
      </w:pPr>
    </w:p>
    <w:p>
      <w:pPr>
        <w:keepNext w:val="0"/>
        <w:numPr>
          <w:numId w:val="15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issues each EPM participant a reconciliation report for the performance year. Each reconciliation report contains the following:</w:t>
      </w:r>
    </w:p>
    <w:p>
      <w:pPr>
        <w:keepNext w:val="0"/>
        <w:numPr>
          <w:numId w:val="15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on the EPM participant's composite quality score described in § 512.315.</w:t>
      </w:r>
    </w:p>
    <w:p>
      <w:pPr>
        <w:keepNext w:val="0"/>
        <w:numPr>
          <w:numId w:val="15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actual episode payments for the EPM participant.</w:t>
      </w:r>
    </w:p>
    <w:p>
      <w:pPr>
        <w:keepNext w:val="0"/>
        <w:numPr>
          <w:numId w:val="15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NPRA.</w:t>
      </w:r>
    </w:p>
    <w:p>
      <w:pPr>
        <w:keepNext w:val="0"/>
        <w:numPr>
          <w:numId w:val="15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EPM participant is eligible for a reconciliation payment or must make a repayment to Medicare.</w:t>
      </w:r>
    </w:p>
    <w:p>
      <w:pPr>
        <w:keepNext w:val="0"/>
        <w:numPr>
          <w:numId w:val="15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NPRA and subsequent reconciliation calculation amount for the previous performance year, as applicable.</w:t>
      </w:r>
    </w:p>
    <w:p>
      <w:pPr>
        <w:keepNext w:val="0"/>
        <w:numPr>
          <w:numId w:val="15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post-episode spending amount and ACO overlap calculation for the previous performance year, as applicable.</w:t>
      </w:r>
    </w:p>
    <w:p>
      <w:pPr>
        <w:keepNext w:val="0"/>
        <w:numPr>
          <w:numId w:val="1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reconciliation payment or repayment amount.</w:t>
      </w:r>
    </w:p>
    <w:p>
      <w:pPr>
        <w:keepNext w:val="0"/>
        <w:numPr>
          <w:numId w:val="15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2, the reconciliation report would also include information separately for the performance year 2 (DR) and performance year 2 (NDR) portions of that year.</w:t>
      </w:r>
    </w:p>
    <w:p>
      <w:pPr>
        <w:numPr>
          <w:numId w:val="1561"/>
        </w:numPr>
        <w:spacing w:before="120" w:line="240" w:lineRule="atLeast"/>
      </w:pPr>
      <w:r>
        <w:rPr>
          <w:b/>
          <w:i w:val="0"/>
          <w:sz w:val="20"/>
        </w:rPr>
        <w:t>ons.</w:t>
      </w:r>
    </w:p>
    <w:p>
      <w:pPr>
        <w:numPr>
          <w:numId w:val="1562"/>
        </w:numPr>
        <w:spacing w:before="120" w:line="240" w:lineRule="atLeast"/>
      </w:pPr>
      <w:r>
        <w:rPr>
          <w:b/>
          <w:i/>
          <w:sz w:val="20"/>
        </w:rPr>
        <w:t>calculation.</w:t>
      </w:r>
    </w:p>
    <w:p>
      <w:pPr>
        <w:keepNext w:val="0"/>
        <w:numPr>
          <w:numId w:val="15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Fourteen months after the end of each performance year, CMS performs an additional calculation, which accounts for changes since the calculation of the initial NPRA, using claims data and non-claims-based payment data available at that time, to account for final claims run-out, final changes in non-claims-based payment data, and any additional episode cancellations due to overlap or other reasons as specified in § 512.240(a)(2), (b)(2), and (c)(2).</w:t>
      </w:r>
    </w:p>
    <w:p>
      <w:pPr>
        <w:keepNext w:val="0"/>
        <w:numPr>
          <w:numId w:val="15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additional calculation occurs concurrently with the reconciliation process for the most recent performance year and determines the subsequent calculation amount as follows:</w:t>
      </w:r>
    </w:p>
    <w:p>
      <w:pPr>
        <w:keepNext w:val="0"/>
        <w:numPr>
          <w:numId w:val="15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result of the subsequent reconciliation calculation is different than zero, CMS applies the stop-loss and stop-gain limits in § 512.305(c)(2)(iii)(A) through (D) to the calculations in aggregate for that performance year (the initial reconciliation from § 512.305(c)(2)(ii)(C), before application of the stop-loss and stop-gain limits, and the subsequent reconciliation calculation) to ensure the calculations in aggregate do not exceed the stop-loss or stop-gain limits. CMS then takes the difference between that amount and the initial NPRA after application of the stop-loss and stop-gain limits in § 512.305(c)(2)(iii)(A) through (D) to determine the subsequent calculation amount.</w:t>
      </w:r>
    </w:p>
    <w:p>
      <w:pPr>
        <w:keepNext w:val="0"/>
        <w:numPr>
          <w:numId w:val="15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then applies the subsequent calculation amount to the NPRA for the most recent performance year in order to determine the reconciliation amount or repayment amount for the most recent performance year.</w:t>
      </w:r>
    </w:p>
    <w:p>
      <w:pPr>
        <w:keepNext w:val="0"/>
        <w:numPr>
          <w:numId w:val="1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Because EPM participants that elected downside risk in performance year do not have financial repayment responsibility for performance year 1, for the performance year 2 reconciliation report only, the subsequent calculation amount (for performance year 1) is applied to the performance year 1 NPRA to ensure that the combined amount is not less than zero.</w:t>
      </w:r>
    </w:p>
    <w:p>
      <w:pPr>
        <w:keepNext w:val="0"/>
        <w:numPr>
          <w:numId w:val="15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Because EPM participants that have not elected downside risk in performance year 2 do not have financial repayment responsibility for performance years 1 or 2, for the performance year 2 and performance year 3 reconciliation reports only, the subsequent calculation amount (for performance year 1 or performance year 2) is applied to the performance year 1 NPRA or performance year 2 NPRA to ensure that the combined amount is not less than zero.</w:t>
      </w:r>
    </w:p>
    <w:p>
      <w:pPr>
        <w:keepNext w:val="0"/>
        <w:numPr>
          <w:numId w:val="1568"/>
        </w:numPr>
        <w:spacing w:before="120" w:after="0" w:line="260" w:lineRule="atLeast"/>
        <w:ind w:right="0"/>
        <w:jc w:val="both"/>
      </w:pPr>
      <w:r>
        <w:rPr>
          <w:b/>
          <w:i/>
          <w:sz w:val="20"/>
        </w:rPr>
        <w:t xml:space="preserve"> determine the reconciliation payment or repayment amount.</w:t>
      </w:r>
      <w:r>
        <w:rPr>
          <w:rFonts w:ascii="arial" w:eastAsia="arial" w:hAnsi="arial" w:cs="arial"/>
          <w:b w:val="0"/>
          <w:i w:val="0"/>
          <w:strike w:val="0"/>
          <w:noProof w:val="0"/>
          <w:color w:val="000000"/>
          <w:position w:val="0"/>
          <w:sz w:val="20"/>
          <w:u w:val="none"/>
          <w:vertAlign w:val="baseline"/>
        </w:rPr>
        <w:t xml:space="preserve">CMS reduces the reconciliation payment or increase the </w:t>
      </w:r>
      <w:r>
        <w:rPr>
          <w:rFonts w:ascii="arial" w:eastAsia="arial" w:hAnsi="arial" w:cs="arial"/>
          <w:b/>
          <w:i w:val="0"/>
          <w:strike w:val="0"/>
          <w:noProof w:val="0"/>
          <w:color w:val="000000"/>
          <w:position w:val="0"/>
          <w:sz w:val="20"/>
          <w:u w:val="none"/>
          <w:vertAlign w:val="baseline"/>
        </w:rPr>
        <w:t> [*634] </w:t>
      </w:r>
      <w:r>
        <w:rPr>
          <w:rFonts w:ascii="arial" w:eastAsia="arial" w:hAnsi="arial" w:cs="arial"/>
          <w:b w:val="0"/>
          <w:i w:val="0"/>
          <w:strike w:val="0"/>
          <w:noProof w:val="0"/>
          <w:color w:val="000000"/>
          <w:position w:val="0"/>
          <w:sz w:val="20"/>
          <w:u w:val="none"/>
          <w:vertAlign w:val="baseline"/>
        </w:rPr>
        <w:t xml:space="preserve"> repayment amount for the subsequent performance year to account for shared savings paid to the ACO in the prior performance year by the amount of the EPM discount factor paid out to the ACO as shared savings in the prior performance year. This adjustment is only made when the EPM participant is a participant or provider/supplier in the ACO and the EPM beneficiary is not prospectively assigned to one of the following:</w:t>
      </w:r>
    </w:p>
    <w:p>
      <w:pPr>
        <w:keepNext w:val="0"/>
        <w:numPr>
          <w:numId w:val="15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ACO in the Next Generation ACO model.</w:t>
      </w:r>
    </w:p>
    <w:p>
      <w:pPr>
        <w:keepNext w:val="0"/>
        <w:numPr>
          <w:numId w:val="15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ACO in Track 3 of the Medicare Shared Savings Program.</w:t>
      </w:r>
    </w:p>
    <w:p>
      <w:pPr>
        <w:keepNext w:val="0"/>
        <w:numPr>
          <w:numId w:val="15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ACO in the Comprehensive ESRD Care Model that includes downside risk.</w:t>
      </w:r>
    </w:p>
    <w:p>
      <w:pPr>
        <w:keepNext w:val="0"/>
        <w:numPr>
          <w:numId w:val="1570"/>
        </w:numPr>
        <w:spacing w:before="120" w:after="0" w:line="260" w:lineRule="atLeast"/>
        <w:ind w:right="0"/>
        <w:jc w:val="both"/>
      </w:pPr>
      <w:r>
        <w:rPr>
          <w:b/>
          <w:i/>
          <w:sz w:val="20"/>
        </w:rPr>
        <w:t>spending.</w:t>
      </w:r>
      <w:r>
        <w:rPr>
          <w:rFonts w:ascii="arial" w:eastAsia="arial" w:hAnsi="arial" w:cs="arial"/>
          <w:b w:val="0"/>
          <w:i w:val="0"/>
          <w:strike w:val="0"/>
          <w:noProof w:val="0"/>
          <w:color w:val="000000"/>
          <w:position w:val="0"/>
          <w:sz w:val="20"/>
          <w:u w:val="none"/>
          <w:vertAlign w:val="baseline"/>
        </w:rPr>
        <w:t>If the average post-episode Medicare Parts A and B payments for an EPM participant in the prior performance year is greater than 3 standard deviations above the regional average post-episode payments for the same performance year, then the spending amount exceeding 3 standard deviations above the regional average post-episode payments for the same performance year is added to the calculation of the reconciliation or repayment amount for the subsequent performance year.</w:t>
      </w:r>
    </w:p>
    <w:p>
      <w:pPr>
        <w:numPr>
          <w:numId w:val="1571"/>
        </w:numPr>
        <w:spacing w:before="120" w:line="240" w:lineRule="atLeast"/>
      </w:pPr>
    </w:p>
    <w:p>
      <w:pPr>
        <w:keepNext w:val="0"/>
        <w:numPr>
          <w:numId w:val="1572"/>
        </w:numPr>
        <w:spacing w:before="120" w:after="0" w:line="260" w:lineRule="atLeast"/>
        <w:ind w:right="0"/>
        <w:jc w:val="both"/>
      </w:pPr>
      <w:r>
        <w:rPr>
          <w:b/>
          <w:i/>
          <w:sz w:val="20"/>
        </w:rPr>
        <w:t>r (first level of appeal).</w:t>
      </w:r>
      <w:r>
        <w:rPr>
          <w:rFonts w:ascii="arial" w:eastAsia="arial" w:hAnsi="arial" w:cs="arial"/>
          <w:b w:val="0"/>
          <w:i w:val="0"/>
          <w:strike w:val="0"/>
          <w:noProof w:val="0"/>
          <w:color w:val="000000"/>
          <w:position w:val="0"/>
          <w:sz w:val="20"/>
          <w:u w:val="none"/>
          <w:vertAlign w:val="baseline"/>
        </w:rPr>
        <w:t>Subject to the limitations on review in subpart D of this part, if an EPM participant wishes to dispute calculations involving a matter related to payment, a CR incentive payment, reconciliation amounts, repayment amounts, the use of quality measure results in determining the composite quality score, or the application of the composite quality score during reconciliation, the EPM participant is required to provide written notice of the calculation error, in a form and manner specified by CMS.</w:t>
      </w:r>
    </w:p>
    <w:p>
      <w:pPr>
        <w:keepNext w:val="0"/>
        <w:numPr>
          <w:numId w:val="15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the EPM participant provides such notice, CMS deems final the reconciliation report and CR incentive payment report 45 calendar days after the reconciliation report or CR incentive payment report is issued and proceeds with the payment or repayment processes as applicable.</w:t>
      </w:r>
    </w:p>
    <w:p>
      <w:pPr>
        <w:keepNext w:val="0"/>
        <w:numPr>
          <w:numId w:val="15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receives a notice of a calculation error within 45 calendar days of the issuance of the reconciliation report or CR incentive payment report, CMS responds in writing within 30 calendar days to either confirm that there was an error in the calculation or verify that the calculation is correct, although CMS reserves the right to an extension upon written notice to the EPM participant.</w:t>
      </w:r>
    </w:p>
    <w:p>
      <w:pPr>
        <w:keepNext w:val="0"/>
        <w:numPr>
          <w:numId w:val="15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Only EPM participants may use the notice of calculation error process described in this part.</w:t>
      </w:r>
    </w:p>
    <w:p>
      <w:pPr>
        <w:numPr>
          <w:numId w:val="1574"/>
        </w:numPr>
        <w:spacing w:before="120" w:line="240" w:lineRule="atLeast"/>
      </w:pPr>
      <w:r>
        <w:rPr>
          <w:b/>
          <w:i/>
          <w:sz w:val="20"/>
        </w:rPr>
        <w:t xml:space="preserve"> (second level of appeal).</w:t>
      </w:r>
    </w:p>
    <w:p>
      <w:pPr>
        <w:keepNext w:val="0"/>
        <w:numPr>
          <w:numId w:val="1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EPM participant is dissatisfied with CMS' response to the notice of a calculation error, the EPM participant may request a reconsideration review in a form and manner as specified by CMS.</w:t>
      </w:r>
    </w:p>
    <w:p>
      <w:pPr>
        <w:keepNext w:val="0"/>
        <w:numPr>
          <w:numId w:val="1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reconsideration request must provide a detailed explanation of the basis for the dispute and include supporting documentation for the EPM participant's assertion that CMS or its representatives did not accurately calculate the NPRA, the reconciliation payment, the CR incentive payment, or the repayment amount in accordance with subpart D of this part.</w:t>
      </w:r>
    </w:p>
    <w:p>
      <w:pPr>
        <w:keepNext w:val="0"/>
        <w:numPr>
          <w:numId w:val="1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does not receive a request for reconsideration from the EPM participant within 10 calendar days of the issue date of CMS' response to the EPM participant's notice of calculation error, then CMS' response to the calculation error is deemed final and CMS proceeds with the applicable processes, as described in subpart D of this part.</w:t>
      </w:r>
    </w:p>
    <w:p>
      <w:pPr>
        <w:keepNext w:val="0"/>
        <w:numPr>
          <w:numId w:val="1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CMS reconsideration official notifies the EPM participant in writing within 15 calendar days of receiving the EPM participant's review request of the following:</w:t>
      </w:r>
    </w:p>
    <w:p>
      <w:pPr>
        <w:keepNext w:val="0"/>
        <w:numPr>
          <w:numId w:val="15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time, and location of the review.</w:t>
      </w:r>
    </w:p>
    <w:p>
      <w:pPr>
        <w:keepNext w:val="0"/>
        <w:numPr>
          <w:numId w:val="15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issues in dispute.</w:t>
      </w:r>
    </w:p>
    <w:p>
      <w:pPr>
        <w:keepNext w:val="0"/>
        <w:numPr>
          <w:numId w:val="15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review procedures.</w:t>
      </w:r>
    </w:p>
    <w:p>
      <w:pPr>
        <w:keepNext w:val="0"/>
        <w:numPr>
          <w:numId w:val="15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procedures (including format and deadlines) for submission of evidence.</w:t>
      </w:r>
    </w:p>
    <w:p>
      <w:pPr>
        <w:keepNext w:val="0"/>
        <w:numPr>
          <w:numId w:val="1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CMS reconsideration official takes all reasonable efforts to schedule the review to occur no later than 30 days after the date of receipt of the notification.</w:t>
      </w:r>
    </w:p>
    <w:p>
      <w:pPr>
        <w:keepNext w:val="0"/>
        <w:numPr>
          <w:numId w:val="1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provisions at § 425.804(b), (c), and (e) of this chapter are applicable to reviews conducted in accordance with the reconsideration review process for the EPM.</w:t>
      </w:r>
    </w:p>
    <w:p>
      <w:pPr>
        <w:keepNext w:val="0"/>
        <w:numPr>
          <w:numId w:val="1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CMS reconsideration official issues a written determination within 30 days of the review. The determination is final and binding.</w:t>
      </w:r>
    </w:p>
    <w:p>
      <w:pPr>
        <w:keepNext w:val="0"/>
        <w:numPr>
          <w:numId w:val="1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Only EPM participants may use the dispute resolution process described in this part.</w:t>
      </w:r>
    </w:p>
    <w:p>
      <w:pPr>
        <w:keepNext w:val="0"/>
        <w:numPr>
          <w:numId w:val="1580"/>
        </w:numPr>
        <w:spacing w:before="120" w:after="0" w:line="260" w:lineRule="atLeast"/>
        <w:ind w:right="0"/>
        <w:jc w:val="both"/>
      </w:pPr>
      <w:r>
        <w:rPr>
          <w:b/>
          <w:i/>
          <w:sz w:val="20"/>
        </w:rPr>
        <w:t xml:space="preserve"> calculation error process.</w:t>
      </w:r>
      <w:r>
        <w:rPr>
          <w:rFonts w:ascii="arial" w:eastAsia="arial" w:hAnsi="arial" w:cs="arial"/>
          <w:b w:val="0"/>
          <w:i w:val="0"/>
          <w:strike w:val="0"/>
          <w:noProof w:val="0"/>
          <w:color w:val="000000"/>
          <w:position w:val="0"/>
          <w:sz w:val="20"/>
          <w:u w:val="none"/>
          <w:vertAlign w:val="baseline"/>
        </w:rPr>
        <w:t>If the EPM participant contests a matter that does not involve an issue contained in, or a calculation which contributes to, a reconciliation report or CR incentive payment report a notice of calculation error is not required. In these instances, if CMS does not receive a request for reconsideration from the EPM participant within 10 calendar days of the notice of the initial determination, the initial determination is deemed final and CMS proceeds with the action indicated in the initial determination. This does not apply to the limitations on review in paragraph (e) of this section.</w:t>
      </w:r>
    </w:p>
    <w:p>
      <w:pPr>
        <w:keepNext w:val="0"/>
        <w:numPr>
          <w:numId w:val="1581"/>
        </w:numPr>
        <w:spacing w:before="120" w:after="0" w:line="260" w:lineRule="atLeast"/>
        <w:ind w:right="0"/>
        <w:jc w:val="both"/>
      </w:pPr>
      <w:r>
        <w:rPr>
          <w:b/>
          <w:i/>
          <w:sz w:val="20"/>
        </w:rPr>
        <w:t>nt's termination from the EPM.</w:t>
      </w:r>
      <w:r>
        <w:rPr>
          <w:rFonts w:ascii="arial" w:eastAsia="arial" w:hAnsi="arial" w:cs="arial"/>
          <w:b w:val="0"/>
          <w:i w:val="0"/>
          <w:strike w:val="0"/>
          <w:noProof w:val="0"/>
          <w:color w:val="000000"/>
          <w:position w:val="0"/>
          <w:sz w:val="20"/>
          <w:u w:val="none"/>
          <w:vertAlign w:val="baseline"/>
        </w:rPr>
        <w:t>If an EPM participant receives notification that it has been terminated from the EPM and wishes to appeal such termination, it must provide a written request for reconsideration to CMS requesting review of the termination within 10 calendar days of the notice. CMS has 30 days to respond to the EPM participant's request for review. If the EPM participant fails to notify CMS, the termination is deemed final.</w:t>
      </w:r>
    </w:p>
    <w:p>
      <w:pPr>
        <w:keepNext w:val="0"/>
        <w:numPr>
          <w:numId w:val="1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section 1115A (d)(2) of the Act, there is no administrative or judicial review under sections 1869 or 1878 of the Act or otherwise for the following:</w:t>
      </w:r>
    </w:p>
    <w:p>
      <w:pPr>
        <w:keepNext w:val="0"/>
        <w:numPr>
          <w:numId w:val="1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selection of models for testing or expansion under section 1115A of the Act.</w:t>
      </w:r>
    </w:p>
    <w:p>
      <w:pPr>
        <w:keepNext w:val="0"/>
        <w:numPr>
          <w:numId w:val="1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selection of organizations, sites, or participants to test those models selected.</w:t>
      </w:r>
    </w:p>
    <w:p>
      <w:pPr>
        <w:keepNext w:val="0"/>
        <w:numPr>
          <w:numId w:val="1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elements, parameters, scope, and duration of such models for testing or dissemination.</w:t>
      </w:r>
    </w:p>
    <w:p>
      <w:pPr>
        <w:keepNext w:val="0"/>
        <w:numPr>
          <w:numId w:val="1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Determinations regarding budget neutrality under section 1115A(b)(3) of the Act.</w:t>
      </w:r>
    </w:p>
    <w:p>
      <w:pPr>
        <w:keepNext w:val="0"/>
        <w:numPr>
          <w:numId w:val="1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termination or modification of the design and implementation of a model under section 1115A(b)(3)(B) of Act.</w:t>
      </w:r>
    </w:p>
    <w:p>
      <w:pPr>
        <w:keepNext w:val="0"/>
        <w:numPr>
          <w:numId w:val="1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Decisions to expand the duration and scope of a model under section 1115A(c) of the Act, including the determination that a model is not expected to meet criteria described in paragraph (e)(1) or (2) of this section.</w:t>
      </w:r>
    </w:p>
    <w:p>
      <w:pPr>
        <w:numPr>
          <w:numId w:val="1584"/>
        </w:numPr>
        <w:spacing w:before="120" w:line="240" w:lineRule="atLeast"/>
      </w:pPr>
      <w:r>
        <w:rPr>
          <w:b/>
          <w:i w:val="0"/>
          <w:sz w:val="20"/>
        </w:rPr>
        <w:t>ores for determining reconciliation payment eligibility and effective and applicable discount factors.</w:t>
      </w:r>
    </w:p>
    <w:p>
      <w:pPr>
        <w:keepNext w:val="0"/>
        <w:numPr>
          <w:numId w:val="15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EPM participant's eligibility for a reconciliation payment under § 512.305, and the determination of effective discount factors and applicable discount factors for reconciliation and repayment, respectively, under paragraphs (b)(5), (c)(5), and (d)(5) of this section, for a performance year depend on the EPM participant's EPM composite quality score (including any quality performance points and quality improvement points earned) for that performance year. </w:t>
      </w:r>
      <w:r>
        <w:rPr>
          <w:rFonts w:ascii="arial" w:eastAsia="arial" w:hAnsi="arial" w:cs="arial"/>
          <w:b/>
          <w:i w:val="0"/>
          <w:strike w:val="0"/>
          <w:noProof w:val="0"/>
          <w:color w:val="000000"/>
          <w:position w:val="0"/>
          <w:sz w:val="20"/>
          <w:u w:val="none"/>
          <w:vertAlign w:val="baseline"/>
        </w:rPr>
        <w:t> [*635] </w:t>
      </w:r>
    </w:p>
    <w:p>
      <w:pPr>
        <w:numPr>
          <w:numId w:val="1586"/>
        </w:numPr>
        <w:spacing w:before="120" w:line="240" w:lineRule="atLeast"/>
      </w:pPr>
    </w:p>
    <w:p>
      <w:pPr>
        <w:keepNext w:val="0"/>
        <w:numPr>
          <w:numId w:val="1587"/>
        </w:numPr>
        <w:spacing w:before="120" w:after="0" w:line="260" w:lineRule="atLeast"/>
        <w:ind w:right="0"/>
        <w:jc w:val="both"/>
      </w:pPr>
      <w:r>
        <w:rPr>
          <w:b/>
          <w:i/>
          <w:sz w:val="20"/>
        </w:rPr>
        <w:t>y score.</w:t>
      </w:r>
      <w:r>
        <w:rPr>
          <w:rFonts w:ascii="arial" w:eastAsia="arial" w:hAnsi="arial" w:cs="arial"/>
          <w:b w:val="0"/>
          <w:i w:val="0"/>
          <w:strike w:val="0"/>
          <w:noProof w:val="0"/>
          <w:color w:val="000000"/>
          <w:position w:val="0"/>
          <w:sz w:val="20"/>
          <w:u w:val="none"/>
          <w:vertAlign w:val="baseline"/>
        </w:rPr>
        <w:t>CMS calculates an AMI model composite quality score for each AMI model participant for each performance year, which equals the sum of the following:</w:t>
      </w:r>
    </w:p>
    <w:p>
      <w:pPr>
        <w:keepNext w:val="0"/>
        <w:numPr>
          <w:numId w:val="15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AMI model participant's quality performance points for the Hospital 30-Day, All-Cause, Risk-Standardized Mortality Rate (RSMR) Following Acute Myocardial Infarction (NQF #0230) measure described in § 512.411(a)(1). This measure is weighted at 50 percent of the AMI model composite quality score.</w:t>
      </w:r>
    </w:p>
    <w:p>
      <w:pPr>
        <w:keepNext w:val="0"/>
        <w:numPr>
          <w:numId w:val="15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AMI model participant's quality performance points for the Excess Days in Acute Care after Hospitalization for AMI measure described in § 512.411(a)(2). This measure is weighted at 20 percent of the AMI model composite quality score.</w:t>
      </w:r>
    </w:p>
    <w:p>
      <w:pPr>
        <w:keepNext w:val="0"/>
        <w:numPr>
          <w:numId w:val="1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AMI model participant's quality performance points for the Hospital Consumer Assessment of Healthcare Providers and Systems Survey (NQF #0166) measure described in § 512.411(a)(3). This measure is weighted at 20 percent of the AMI model composite quality score.</w:t>
      </w:r>
    </w:p>
    <w:p>
      <w:pPr>
        <w:keepNext w:val="0"/>
        <w:numPr>
          <w:numId w:val="15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additional quality improvement points the AMI model participant may earn as a result of demonstrating improvement on the quality measures in § 512.411(a), as described in paragraph (b)(3) of this section.</w:t>
      </w:r>
    </w:p>
    <w:p>
      <w:pPr>
        <w:keepNext w:val="0"/>
        <w:numPr>
          <w:numId w:val="15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applicable, 2 additional points for successful Hybrid Hospital 30-Day, All-Cause, Risk-Standardized Mortality Rate Following Acute Myocardial Infarction (AMI) Hospitalization (NQF #2473) measure voluntary data submission as described in § 512.411(b)(2). Successful submission is weighted at 10 percent of the AMI model composite quality score.</w:t>
      </w:r>
    </w:p>
    <w:p>
      <w:pPr>
        <w:keepNext w:val="0"/>
        <w:numPr>
          <w:numId w:val="1593"/>
        </w:numPr>
        <w:spacing w:before="120" w:after="0" w:line="260" w:lineRule="atLeast"/>
        <w:ind w:right="0"/>
        <w:jc w:val="both"/>
      </w:pPr>
      <w:r>
        <w:rPr>
          <w:b/>
          <w:i/>
          <w:sz w:val="20"/>
        </w:rPr>
        <w:t>nce points.</w:t>
      </w:r>
      <w:r>
        <w:rPr>
          <w:rFonts w:ascii="arial" w:eastAsia="arial" w:hAnsi="arial" w:cs="arial"/>
          <w:b w:val="0"/>
          <w:i w:val="0"/>
          <w:strike w:val="0"/>
          <w:noProof w:val="0"/>
          <w:color w:val="000000"/>
          <w:position w:val="0"/>
          <w:sz w:val="20"/>
          <w:u w:val="none"/>
          <w:vertAlign w:val="baseline"/>
        </w:rPr>
        <w:t>CMS computes quality performance points for each quality measure based on the AMI model participant's performance percentile relative to the national distribution of all subsection (d) hospitals that are eligible for payment under the IPPS and meet the minimum measure patient case or survey count.</w:t>
      </w:r>
    </w:p>
    <w:p>
      <w:pPr>
        <w:keepNext w:val="0"/>
        <w:numPr>
          <w:numId w:val="15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Hospital 30-Day, All-Cause, Risk-Standardized Mortality Rate (RSMR) Following Acute Myocardial Infarction (NQF #0230) measure described in § 512.411(a)(1), CMS assigns the AMI model participant measure value to a performance percentile and then quality performance points are assigned based on the following performance percentile scale:</w:t>
      </w:r>
    </w:p>
    <w:p>
      <w:pPr>
        <w:keepNext w:val="0"/>
        <w:numPr>
          <w:numId w:val="15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10.00 points for &gt;/= 90th.</w:t>
      </w:r>
    </w:p>
    <w:p>
      <w:pPr>
        <w:keepNext w:val="0"/>
        <w:numPr>
          <w:numId w:val="15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9.25 points for &gt;/= 80th and &lt; 90th.</w:t>
      </w:r>
    </w:p>
    <w:p>
      <w:pPr>
        <w:keepNext w:val="0"/>
        <w:numPr>
          <w:numId w:val="1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8.50 points for &gt;/= 70th and &lt; 80th.</w:t>
      </w:r>
    </w:p>
    <w:p>
      <w:pPr>
        <w:keepNext w:val="0"/>
        <w:numPr>
          <w:numId w:val="15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7.75 points for &gt;/= 60th and &lt; 70th.</w:t>
      </w:r>
    </w:p>
    <w:p>
      <w:pPr>
        <w:keepNext w:val="0"/>
        <w:numPr>
          <w:numId w:val="15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7.00 points for &gt;/= 50th and &lt; 60th.</w:t>
      </w:r>
    </w:p>
    <w:p>
      <w:pPr>
        <w:keepNext w:val="0"/>
        <w:numPr>
          <w:numId w:val="1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6.25 points for &gt;/= 40th and &lt; 50th.</w:t>
      </w:r>
    </w:p>
    <w:p>
      <w:pPr>
        <w:keepNext w:val="0"/>
        <w:numPr>
          <w:numId w:val="1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5.50 points for &gt;/= 30th and &lt; 40th.</w:t>
      </w:r>
    </w:p>
    <w:p>
      <w:pPr>
        <w:keepNext w:val="0"/>
        <w:numPr>
          <w:numId w:val="16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0.00 points for &lt; 30th.</w:t>
      </w:r>
    </w:p>
    <w:p>
      <w:pPr>
        <w:keepNext w:val="0"/>
        <w:numPr>
          <w:numId w:val="16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Excess Days in Acute Care after Hospitalization for AMI measure described in § 512.411(a)(2), CMS assigns the AMI model participant measure value to a performance percentile and then quality performance points are assigned based on the following performance percentile scale:</w:t>
      </w:r>
    </w:p>
    <w:p>
      <w:pPr>
        <w:keepNext w:val="0"/>
        <w:numPr>
          <w:numId w:val="16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4.00 points for &gt;/= 90th.</w:t>
      </w:r>
    </w:p>
    <w:p>
      <w:pPr>
        <w:keepNext w:val="0"/>
        <w:numPr>
          <w:numId w:val="16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3.70 points for &gt;/= 80th and &lt; 90th.</w:t>
      </w:r>
    </w:p>
    <w:p>
      <w:pPr>
        <w:keepNext w:val="0"/>
        <w:numPr>
          <w:numId w:val="16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3.40 points for &gt;/= 70th and &lt; 80th.</w:t>
      </w:r>
    </w:p>
    <w:p>
      <w:pPr>
        <w:keepNext w:val="0"/>
        <w:numPr>
          <w:numId w:val="16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3.10 points for &gt;/= 60th and &lt; 70th.</w:t>
      </w:r>
    </w:p>
    <w:p>
      <w:pPr>
        <w:keepNext w:val="0"/>
        <w:numPr>
          <w:numId w:val="16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2.80 points for &gt;/= 50th and &lt; 60th.</w:t>
      </w:r>
    </w:p>
    <w:p>
      <w:pPr>
        <w:keepNext w:val="0"/>
        <w:numPr>
          <w:numId w:val="16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2.50 points for &gt;/= 40th and &lt; 50th.</w:t>
      </w:r>
    </w:p>
    <w:p>
      <w:pPr>
        <w:keepNext w:val="0"/>
        <w:numPr>
          <w:numId w:val="16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2.20 points for &gt;/= 30th and &lt; 40th.</w:t>
      </w:r>
    </w:p>
    <w:p>
      <w:pPr>
        <w:keepNext w:val="0"/>
        <w:numPr>
          <w:numId w:val="16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0.00 points for &lt; 30th.</w:t>
      </w:r>
    </w:p>
    <w:p>
      <w:pPr>
        <w:keepNext w:val="0"/>
        <w:numPr>
          <w:numId w:val="16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Hospital Consumer Assessment of Healthcare Providers and Systems Survey (NQF #0166) measure described in § 512.411(a)(3), CMS assigns the AMI model participant measure value to a performance percentile and then quality performance points are assigned based on the following performance percentile scale:</w:t>
      </w:r>
    </w:p>
    <w:p>
      <w:pPr>
        <w:keepNext w:val="0"/>
        <w:numPr>
          <w:numId w:val="16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4.00 points for &gt;/= 90th.</w:t>
      </w:r>
    </w:p>
    <w:p>
      <w:pPr>
        <w:keepNext w:val="0"/>
        <w:numPr>
          <w:numId w:val="16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3.70 points for &gt;/= 80th and &lt; 90th.</w:t>
      </w:r>
    </w:p>
    <w:p>
      <w:pPr>
        <w:keepNext w:val="0"/>
        <w:numPr>
          <w:numId w:val="1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3.40 points for &gt;/= 70th and &lt; 80th.</w:t>
      </w:r>
    </w:p>
    <w:p>
      <w:pPr>
        <w:keepNext w:val="0"/>
        <w:numPr>
          <w:numId w:val="16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3.10 points for &gt;/= 60th and &lt; 70th.</w:t>
      </w:r>
    </w:p>
    <w:p>
      <w:pPr>
        <w:keepNext w:val="0"/>
        <w:numPr>
          <w:numId w:val="1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2.80 points for &gt;/= 50th and &lt; 60th.</w:t>
      </w:r>
    </w:p>
    <w:p>
      <w:pPr>
        <w:keepNext w:val="0"/>
        <w:numPr>
          <w:numId w:val="16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2.50 points for &gt;/= 40th and &lt; 50th.</w:t>
      </w:r>
    </w:p>
    <w:p>
      <w:pPr>
        <w:keepNext w:val="0"/>
        <w:numPr>
          <w:numId w:val="16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2.20 points for &gt;/= 30th and &lt; 40th.</w:t>
      </w:r>
    </w:p>
    <w:p>
      <w:pPr>
        <w:keepNext w:val="0"/>
        <w:numPr>
          <w:numId w:val="1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0.00 points for &lt; 30th.</w:t>
      </w:r>
    </w:p>
    <w:p>
      <w:pPr>
        <w:keepNext w:val="0"/>
        <w:numPr>
          <w:numId w:val="1621"/>
        </w:numPr>
        <w:spacing w:before="120" w:after="0" w:line="260" w:lineRule="atLeast"/>
        <w:ind w:right="0"/>
        <w:jc w:val="both"/>
      </w:pPr>
      <w:r>
        <w:rPr>
          <w:b/>
          <w:i/>
          <w:sz w:val="20"/>
        </w:rPr>
        <w:t>ent points.</w:t>
      </w:r>
      <w:r>
        <w:rPr>
          <w:rFonts w:ascii="arial" w:eastAsia="arial" w:hAnsi="arial" w:cs="arial"/>
          <w:b w:val="0"/>
          <w:i w:val="0"/>
          <w:strike w:val="0"/>
          <w:noProof w:val="0"/>
          <w:color w:val="000000"/>
          <w:position w:val="0"/>
          <w:sz w:val="20"/>
          <w:u w:val="none"/>
          <w:vertAlign w:val="baseline"/>
        </w:rPr>
        <w:t>If an AMI model participant's own improvement in the participant's measure point estimate from the previous year on an individual measure described in § 512.411(a), regardless of the participant's measure point estimate starting and ending values, falls into the top 10 percent of all subsection (d) hospitals that are eligible for payment under the IPPS based on the national distribution of measure improvement over the most recent 2 years, then the AMI model participant is eligible to receive quality improvement points up to 10 percent of the total available points for that measure. The AMI model composite quality score is capped at 20 points.</w:t>
      </w:r>
    </w:p>
    <w:p>
      <w:pPr>
        <w:keepNext w:val="0"/>
        <w:numPr>
          <w:numId w:val="1622"/>
        </w:numPr>
        <w:spacing w:before="120" w:after="0" w:line="260" w:lineRule="atLeast"/>
        <w:ind w:right="0"/>
        <w:jc w:val="both"/>
      </w:pPr>
      <w:r>
        <w:rPr>
          <w:b/>
          <w:i/>
          <w:sz w:val="20"/>
        </w:rPr>
        <w:t>rticipants without a measure value.</w:t>
      </w:r>
      <w:r>
        <w:rPr>
          <w:rFonts w:ascii="arial" w:eastAsia="arial" w:hAnsi="arial" w:cs="arial"/>
          <w:b w:val="0"/>
          <w:i w:val="0"/>
          <w:strike w:val="0"/>
          <w:noProof w:val="0"/>
          <w:color w:val="000000"/>
          <w:position w:val="0"/>
          <w:sz w:val="20"/>
          <w:u w:val="none"/>
          <w:vertAlign w:val="baseline"/>
        </w:rPr>
        <w:t>In the case of an AMI model participant without a measure value that would allow CMS to assign quality performance points for that quality measure, CMS assigns the 50th percentile quality performance points to the AMI model participant for the individual measure.</w:t>
      </w:r>
    </w:p>
    <w:p>
      <w:pPr>
        <w:keepNext w:val="0"/>
        <w:numPr>
          <w:numId w:val="16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AMI model participant does not have a measure value for the--</w:t>
      </w:r>
    </w:p>
    <w:p>
      <w:pPr>
        <w:keepNext w:val="0"/>
        <w:numPr>
          <w:numId w:val="16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30-Day, All-Cause, Risk-Standardized Mortality Rate (RSMR) Following Acute Myocardial Infarction (NQF #0230) measure described in § 512.411(a)(1) if the participant does not meet the minimum 25 case count.</w:t>
      </w:r>
    </w:p>
    <w:p>
      <w:pPr>
        <w:keepNext w:val="0"/>
        <w:numPr>
          <w:numId w:val="16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Excess Days in Acute Care after Hospitalization for AMI measure described in § 512.411(a)(2) if the participant does not meet the minimum 25 case count.</w:t>
      </w:r>
    </w:p>
    <w:p>
      <w:pPr>
        <w:keepNext w:val="0"/>
        <w:numPr>
          <w:numId w:val="16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Consumer Assessment of Healthcare Providers and Systems Survey (NQF #0166) measure described in § 512.411(a)(3) if the participant does not meet the minimum of 100 completed surveys and does not have 4 consecutive quarters of HCAHPS data.</w:t>
      </w:r>
    </w:p>
    <w:p>
      <w:pPr>
        <w:keepNext w:val="0"/>
        <w:numPr>
          <w:numId w:val="16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Measures described in paragraphs (4)(i)(A) through (C) of this section, if CMS identifies an error in the data used to calculate the measure and suppresses the measure value.</w:t>
      </w:r>
    </w:p>
    <w:p>
      <w:pPr>
        <w:keepNext w:val="0"/>
        <w:numPr>
          <w:numId w:val="1628"/>
        </w:numPr>
        <w:spacing w:before="120" w:after="0" w:line="260" w:lineRule="atLeast"/>
        <w:ind w:right="0"/>
        <w:jc w:val="both"/>
      </w:pPr>
      <w:r>
        <w:rPr>
          <w:b/>
          <w:i/>
          <w:sz w:val="20"/>
        </w:rPr>
        <w:t>onciliation payment eligibility and effective and applicable discount factors.</w:t>
      </w:r>
      <w:r>
        <w:rPr>
          <w:rFonts w:ascii="arial" w:eastAsia="arial" w:hAnsi="arial" w:cs="arial"/>
          <w:b w:val="0"/>
          <w:i w:val="0"/>
          <w:strike w:val="0"/>
          <w:noProof w:val="0"/>
          <w:color w:val="000000"/>
          <w:position w:val="0"/>
          <w:sz w:val="20"/>
          <w:u w:val="none"/>
          <w:vertAlign w:val="baseline"/>
        </w:rPr>
        <w:t>CMS determines reconciliation payment eligibility and the effective discount factor for reconciliation payments in all performance years and repayment amounts in performance year 5, as well as the applicable discount factor for repayment amounts in performance year 2 for AMI model participants who elect early downside risk, and performance years 3 and 4 for all AMI model participants based on the AMI model composite quality score described in paragraph (b)(1) of this section.</w:t>
      </w:r>
    </w:p>
    <w:p>
      <w:pPr>
        <w:keepNext w:val="0"/>
        <w:numPr>
          <w:numId w:val="16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Reconciliation payment eligibility requires an acceptable or better quality category, defined as an AMI model composite quality score of greater than or equal to 3.8.</w:t>
      </w:r>
    </w:p>
    <w:p>
      <w:pPr>
        <w:keepNext w:val="0"/>
        <w:numPr>
          <w:numId w:val="1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discount factor for reconciliation payments.</w:t>
      </w:r>
    </w:p>
    <w:p>
      <w:pPr>
        <w:keepNext w:val="0"/>
        <w:numPr>
          <w:numId w:val="16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3.0 percentage point effective discount factor for AMI model participants in the unacceptable or acceptable category, defined as an AMI model composite quality score that is less than 6.3.</w:t>
      </w:r>
    </w:p>
    <w:p>
      <w:pPr>
        <w:keepNext w:val="0"/>
        <w:numPr>
          <w:numId w:val="16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2.0 percentage point effective discount factor for AMI model participants in the good quality category, defined as an AMI model composite quality score that is greater than or equal to 6.3 and less than or equal to 15.0.</w:t>
      </w:r>
    </w:p>
    <w:p>
      <w:pPr>
        <w:keepNext w:val="0"/>
        <w:numPr>
          <w:numId w:val="16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1.5 percentage point effective discount factor for AMI model participants in the excellent quality category, defined as an AMI model composite quality score that is greater than 15.0.</w:t>
      </w:r>
    </w:p>
    <w:p>
      <w:pPr>
        <w:keepNext w:val="0"/>
        <w:numPr>
          <w:numId w:val="1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Applicable discount factor for repayment amount in performance year 2 for AMI model participants who elect </w:t>
      </w:r>
      <w:r>
        <w:rPr>
          <w:rFonts w:ascii="arial" w:eastAsia="arial" w:hAnsi="arial" w:cs="arial"/>
          <w:b/>
          <w:i w:val="0"/>
          <w:strike w:val="0"/>
          <w:noProof w:val="0"/>
          <w:color w:val="000000"/>
          <w:position w:val="0"/>
          <w:sz w:val="20"/>
          <w:u w:val="none"/>
          <w:vertAlign w:val="baseline"/>
        </w:rPr>
        <w:t> [*636] </w:t>
      </w:r>
      <w:r>
        <w:rPr>
          <w:rFonts w:ascii="arial" w:eastAsia="arial" w:hAnsi="arial" w:cs="arial"/>
          <w:b w:val="0"/>
          <w:i w:val="0"/>
          <w:strike w:val="0"/>
          <w:noProof w:val="0"/>
          <w:color w:val="000000"/>
          <w:position w:val="0"/>
          <w:sz w:val="20"/>
          <w:u w:val="none"/>
          <w:vertAlign w:val="baseline"/>
        </w:rPr>
        <w:t xml:space="preserve"> early downside risk, and years 3 and 4 for all AMI model participants.</w:t>
      </w:r>
    </w:p>
    <w:p>
      <w:pPr>
        <w:keepNext w:val="0"/>
        <w:numPr>
          <w:numId w:val="16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2.0 percentage point applicable discount factor for AMI model participants in the unacceptable or acceptable quality category, defined as an AMI model composite quality score of less than 6.3.</w:t>
      </w:r>
    </w:p>
    <w:p>
      <w:pPr>
        <w:keepNext w:val="0"/>
        <w:numPr>
          <w:numId w:val="16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1.0 percentage point applicable discount factor for AMI model participants in the good quality category, defined as an AMI model composite quality score that is greater than or equal to 6.3 and less than or equal to 15.0.</w:t>
      </w:r>
    </w:p>
    <w:p>
      <w:pPr>
        <w:keepNext w:val="0"/>
        <w:numPr>
          <w:numId w:val="16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0.5 percentage point applicable discount factor for AMI model participants in the excellent quality category, defined as an AMI model composite quality scores that is greater than 15.0.</w:t>
      </w:r>
    </w:p>
    <w:p>
      <w:pPr>
        <w:keepNext w:val="0"/>
        <w:numPr>
          <w:numId w:val="1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discount factor for repayment amount in performance year 5 for all AMI model participants.</w:t>
      </w:r>
    </w:p>
    <w:p>
      <w:pPr>
        <w:keepNext w:val="0"/>
        <w:numPr>
          <w:numId w:val="16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3.0 percentage point applicable discount factor for AMI model participants in the unacceptable or acceptable quality category, defined as an AMI model composite quality score of less than 6.3.</w:t>
      </w:r>
    </w:p>
    <w:p>
      <w:pPr>
        <w:keepNext w:val="0"/>
        <w:numPr>
          <w:numId w:val="1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2.0 percentage point applicable discount factor for AMI model participants in the good quality category, defined as an AMI model composite quality score that is greater than or equal to 6.3 and less than or equal to 15.0.</w:t>
      </w:r>
    </w:p>
    <w:p>
      <w:pPr>
        <w:keepNext w:val="0"/>
        <w:numPr>
          <w:numId w:val="1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1.5 percentage point applicable discount factor for AMI model participants in the excellent quality category, defined as an AMI model composite quality scores that is greater than 15.0.</w:t>
      </w:r>
    </w:p>
    <w:p>
      <w:pPr>
        <w:numPr>
          <w:numId w:val="1642"/>
        </w:numPr>
        <w:spacing w:before="120" w:line="240" w:lineRule="atLeast"/>
      </w:pPr>
    </w:p>
    <w:p>
      <w:pPr>
        <w:keepNext w:val="0"/>
        <w:numPr>
          <w:numId w:val="1643"/>
        </w:numPr>
        <w:spacing w:before="120" w:after="0" w:line="260" w:lineRule="atLeast"/>
        <w:ind w:right="0"/>
        <w:jc w:val="both"/>
      </w:pPr>
      <w:r>
        <w:rPr>
          <w:b/>
          <w:i/>
          <w:sz w:val="20"/>
        </w:rPr>
        <w:t>ty score.</w:t>
      </w:r>
      <w:r>
        <w:rPr>
          <w:rFonts w:ascii="arial" w:eastAsia="arial" w:hAnsi="arial" w:cs="arial"/>
          <w:b w:val="0"/>
          <w:i w:val="0"/>
          <w:strike w:val="0"/>
          <w:noProof w:val="0"/>
          <w:color w:val="000000"/>
          <w:position w:val="0"/>
          <w:sz w:val="20"/>
          <w:u w:val="none"/>
          <w:vertAlign w:val="baseline"/>
        </w:rPr>
        <w:t>CMS calculates a CABG model composite quality score for each CABG model participant for each performance year, which equals the sum of the following:</w:t>
      </w:r>
    </w:p>
    <w:p>
      <w:pPr>
        <w:keepNext w:val="0"/>
        <w:numPr>
          <w:numId w:val="16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CABG model participant's quality performance points for the Hospital 30-Day, All-Cause, Risk-Standardized Mortality Rate (RSMR) Following Coronary Artery Bypass Graft (CABG) Surgery (NQF #2558) measure described in § 512.412(a)(1). This measure is weighted at 70 percent of the CABG model composite quality score.</w:t>
      </w:r>
    </w:p>
    <w:p>
      <w:pPr>
        <w:keepNext w:val="0"/>
        <w:numPr>
          <w:numId w:val="16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CABG model participant's quality performance points for the Hospital Consumer Assessment of Healthcare Providers and Systems Survey (NQF #0166) measure described in § 512.412(a)(2). This measure is weighted at 20 percent of the CABG model composite quality score.</w:t>
      </w:r>
    </w:p>
    <w:p>
      <w:pPr>
        <w:keepNext w:val="0"/>
        <w:numPr>
          <w:numId w:val="1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applicable, 2 additional points for successful submission of the STS CABG data that supports the following 7 measures:</w:t>
      </w:r>
    </w:p>
    <w:p>
      <w:pPr>
        <w:keepNext w:val="0"/>
        <w:numPr>
          <w:numId w:val="16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NQF #0134--CABG: Use of Internal Mammary Artery in Patients with Isolated CABG Surgery.</w:t>
      </w:r>
    </w:p>
    <w:p>
      <w:pPr>
        <w:keepNext w:val="0"/>
        <w:numPr>
          <w:numId w:val="16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NQF #0236--CABG: Preoperative Beta Blocker in Patients with Isolated CABG Surgery.</w:t>
      </w:r>
    </w:p>
    <w:p>
      <w:pPr>
        <w:keepNext w:val="0"/>
        <w:numPr>
          <w:numId w:val="1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NQF #0129--CABG: Prolonged Intubation (defined as &gt;24hrs post surgery).</w:t>
      </w:r>
    </w:p>
    <w:p>
      <w:pPr>
        <w:keepNext w:val="0"/>
        <w:numPr>
          <w:numId w:val="16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NQF #0130--CABG: Deep Sternal Wound Infection Rate.</w:t>
      </w:r>
    </w:p>
    <w:p>
      <w:pPr>
        <w:keepNext w:val="0"/>
        <w:numPr>
          <w:numId w:val="16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NQF #0131--CABG: Stroke.</w:t>
      </w:r>
    </w:p>
    <w:p>
      <w:pPr>
        <w:keepNext w:val="0"/>
        <w:numPr>
          <w:numId w:val="16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NQF #0114--CABG: Postoperative Renal Failure.</w:t>
      </w:r>
    </w:p>
    <w:p>
      <w:pPr>
        <w:keepNext w:val="0"/>
        <w:numPr>
          <w:numId w:val="16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NQF #0115--CABG: Surgical Re-Exploration. The submission of this measure data is weighted at 10 percent of the CABG model composite quality score.</w:t>
      </w:r>
    </w:p>
    <w:p>
      <w:pPr>
        <w:keepNext w:val="0"/>
        <w:numPr>
          <w:numId w:val="1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additional quality improvement points the CABG model participant may earn as a result of demonstrating improvement on the quality measures in paragraphs (b)(1)(i) and (ii) of this section, as described in paragraph (c)(3) of this section.</w:t>
      </w:r>
    </w:p>
    <w:p>
      <w:pPr>
        <w:keepNext w:val="0"/>
        <w:numPr>
          <w:numId w:val="1655"/>
        </w:numPr>
        <w:spacing w:before="120" w:after="0" w:line="260" w:lineRule="atLeast"/>
        <w:ind w:right="0"/>
        <w:jc w:val="both"/>
      </w:pPr>
      <w:r>
        <w:rPr>
          <w:b/>
          <w:i/>
          <w:sz w:val="20"/>
        </w:rPr>
        <w:t>ance points.</w:t>
      </w:r>
      <w:r>
        <w:rPr>
          <w:rFonts w:ascii="arial" w:eastAsia="arial" w:hAnsi="arial" w:cs="arial"/>
          <w:b w:val="0"/>
          <w:i w:val="0"/>
          <w:strike w:val="0"/>
          <w:noProof w:val="0"/>
          <w:color w:val="000000"/>
          <w:position w:val="0"/>
          <w:sz w:val="20"/>
          <w:u w:val="none"/>
          <w:vertAlign w:val="baseline"/>
        </w:rPr>
        <w:t>CMS computes quality performance points for each quality measure based on the CABG model participant's performance percentile relative to the national distribution of all subsection (d) hospitals that are eligible for payment under the IPPS and meet the minimum measure patient case or survey count.</w:t>
      </w:r>
    </w:p>
    <w:p>
      <w:pPr>
        <w:keepNext w:val="0"/>
        <w:numPr>
          <w:numId w:val="16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Hospital 30-Day, All-Cause, Risk-Standardized Mortality Rate (RSMR) Following Coronary Artery Bypass Graft (CABG) Surgery (NQF #2558) measure described in § 512.412(a)(1), CMS assigns the CABG model participant measure value to a performance percentile and then quality performance points are assigned based on the following performance percentile scale:</w:t>
      </w:r>
    </w:p>
    <w:p>
      <w:pPr>
        <w:keepNext w:val="0"/>
        <w:numPr>
          <w:numId w:val="1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14.00 points for &gt;/= 90th.</w:t>
      </w:r>
    </w:p>
    <w:p>
      <w:pPr>
        <w:keepNext w:val="0"/>
        <w:numPr>
          <w:numId w:val="1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12.95 points for &gt;/= 80th and &lt; 90th.</w:t>
      </w:r>
    </w:p>
    <w:p>
      <w:pPr>
        <w:keepNext w:val="0"/>
        <w:numPr>
          <w:numId w:val="16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11.90 points for &gt;/= 70th and &lt; 80th.</w:t>
      </w:r>
    </w:p>
    <w:p>
      <w:pPr>
        <w:keepNext w:val="0"/>
        <w:numPr>
          <w:numId w:val="16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10.85 points for &gt;/= 60th and &lt; 70th.</w:t>
      </w:r>
    </w:p>
    <w:p>
      <w:pPr>
        <w:keepNext w:val="0"/>
        <w:numPr>
          <w:numId w:val="1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9.80 points for &gt;/= 50th and &lt; 60th.</w:t>
      </w:r>
    </w:p>
    <w:p>
      <w:pPr>
        <w:keepNext w:val="0"/>
        <w:numPr>
          <w:numId w:val="16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8.75 points for &gt;/= 40th and &lt; 50th.</w:t>
      </w:r>
    </w:p>
    <w:p>
      <w:pPr>
        <w:keepNext w:val="0"/>
        <w:numPr>
          <w:numId w:val="16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7.70 points for &gt;/= 30th and &lt; 40th.</w:t>
      </w:r>
    </w:p>
    <w:p>
      <w:pPr>
        <w:keepNext w:val="0"/>
        <w:numPr>
          <w:numId w:val="16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0.00 points for &lt; 30th.</w:t>
      </w:r>
    </w:p>
    <w:p>
      <w:pPr>
        <w:keepNext w:val="0"/>
        <w:numPr>
          <w:numId w:val="16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Hospital Consumer Assessment of Healthcare Providers and Systems Survey (NQF #0166) measure described in § 512.412(a)(2), CMS assigns the CABG model participant measure value to a performance percentile and then quality performance points are assigned based on the following performance percentile scale:</w:t>
      </w:r>
    </w:p>
    <w:p>
      <w:pPr>
        <w:keepNext w:val="0"/>
        <w:numPr>
          <w:numId w:val="1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4.00 points for &gt;/= 90th.</w:t>
      </w:r>
    </w:p>
    <w:p>
      <w:pPr>
        <w:keepNext w:val="0"/>
        <w:numPr>
          <w:numId w:val="16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3.70 points for &gt;/= 80th and &lt; 90th.</w:t>
      </w:r>
    </w:p>
    <w:p>
      <w:pPr>
        <w:keepNext w:val="0"/>
        <w:numPr>
          <w:numId w:val="16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3.40 points for &gt;/= 70th and &lt; 80th.</w:t>
      </w:r>
    </w:p>
    <w:p>
      <w:pPr>
        <w:keepNext w:val="0"/>
        <w:numPr>
          <w:numId w:val="16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3.10 points for &gt;/= 60th and &lt; 70th.</w:t>
      </w:r>
    </w:p>
    <w:p>
      <w:pPr>
        <w:keepNext w:val="0"/>
        <w:numPr>
          <w:numId w:val="1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2.80 points for &gt;/= 50th and &lt; 60th.</w:t>
      </w:r>
    </w:p>
    <w:p>
      <w:pPr>
        <w:keepNext w:val="0"/>
        <w:numPr>
          <w:numId w:val="16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2.50 points for &gt;/= 40th and &lt; 50th.</w:t>
      </w:r>
    </w:p>
    <w:p>
      <w:pPr>
        <w:keepNext w:val="0"/>
        <w:numPr>
          <w:numId w:val="1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2.20 points for &gt;/= 30th and &lt; 40th.</w:t>
      </w:r>
    </w:p>
    <w:p>
      <w:pPr>
        <w:keepNext w:val="0"/>
        <w:numPr>
          <w:numId w:val="16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0.00 points for &lt; 30th.</w:t>
      </w:r>
    </w:p>
    <w:p>
      <w:pPr>
        <w:keepNext w:val="0"/>
        <w:numPr>
          <w:numId w:val="1674"/>
        </w:numPr>
        <w:spacing w:before="120" w:after="0" w:line="260" w:lineRule="atLeast"/>
        <w:ind w:right="0"/>
        <w:jc w:val="both"/>
      </w:pPr>
      <w:r>
        <w:rPr>
          <w:b/>
          <w:i/>
          <w:sz w:val="20"/>
        </w:rPr>
        <w:t>ment points.</w:t>
      </w:r>
      <w:r>
        <w:rPr>
          <w:rFonts w:ascii="arial" w:eastAsia="arial" w:hAnsi="arial" w:cs="arial"/>
          <w:b w:val="0"/>
          <w:i w:val="0"/>
          <w:strike w:val="0"/>
          <w:noProof w:val="0"/>
          <w:color w:val="000000"/>
          <w:position w:val="0"/>
          <w:sz w:val="20"/>
          <w:u w:val="none"/>
          <w:vertAlign w:val="baseline"/>
        </w:rPr>
        <w:t>If a CABG model participant's own improvement in the participant's measure point estimate from the previous year on an individual measure described in § 512.412(a), regardless of the participant's measure point estimate starting and ending values, falls into the top 10 percent of all subsection (d) hospitals that are eligible for payment under the IPPS based on the national distribution of measure improvement over the most recent 2 years, then the CABG model participant is eligible to receive quality improvement points up to 10 percent of the total available points for that measure. The total CABG model composite quality score is capped at 20 points.</w:t>
      </w:r>
    </w:p>
    <w:p>
      <w:pPr>
        <w:keepNext w:val="0"/>
        <w:numPr>
          <w:numId w:val="1675"/>
        </w:numPr>
        <w:spacing w:before="120" w:after="0" w:line="260" w:lineRule="atLeast"/>
        <w:ind w:right="0"/>
        <w:jc w:val="both"/>
      </w:pPr>
      <w:r>
        <w:rPr>
          <w:b/>
          <w:i/>
          <w:sz w:val="20"/>
        </w:rPr>
        <w:t>articipants without a measure value.</w:t>
      </w:r>
      <w:r>
        <w:rPr>
          <w:rFonts w:ascii="arial" w:eastAsia="arial" w:hAnsi="arial" w:cs="arial"/>
          <w:b w:val="0"/>
          <w:i w:val="0"/>
          <w:strike w:val="0"/>
          <w:noProof w:val="0"/>
          <w:color w:val="000000"/>
          <w:position w:val="0"/>
          <w:sz w:val="20"/>
          <w:u w:val="none"/>
          <w:vertAlign w:val="baseline"/>
        </w:rPr>
        <w:t>In the case of a CABG model participant without a measure value that would allow CMS to assign quality performance points for that quality measure, CMS assigns the 50th percentile quality performance points to the hospital for the individual measure.</w:t>
      </w:r>
    </w:p>
    <w:p>
      <w:pPr>
        <w:keepNext w:val="0"/>
        <w:numPr>
          <w:numId w:val="16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CABG model participant does not have a measure value for the--</w:t>
      </w:r>
    </w:p>
    <w:p>
      <w:pPr>
        <w:keepNext w:val="0"/>
        <w:numPr>
          <w:numId w:val="16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30-Day, All-Cause, Risk-Standardized Mortality Rate (RSMR) Following Coronary Artery Bypass Graft (CABG) Surgery (NQF #2558) measure described in § 512.412(a)(1) if the CABG model participant does not meet the minimum 25 case count.</w:t>
      </w:r>
    </w:p>
    <w:p>
      <w:pPr>
        <w:keepNext w:val="0"/>
        <w:numPr>
          <w:numId w:val="16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Consumer Assessment of Healthcare Providers and Systems Survey (NQF #0166) measure described in § 512.412(a)(2) if the CABG model participant does not meet the minimum of 100 completed surveys and does not have 4 consecutive quarters of HCAHPS data.</w:t>
      </w:r>
    </w:p>
    <w:p>
      <w:pPr>
        <w:keepNext w:val="0"/>
        <w:numPr>
          <w:numId w:val="16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Measures described in paragraphs (c)(4)(i)(A) and (c)(4)(i)(B) of this section, if CMS identifies an error in the data used to calculate the measure and suppresses the measure value.</w:t>
      </w:r>
    </w:p>
    <w:p>
      <w:pPr>
        <w:keepNext w:val="0"/>
        <w:numPr>
          <w:numId w:val="1680"/>
        </w:numPr>
        <w:spacing w:before="120" w:after="0" w:line="260" w:lineRule="atLeast"/>
        <w:ind w:right="0"/>
        <w:jc w:val="both"/>
      </w:pPr>
      <w:r>
        <w:rPr>
          <w:b/>
          <w:i/>
          <w:sz w:val="20"/>
        </w:rPr>
        <w:t>conciliation payment eligibility and effective and applicable discount factors.</w:t>
      </w:r>
      <w:r>
        <w:rPr>
          <w:rFonts w:ascii="arial" w:eastAsia="arial" w:hAnsi="arial" w:cs="arial"/>
          <w:b w:val="0"/>
          <w:i w:val="0"/>
          <w:strike w:val="0"/>
          <w:noProof w:val="0"/>
          <w:color w:val="000000"/>
          <w:position w:val="0"/>
          <w:sz w:val="20"/>
          <w:u w:val="none"/>
          <w:vertAlign w:val="baseline"/>
        </w:rPr>
        <w:t xml:space="preserve">CMS determines reconciliation payment eligibility and the effective discount factor for reconciliation payments in all performance years and repayment amounts in performance year 5, as well as applicable discount factor for repayment amounts in performance years 2 for CABG model participants who elect early downside risk, and for performance years 3 and 4 for all CABG model participants, based on the CABG </w:t>
      </w:r>
      <w:r>
        <w:rPr>
          <w:rFonts w:ascii="arial" w:eastAsia="arial" w:hAnsi="arial" w:cs="arial"/>
          <w:b/>
          <w:i w:val="0"/>
          <w:strike w:val="0"/>
          <w:noProof w:val="0"/>
          <w:color w:val="000000"/>
          <w:position w:val="0"/>
          <w:sz w:val="20"/>
          <w:u w:val="none"/>
          <w:vertAlign w:val="baseline"/>
        </w:rPr>
        <w:t> [*637] </w:t>
      </w:r>
      <w:r>
        <w:rPr>
          <w:rFonts w:ascii="arial" w:eastAsia="arial" w:hAnsi="arial" w:cs="arial"/>
          <w:b w:val="0"/>
          <w:i w:val="0"/>
          <w:strike w:val="0"/>
          <w:noProof w:val="0"/>
          <w:color w:val="000000"/>
          <w:position w:val="0"/>
          <w:sz w:val="20"/>
          <w:u w:val="none"/>
          <w:vertAlign w:val="baseline"/>
        </w:rPr>
        <w:t xml:space="preserve"> model composite quality score described in paragraph (c)(1) of this section.</w:t>
      </w:r>
    </w:p>
    <w:p>
      <w:pPr>
        <w:keepNext w:val="0"/>
        <w:numPr>
          <w:numId w:val="16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Reconciliation payment eligibility requires an acceptable or better quality category, defined as a CABG model composite quality score of greater than 2.2.</w:t>
      </w:r>
    </w:p>
    <w:p>
      <w:pPr>
        <w:keepNext w:val="0"/>
        <w:numPr>
          <w:numId w:val="1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discount factor for reconciliation payments.</w:t>
      </w:r>
    </w:p>
    <w:p>
      <w:pPr>
        <w:keepNext w:val="0"/>
        <w:numPr>
          <w:numId w:val="16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3.0 percentage point effective discount factor for CABG model participants in the unacceptable or acceptable quality category, defined as a CABG model composite quality score that is less than or equal to 3.4.</w:t>
      </w:r>
    </w:p>
    <w:p>
      <w:pPr>
        <w:keepNext w:val="0"/>
        <w:numPr>
          <w:numId w:val="16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2.0 percentage point effective discount factor for CABG model participants in the good quality category, defined as a CABG model composite quality score that is greater than 3.4 and less than or equal to 16.2.</w:t>
      </w:r>
    </w:p>
    <w:p>
      <w:pPr>
        <w:keepNext w:val="0"/>
        <w:numPr>
          <w:numId w:val="16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1.5 percentage point effective discount factor for CABG model participants in the excellent quality category, defined as a CABG model composite quality score that are greater than 16.2.</w:t>
      </w:r>
    </w:p>
    <w:p>
      <w:pPr>
        <w:keepNext w:val="0"/>
        <w:numPr>
          <w:numId w:val="16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Applicable discount factor for repayment amount in performance year 2 for CABG model participants who elect early downside risk, and years 3 and 4 for all EPM participants.</w:t>
      </w:r>
    </w:p>
    <w:p>
      <w:pPr>
        <w:keepNext w:val="0"/>
        <w:numPr>
          <w:numId w:val="16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2.0 percentage point applicable discount factor for CABG model participants in the unacceptable or acceptable quality category, defined as a CABG model composite quality score of less than or equal to 3.4.</w:t>
      </w:r>
    </w:p>
    <w:p>
      <w:pPr>
        <w:keepNext w:val="0"/>
        <w:numPr>
          <w:numId w:val="1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1.0 percentage point applicable discount factor for CABG model participants in the good quality category, defined as a CABG model composite quality score that is greater than 3.4 and less than or equal to 16.2.</w:t>
      </w:r>
    </w:p>
    <w:p>
      <w:pPr>
        <w:keepNext w:val="0"/>
        <w:numPr>
          <w:numId w:val="16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0.5 percentage point applicable discount factor for CABG model participants in the excellent quality category, defined as a CABG model composite quality scores that is greater than 16.2.</w:t>
      </w:r>
    </w:p>
    <w:p>
      <w:pPr>
        <w:keepNext w:val="0"/>
        <w:numPr>
          <w:numId w:val="16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discount factor for repayment amount in performance year 5 for all CABG model participants.</w:t>
      </w:r>
    </w:p>
    <w:p>
      <w:pPr>
        <w:keepNext w:val="0"/>
        <w:numPr>
          <w:numId w:val="1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3.0 percentage point applicable discount factor for CABG model participants in the unacceptable or acceptable quality category, defined as a CABG model composite quality score of less than or equal to 3.4.</w:t>
      </w:r>
    </w:p>
    <w:p>
      <w:pPr>
        <w:keepNext w:val="0"/>
        <w:numPr>
          <w:numId w:val="16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2.0 percentage point applicable discount factor for CABG model participants in the good quality category, defined as a CABG model composite quality score that is greater than 3.4 and less than or or equal to 16.2.</w:t>
      </w:r>
    </w:p>
    <w:p>
      <w:pPr>
        <w:keepNext w:val="0"/>
        <w:numPr>
          <w:numId w:val="16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1.5 percentage point applicable discount factor for CABG model participants in the excellent quality category, defined as a CABG model composite quality scores that is greater than 16.2.</w:t>
      </w:r>
    </w:p>
    <w:p>
      <w:pPr>
        <w:numPr>
          <w:numId w:val="1694"/>
        </w:numPr>
        <w:spacing w:before="120" w:line="240" w:lineRule="atLeast"/>
      </w:pPr>
    </w:p>
    <w:p>
      <w:pPr>
        <w:keepNext w:val="0"/>
        <w:numPr>
          <w:numId w:val="1695"/>
        </w:numPr>
        <w:spacing w:before="120" w:after="0" w:line="260" w:lineRule="atLeast"/>
        <w:ind w:right="0"/>
        <w:jc w:val="both"/>
      </w:pPr>
      <w:r>
        <w:rPr>
          <w:b/>
          <w:i/>
          <w:sz w:val="20"/>
        </w:rPr>
        <w:t>ity score.</w:t>
      </w:r>
      <w:r>
        <w:rPr>
          <w:rFonts w:ascii="arial" w:eastAsia="arial" w:hAnsi="arial" w:cs="arial"/>
          <w:b w:val="0"/>
          <w:i w:val="0"/>
          <w:strike w:val="0"/>
          <w:noProof w:val="0"/>
          <w:color w:val="000000"/>
          <w:position w:val="0"/>
          <w:sz w:val="20"/>
          <w:u w:val="none"/>
          <w:vertAlign w:val="baseline"/>
        </w:rPr>
        <w:t>CMS calculates a SHFFT model composite quality score for each SHFFT model participant for each performance year, which equals the sum of the following:</w:t>
      </w:r>
    </w:p>
    <w:p>
      <w:pPr>
        <w:keepNext w:val="0"/>
        <w:numPr>
          <w:numId w:val="16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SHFFT model participant's quality performance points for the Hospital-Level Risk-Standardized Complication Rate following Elective Primary Total Hip Arthroplasty and/or Total Knee Arthroplasty (NQF #1550) measure described in § 512.413(a)(1). This measure is weighted at 50 percent of the SHFFT model composite quality score.</w:t>
      </w:r>
    </w:p>
    <w:p>
      <w:pPr>
        <w:keepNext w:val="0"/>
        <w:numPr>
          <w:numId w:val="16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SHFFT model participant's quality performance points for the Hospital Consumer Assessment of Healthcare Providers and Systems Survey (NQF #0166) measure described in § 512.413(a)(2). This measure is weighted at 40 percent of the SHFFT model composite quality score.</w:t>
      </w:r>
    </w:p>
    <w:p>
      <w:pPr>
        <w:keepNext w:val="0"/>
        <w:numPr>
          <w:numId w:val="16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additional quality improvement points the SHFFT model participant may earn as a result of demonstrating improvement on either or both of the quality measures in paragraphs (d)(1)(i) and (ii) of this section, as described in paragraph (d)(3) of this section.</w:t>
      </w:r>
    </w:p>
    <w:p>
      <w:pPr>
        <w:keepNext w:val="0"/>
        <w:numPr>
          <w:numId w:val="16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applicable, 2 additional points for successful THA/TKA voluntary data submission of patient-reported outcomes and limited risk variable data, as described in § 512.413(b)(2). Successful submission is weighted at 10 percent of the SHFFT model composite quality score.</w:t>
      </w:r>
    </w:p>
    <w:p>
      <w:pPr>
        <w:keepNext w:val="0"/>
        <w:numPr>
          <w:numId w:val="1700"/>
        </w:numPr>
        <w:spacing w:before="120" w:after="0" w:line="260" w:lineRule="atLeast"/>
        <w:ind w:right="0"/>
        <w:jc w:val="both"/>
      </w:pPr>
      <w:r>
        <w:rPr>
          <w:b/>
          <w:i/>
          <w:sz w:val="20"/>
        </w:rPr>
        <w:t>mance points.</w:t>
      </w:r>
      <w:r>
        <w:rPr>
          <w:rFonts w:ascii="arial" w:eastAsia="arial" w:hAnsi="arial" w:cs="arial"/>
          <w:b w:val="0"/>
          <w:i w:val="0"/>
          <w:strike w:val="0"/>
          <w:noProof w:val="0"/>
          <w:color w:val="000000"/>
          <w:position w:val="0"/>
          <w:sz w:val="20"/>
          <w:u w:val="none"/>
          <w:vertAlign w:val="baseline"/>
        </w:rPr>
        <w:t>CMS computes quality performance points for each quality measure based on the SHFFT model participant's performance percentile on that measure relative to the national distribution of all subsection (d) hospitals that are eligible for payment under the IPPS and meet the minimum measure patient case or survey count.</w:t>
      </w:r>
    </w:p>
    <w:p>
      <w:pPr>
        <w:keepNext w:val="0"/>
        <w:numPr>
          <w:numId w:val="17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Hospital-Level Risk-Standardized Complication Rate Following Elective Primary Total Hip Arthroplasty and/or Total Knee Arthroplasty (NQF #1550) measure described in § 512.413(a)(1), CMS assigns the SHFFT model participant measure value to a performance percentile and then quality performance points are assigned based on the following performance percentile scale:</w:t>
      </w:r>
    </w:p>
    <w:p>
      <w:pPr>
        <w:keepNext w:val="0"/>
        <w:numPr>
          <w:numId w:val="17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10.00 points for &gt;/= 90th.</w:t>
      </w:r>
    </w:p>
    <w:p>
      <w:pPr>
        <w:keepNext w:val="0"/>
        <w:numPr>
          <w:numId w:val="17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9.25 points for &gt;/= 80th and &lt; 90th.</w:t>
      </w:r>
    </w:p>
    <w:p>
      <w:pPr>
        <w:keepNext w:val="0"/>
        <w:numPr>
          <w:numId w:val="17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8.50 points for &gt;/= 70th and &lt; 80th.</w:t>
      </w:r>
    </w:p>
    <w:p>
      <w:pPr>
        <w:keepNext w:val="0"/>
        <w:numPr>
          <w:numId w:val="17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7.75 points for &gt;/= 60th and &lt; 70th.</w:t>
      </w:r>
    </w:p>
    <w:p>
      <w:pPr>
        <w:keepNext w:val="0"/>
        <w:numPr>
          <w:numId w:val="17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7.00 points for &gt;/= 50th and &lt; 60th.</w:t>
      </w:r>
    </w:p>
    <w:p>
      <w:pPr>
        <w:keepNext w:val="0"/>
        <w:numPr>
          <w:numId w:val="17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6.25 points for &gt;/= 40th and &lt; 50th.</w:t>
      </w:r>
    </w:p>
    <w:p>
      <w:pPr>
        <w:keepNext w:val="0"/>
        <w:numPr>
          <w:numId w:val="17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5.50 points for &gt;/= 30th and &lt; 40th.</w:t>
      </w:r>
    </w:p>
    <w:p>
      <w:pPr>
        <w:keepNext w:val="0"/>
        <w:numPr>
          <w:numId w:val="17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0.00 points for &lt; 30th.</w:t>
      </w:r>
    </w:p>
    <w:p>
      <w:pPr>
        <w:keepNext w:val="0"/>
        <w:numPr>
          <w:numId w:val="1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Hospital Consumer Assessment of Healthcare Providers and Systems Survey (NQF #0166) measure described in § 512.413(a)(2), CMS assigns the SHFFT model participant measure value to a performance percentile and then quality performance points are assigned based on the following performance percentile scale:</w:t>
      </w:r>
    </w:p>
    <w:p>
      <w:pPr>
        <w:keepNext w:val="0"/>
        <w:numPr>
          <w:numId w:val="17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8.00 points for &gt;/= 90th.</w:t>
      </w:r>
    </w:p>
    <w:p>
      <w:pPr>
        <w:keepNext w:val="0"/>
        <w:numPr>
          <w:numId w:val="17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7.40 points for &gt;/= 80th and &lt; 90th.</w:t>
      </w:r>
    </w:p>
    <w:p>
      <w:pPr>
        <w:keepNext w:val="0"/>
        <w:numPr>
          <w:numId w:val="17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6.80 points for &gt;/= 70th and &lt; 80th.</w:t>
      </w:r>
    </w:p>
    <w:p>
      <w:pPr>
        <w:keepNext w:val="0"/>
        <w:numPr>
          <w:numId w:val="17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6.20 points for &gt;/= 60th and &lt; 70th.</w:t>
      </w:r>
    </w:p>
    <w:p>
      <w:pPr>
        <w:keepNext w:val="0"/>
        <w:numPr>
          <w:numId w:val="1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5.60 points for &gt;/= 50th and &lt; 60th.</w:t>
      </w:r>
    </w:p>
    <w:p>
      <w:pPr>
        <w:keepNext w:val="0"/>
        <w:numPr>
          <w:numId w:val="17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5.00 points for &gt;/= 40th and &lt; 50th.</w:t>
      </w:r>
    </w:p>
    <w:p>
      <w:pPr>
        <w:keepNext w:val="0"/>
        <w:numPr>
          <w:numId w:val="1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4.40 points for &gt;/= 30th and &lt; 40th.</w:t>
      </w:r>
    </w:p>
    <w:p>
      <w:pPr>
        <w:keepNext w:val="0"/>
        <w:numPr>
          <w:numId w:val="17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0.00 points for &lt; 30th.</w:t>
      </w:r>
    </w:p>
    <w:p>
      <w:pPr>
        <w:keepNext w:val="0"/>
        <w:numPr>
          <w:numId w:val="1719"/>
        </w:numPr>
        <w:spacing w:before="120" w:after="0" w:line="260" w:lineRule="atLeast"/>
        <w:ind w:right="0"/>
        <w:jc w:val="both"/>
      </w:pPr>
      <w:r>
        <w:rPr>
          <w:b/>
          <w:i/>
          <w:sz w:val="20"/>
        </w:rPr>
        <w:t>points.</w:t>
      </w:r>
      <w:r>
        <w:rPr>
          <w:rFonts w:ascii="arial" w:eastAsia="arial" w:hAnsi="arial" w:cs="arial"/>
          <w:b w:val="0"/>
          <w:i w:val="0"/>
          <w:strike w:val="0"/>
          <w:noProof w:val="0"/>
          <w:color w:val="000000"/>
          <w:position w:val="0"/>
          <w:sz w:val="20"/>
          <w:u w:val="none"/>
          <w:vertAlign w:val="baseline"/>
        </w:rPr>
        <w:t>If a SHFFT model participant's quality performance percentile on an individual measure described in § 512.413(a) increases from the previous performance year by at least 2 deciles on the performance percentile scale, then the SHFFT model participant is eligible to receive quality improvement points up to 10 percent of the total available points for that individual measure. The total SHFFT model composite quality score is capped at 20 points.</w:t>
      </w:r>
    </w:p>
    <w:p>
      <w:pPr>
        <w:keepNext w:val="0"/>
        <w:numPr>
          <w:numId w:val="1720"/>
        </w:numPr>
        <w:spacing w:before="120" w:after="0" w:line="260" w:lineRule="atLeast"/>
        <w:ind w:right="0"/>
        <w:jc w:val="both"/>
      </w:pPr>
      <w:r>
        <w:rPr>
          <w:b/>
          <w:i/>
          <w:sz w:val="20"/>
        </w:rPr>
        <w:t>participants without a measure value.</w:t>
      </w:r>
      <w:r>
        <w:rPr>
          <w:rFonts w:ascii="arial" w:eastAsia="arial" w:hAnsi="arial" w:cs="arial"/>
          <w:b w:val="0"/>
          <w:i w:val="0"/>
          <w:strike w:val="0"/>
          <w:noProof w:val="0"/>
          <w:color w:val="000000"/>
          <w:position w:val="0"/>
          <w:sz w:val="20"/>
          <w:u w:val="none"/>
          <w:vertAlign w:val="baseline"/>
        </w:rPr>
        <w:t>In the case of a SHFFT model participant without a measure value that would allow CMS to assign quality performance points for that quality measure, CMS assigns the 50th percentile quality performance points to the participant for the individual measure.</w:t>
      </w:r>
    </w:p>
    <w:p>
      <w:pPr>
        <w:keepNext w:val="0"/>
        <w:numPr>
          <w:numId w:val="17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SHFFT model participant does not have a measure value for the--</w:t>
      </w:r>
    </w:p>
    <w:p>
      <w:pPr>
        <w:keepNext w:val="0"/>
        <w:numPr>
          <w:numId w:val="1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Hospital-Level Risk-Standardized Complication Fate Following Elective Primary Total Hip Arthroplasty and/or Total Knee Arthroplasty (NQF #1550) measure described in § 510.413(a)(1) if the participant does not meet the minimum 25 case count; or</w:t>
      </w:r>
    </w:p>
    <w:p>
      <w:pPr>
        <w:keepNext w:val="0"/>
        <w:numPr>
          <w:numId w:val="17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Consumer Assessment of Healthcare Providers and Systems Survey measure (NQF #0166) described in § 510.413(a)(2) if the participant does not meet the minimum of 100 completed surveys and does not have 4 consecutive quarters of HCAHPS data.</w:t>
      </w:r>
    </w:p>
    <w:p>
      <w:pPr>
        <w:keepNext w:val="0"/>
        <w:numPr>
          <w:numId w:val="17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Measures described in paragraphs (d)(4)(i)(A) and (d)(4)(i)(B) of this section, if CMS identifies an error in the data used to calculate the measure and suppresses the measure value.</w:t>
      </w:r>
    </w:p>
    <w:p>
      <w:pPr>
        <w:keepNext w:val="0"/>
        <w:numPr>
          <w:numId w:val="1725"/>
        </w:numPr>
        <w:spacing w:before="120" w:after="0" w:line="260" w:lineRule="atLeast"/>
        <w:ind w:right="0"/>
        <w:jc w:val="both"/>
      </w:pPr>
      <w:r>
        <w:rPr>
          <w:b/>
          <w:i/>
          <w:sz w:val="20"/>
        </w:rPr>
        <w:t>econciliation payment eligibility and effective and applicable discount factors.</w:t>
      </w:r>
      <w:r>
        <w:rPr>
          <w:rFonts w:ascii="arial" w:eastAsia="arial" w:hAnsi="arial" w:cs="arial"/>
          <w:b w:val="0"/>
          <w:i w:val="0"/>
          <w:strike w:val="0"/>
          <w:noProof w:val="0"/>
          <w:color w:val="000000"/>
          <w:position w:val="0"/>
          <w:sz w:val="20"/>
          <w:u w:val="none"/>
          <w:vertAlign w:val="baseline"/>
        </w:rPr>
        <w:t xml:space="preserve">CMS determines reconciliation </w:t>
      </w:r>
      <w:r>
        <w:rPr>
          <w:rFonts w:ascii="arial" w:eastAsia="arial" w:hAnsi="arial" w:cs="arial"/>
          <w:b/>
          <w:i w:val="0"/>
          <w:strike w:val="0"/>
          <w:noProof w:val="0"/>
          <w:color w:val="000000"/>
          <w:position w:val="0"/>
          <w:sz w:val="20"/>
          <w:u w:val="none"/>
          <w:vertAlign w:val="baseline"/>
        </w:rPr>
        <w:t> [*638] </w:t>
      </w:r>
      <w:r>
        <w:rPr>
          <w:rFonts w:ascii="arial" w:eastAsia="arial" w:hAnsi="arial" w:cs="arial"/>
          <w:b w:val="0"/>
          <w:i w:val="0"/>
          <w:strike w:val="0"/>
          <w:noProof w:val="0"/>
          <w:color w:val="000000"/>
          <w:position w:val="0"/>
          <w:sz w:val="20"/>
          <w:u w:val="none"/>
          <w:vertAlign w:val="baseline"/>
        </w:rPr>
        <w:t xml:space="preserve"> payment eligibility and the effective discount factor for reconciliation payments in all performance years and repayment amounts in performance year 5, as well as applicable discount factor for repayment amounts in performance year 2 for SHFFT model participants who elect early downside risk and for performance years 3 and 4 for all SHFFT model participants, based on the SHFFT model composite quality score described in paragraph (d)(1) of this section.</w:t>
      </w:r>
    </w:p>
    <w:p>
      <w:pPr>
        <w:keepNext w:val="0"/>
        <w:numPr>
          <w:numId w:val="17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Reconciliation payment eligibility requires an acceptable or better quality category, defined as a SHFFT model composite quality score of greater than or equal to 5.0.</w:t>
      </w:r>
    </w:p>
    <w:p>
      <w:pPr>
        <w:keepNext w:val="0"/>
        <w:numPr>
          <w:numId w:val="17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discount factor for reconciliation payments.</w:t>
      </w:r>
    </w:p>
    <w:p>
      <w:pPr>
        <w:keepNext w:val="0"/>
        <w:numPr>
          <w:numId w:val="1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3.0 percentage point effective discount factor for SHFFT model participants in the unacceptable or acceptable quality category, defined as a SHFFT model composite quality score that is less than 6.9.</w:t>
      </w:r>
    </w:p>
    <w:p>
      <w:pPr>
        <w:keepNext w:val="0"/>
        <w:numPr>
          <w:numId w:val="17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2.0 percentage point effective discount factor for SHFFT model participants in the good quality category, defined as a SHFFT model composite quality score that is greater than or equal to 6.9 and less than or equal to 15.0.</w:t>
      </w:r>
    </w:p>
    <w:p>
      <w:pPr>
        <w:keepNext w:val="0"/>
        <w:numPr>
          <w:numId w:val="17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1.5 percentage point effective discount factor for SHFFT model participants in the excellent quality category, defined as a SHFFT model composite quality score that are greater than 15.0.</w:t>
      </w:r>
    </w:p>
    <w:p>
      <w:pPr>
        <w:keepNext w:val="0"/>
        <w:numPr>
          <w:numId w:val="17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Applicable discount factor for repayment amount in performance year 2 for SHFFT model participants who elect early downside risk, and years 3 and 4 for all EPM participants.</w:t>
      </w:r>
    </w:p>
    <w:p>
      <w:pPr>
        <w:keepNext w:val="0"/>
        <w:numPr>
          <w:numId w:val="17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2.0 percentage point applicable discount factor for SHFFT model participants in the unacceptable or acceptable quality category, defined as a SHFFT model composite quality score of less than 6.9.</w:t>
      </w:r>
    </w:p>
    <w:p>
      <w:pPr>
        <w:keepNext w:val="0"/>
        <w:numPr>
          <w:numId w:val="17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1.0 percentage point applicable discount factor for SHFFT model participants in the good quality category, defined as a SHFFT model composite quality score that is greater than or equal to 6.9 and less than or equal to 15.0.</w:t>
      </w:r>
    </w:p>
    <w:p>
      <w:pPr>
        <w:keepNext w:val="0"/>
        <w:numPr>
          <w:numId w:val="17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0.5 percentage point applicable discount factor for SHFFT model participants in the excellent quality category, defined as a SHFFT model composite quality scores that is greater than 15.0.</w:t>
      </w:r>
    </w:p>
    <w:p>
      <w:pPr>
        <w:keepNext w:val="0"/>
        <w:numPr>
          <w:numId w:val="17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discount factor for repayment amount in performance year 5 for all SHFFT model participants.</w:t>
      </w:r>
    </w:p>
    <w:p>
      <w:pPr>
        <w:keepNext w:val="0"/>
        <w:numPr>
          <w:numId w:val="17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3.0 percentage point applicable discount factor for SHFFT model participants in the unacceptable or acceptable quality category, defined as a SHFFT model composite quality score of less than 6.9.</w:t>
      </w:r>
    </w:p>
    <w:p>
      <w:pPr>
        <w:keepNext w:val="0"/>
        <w:numPr>
          <w:numId w:val="17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2.0 percentage point applicable discount factor for SHFFT model participants in the good quality category, defined as a SHFFT model composite quality score that is greater than or equal to 6.9 and less than or equal to 15.0.</w:t>
      </w:r>
    </w:p>
    <w:p>
      <w:pPr>
        <w:keepNext w:val="0"/>
        <w:numPr>
          <w:numId w:val="17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1.5 percentage point applicable discount factor for SHFFT model participants in the excellent quality category, defined as a SHFFT model composite quality score that is greater than 15.0.</w:t>
      </w:r>
    </w:p>
    <w:p>
      <w:pPr>
        <w:numPr>
          <w:numId w:val="1739"/>
        </w:numPr>
        <w:spacing w:before="120" w:line="240" w:lineRule="atLeast"/>
      </w:pPr>
      <w:r>
        <w:rPr>
          <w:b/>
          <w:i w:val="0"/>
          <w:sz w:val="20"/>
        </w:rPr>
        <w:t>ve programs or add-on payments under existing Medicare payment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No EPM replaces any existing Medicare incentive programs or add-on payments. The quality-adjusted target prices and NPRAs for an EPM participant under such models are independent of, and do not affect, any incentive programs or add-on payments under existing Medicare payment systems.</w:t>
      </w:r>
    </w:p>
    <w:p>
      <w:pPr>
        <w:numPr>
          <w:numId w:val="1740"/>
        </w:numPr>
        <w:spacing w:before="120" w:line="240" w:lineRule="atLeast"/>
      </w:pPr>
    </w:p>
    <w:p>
      <w:pPr>
        <w:keepNext w:val="0"/>
        <w:numPr>
          <w:numId w:val="17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makes available to EPM participants, through the most appropriate means, data that CMS determines may be useful to EPM participants to do the following:</w:t>
      </w:r>
    </w:p>
    <w:p>
      <w:pPr>
        <w:keepNext w:val="0"/>
        <w:numPr>
          <w:numId w:val="17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appropriate ways to increase the coordination of care.</w:t>
      </w:r>
    </w:p>
    <w:p>
      <w:pPr>
        <w:keepNext w:val="0"/>
        <w:numPr>
          <w:numId w:val="17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 quality.</w:t>
      </w:r>
    </w:p>
    <w:p>
      <w:pPr>
        <w:keepNext w:val="0"/>
        <w:numPr>
          <w:numId w:val="17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Enhance efficiencies in the delivery of care.</w:t>
      </w:r>
    </w:p>
    <w:p>
      <w:pPr>
        <w:keepNext w:val="0"/>
        <w:numPr>
          <w:numId w:val="17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Otherwise achieve the goals of the models described in this section.</w:t>
      </w:r>
    </w:p>
    <w:p>
      <w:pPr>
        <w:numPr>
          <w:numId w:val="1743"/>
        </w:numPr>
        <w:spacing w:before="120" w:line="240" w:lineRule="atLeast"/>
      </w:pPr>
      <w:r>
        <w:rPr>
          <w:b/>
          <w:i/>
          <w:sz w:val="20"/>
        </w:rPr>
        <w:t>ata.</w:t>
      </w:r>
    </w:p>
    <w:p>
      <w:pPr>
        <w:keepNext w:val="0"/>
        <w:numPr>
          <w:numId w:val="17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makes beneficiary-identifiable data available to an EPM participant in accordance with applicable privacy and security laws and only in response to the EPM participant's request for such data for a beneficiary who has been furnished a billable service by the EPM participant corresponding to the episode definitions for the EPM.</w:t>
      </w:r>
    </w:p>
    <w:p>
      <w:pPr>
        <w:keepNext w:val="0"/>
        <w:numPr>
          <w:numId w:val="17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minimum data necessary to achieve the goals of the EPM, as determined by CMS, may be provided under this section for an EPM participant's baseline period and no less frequently than on a quarterly basis throughout the EPM participant's participation in an EPM.</w:t>
      </w:r>
    </w:p>
    <w:p>
      <w:pPr>
        <w:numPr>
          <w:numId w:val="1745"/>
        </w:numPr>
        <w:spacing w:before="120" w:line="240" w:lineRule="atLeast"/>
      </w:pPr>
      <w:r>
        <w:rPr>
          <w:b/>
          <w:i w:val="0"/>
          <w:sz w:val="20"/>
        </w:rPr>
        <w:t>Beneficiary Protections, and Compliance Enforcement</w:t>
      </w:r>
    </w:p>
    <w:p>
      <w:pPr>
        <w:numPr>
          <w:numId w:val="1746"/>
        </w:numPr>
        <w:spacing w:before="120" w:line="240" w:lineRule="atLeast"/>
      </w:pPr>
      <w:r>
        <w:rPr>
          <w:b/>
          <w:i w:val="0"/>
          <w:sz w:val="20"/>
        </w:rPr>
        <w:t xml:space="preserve"> reporting--general.</w:t>
      </w:r>
    </w:p>
    <w:p>
      <w:pPr>
        <w:keepNext w:val="0"/>
        <w:numPr>
          <w:numId w:val="1747"/>
        </w:numPr>
        <w:spacing w:before="120" w:after="0" w:line="260" w:lineRule="atLeast"/>
        <w:ind w:right="0"/>
        <w:jc w:val="both"/>
      </w:pPr>
      <w:r>
        <w:rPr>
          <w:b/>
          <w:i/>
          <w:sz w:val="20"/>
        </w:rPr>
        <w:t>res.</w:t>
      </w:r>
      <w:r>
        <w:rPr>
          <w:rFonts w:ascii="arial" w:eastAsia="arial" w:hAnsi="arial" w:cs="arial"/>
          <w:b w:val="0"/>
          <w:i w:val="0"/>
          <w:strike w:val="0"/>
          <w:noProof w:val="0"/>
          <w:color w:val="000000"/>
          <w:position w:val="0"/>
          <w:sz w:val="20"/>
          <w:u w:val="none"/>
          <w:vertAlign w:val="baseline"/>
        </w:rPr>
        <w:t>Quality measures are used for public reporting, for determining whether an EPM participant is eligible for reconciliation payments under § 512.305(d)(1)(iii), and for assigning the effective and applicable discount factors for the performance year to an EPM participant as described in § 512.315(b)(5), (c)(5), and (d)(5).</w:t>
      </w:r>
    </w:p>
    <w:p>
      <w:pPr>
        <w:keepNext w:val="0"/>
        <w:numPr>
          <w:numId w:val="17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measures differ by EPM.</w:t>
      </w:r>
    </w:p>
    <w:p>
      <w:pPr>
        <w:keepNext w:val="0"/>
        <w:numPr>
          <w:numId w:val="17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w:t>
      </w:r>
    </w:p>
    <w:p>
      <w:pPr>
        <w:keepNext w:val="0"/>
        <w:numPr>
          <w:numId w:val="17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Makes the required quality measurement results for each EPM participant in each performance year publicly available on the CMS Web site in a form and manner as determined by CMS;</w:t>
      </w:r>
    </w:p>
    <w:p>
      <w:pPr>
        <w:keepNext w:val="0"/>
        <w:numPr>
          <w:numId w:val="17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Shares each EPM participant's quality metrics with the participant prior to display on the CMS Web site; and</w:t>
      </w:r>
    </w:p>
    <w:p>
      <w:pPr>
        <w:keepNext w:val="0"/>
        <w:numPr>
          <w:numId w:val="17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publicly report the voluntary measure data submitted under an EPM in § 512.411(b) or § 512.413(b) but does indicate whether an EPM participant has voluntarily submitted such data.</w:t>
      </w:r>
    </w:p>
    <w:p>
      <w:pPr>
        <w:numPr>
          <w:numId w:val="1751"/>
        </w:numPr>
        <w:spacing w:before="120" w:line="240" w:lineRule="atLeast"/>
      </w:pPr>
      <w:r>
        <w:rPr>
          <w:b/>
          <w:i w:val="0"/>
          <w:sz w:val="20"/>
        </w:rPr>
        <w:t xml:space="preserve"> reporting for AMI model.</w:t>
      </w:r>
    </w:p>
    <w:p>
      <w:pPr>
        <w:numPr>
          <w:numId w:val="1752"/>
        </w:numPr>
        <w:spacing w:before="120" w:line="240" w:lineRule="atLeast"/>
      </w:pPr>
    </w:p>
    <w:p>
      <w:pPr>
        <w:keepNext w:val="0"/>
        <w:numPr>
          <w:numId w:val="17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30-Day, All-Cause, Risk-Standardized Mortality Rate (RSMR) Following Acute Myocardial Infarction (NQF #0230) (MORT-30-AMI).</w:t>
      </w:r>
    </w:p>
    <w:p>
      <w:pPr>
        <w:keepNext w:val="0"/>
        <w:numPr>
          <w:numId w:val="17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Excess Days in Acute Care after Hospitalization for AMI (AMI Excess Days).</w:t>
      </w:r>
    </w:p>
    <w:p>
      <w:pPr>
        <w:keepNext w:val="0"/>
        <w:numPr>
          <w:numId w:val="17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HCAHPS Survey (NQF #0166).</w:t>
      </w:r>
    </w:p>
    <w:p>
      <w:pPr>
        <w:numPr>
          <w:numId w:val="1754"/>
        </w:numPr>
        <w:spacing w:before="120" w:line="240" w:lineRule="atLeast"/>
      </w:pPr>
    </w:p>
    <w:p>
      <w:pPr>
        <w:keepNext w:val="0"/>
        <w:numPr>
          <w:numId w:val="17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Voluntary Hybrid Hospital 30-Day, All-Cause, Risk-Standardized Mortality Rate Following Acute Myocardial Infarction (AMI) Hospitalization (NQF #2473) (Hybrid AMI Mortality).</w:t>
      </w:r>
    </w:p>
    <w:p>
      <w:pPr>
        <w:keepNext w:val="0"/>
        <w:numPr>
          <w:numId w:val="17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the additional points added to the AMI composite quality score for successful voluntary data submission of clinical electronic health record data, as described in § 512.411(b)(1), AMI model participants must submit the clinical electronic health record data requested by CMS related to each eligible AMI anchor hospitalization during the performance period. The data must be submitted within 60 days of the end of the most recent performance period and be accompanied by the limited risk variable data (five elements finalized) as outlined in § 512.315(b)(1)(iv).</w:t>
      </w:r>
    </w:p>
    <w:p>
      <w:pPr>
        <w:keepNext w:val="0"/>
        <w:numPr>
          <w:numId w:val="17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eligible AMI anchor hospitalization, all five risk variable data elements are required to be submitted. The five risk variables are as follows:</w:t>
      </w:r>
    </w:p>
    <w:p>
      <w:pPr>
        <w:keepNext w:val="0"/>
        <w:numPr>
          <w:numId w:val="17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w:t>
      </w:r>
    </w:p>
    <w:p>
      <w:pPr>
        <w:keepNext w:val="0"/>
        <w:numPr>
          <w:numId w:val="17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First-captured heart rate measured within 2 hours of a patient presenting to the hospital. </w:t>
      </w:r>
      <w:r>
        <w:rPr>
          <w:rFonts w:ascii="arial" w:eastAsia="arial" w:hAnsi="arial" w:cs="arial"/>
          <w:b/>
          <w:i w:val="0"/>
          <w:strike w:val="0"/>
          <w:noProof w:val="0"/>
          <w:color w:val="000000"/>
          <w:position w:val="0"/>
          <w:sz w:val="20"/>
          <w:u w:val="none"/>
          <w:vertAlign w:val="baseline"/>
        </w:rPr>
        <w:t> [*639] </w:t>
      </w:r>
    </w:p>
    <w:p>
      <w:pPr>
        <w:keepNext w:val="0"/>
        <w:numPr>
          <w:numId w:val="17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First-captured systolic blood pressure measured within 2 hours of a patient presenting to the hospital.</w:t>
      </w:r>
    </w:p>
    <w:p>
      <w:pPr>
        <w:keepNext w:val="0"/>
        <w:numPr>
          <w:numId w:val="17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First-captured troponin values measured within 24 hours of a patient presenting to the hospitals.</w:t>
      </w:r>
    </w:p>
    <w:p>
      <w:pPr>
        <w:keepNext w:val="0"/>
        <w:numPr>
          <w:numId w:val="17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First-captured creatinine values measured within 24 hours of a patient presenting to the hospitals.</w:t>
      </w:r>
    </w:p>
    <w:p>
      <w:pPr>
        <w:keepNext w:val="0"/>
        <w:numPr>
          <w:numId w:val="17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eligible AMI anchor hospitalization, six linking variables are required to merge the electronic health record data with the CMS claims data:</w:t>
      </w:r>
    </w:p>
    <w:p>
      <w:pPr>
        <w:keepNext w:val="0"/>
        <w:numPr>
          <w:numId w:val="17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AMI model participant CCN.</w:t>
      </w:r>
    </w:p>
    <w:p>
      <w:pPr>
        <w:keepNext w:val="0"/>
        <w:numPr>
          <w:numId w:val="17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Medicare Health Insurance Claim Number.</w:t>
      </w:r>
    </w:p>
    <w:p>
      <w:pPr>
        <w:keepNext w:val="0"/>
        <w:numPr>
          <w:numId w:val="17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Sex.</w:t>
      </w:r>
    </w:p>
    <w:p>
      <w:pPr>
        <w:keepNext w:val="0"/>
        <w:numPr>
          <w:numId w:val="17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of birth.</w:t>
      </w:r>
    </w:p>
    <w:p>
      <w:pPr>
        <w:keepNext w:val="0"/>
        <w:numPr>
          <w:numId w:val="17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Admission date.</w:t>
      </w:r>
    </w:p>
    <w:p>
      <w:pPr>
        <w:keepNext w:val="0"/>
        <w:numPr>
          <w:numId w:val="17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 date.</w:t>
      </w:r>
    </w:p>
    <w:p>
      <w:pPr>
        <w:keepNext w:val="0"/>
        <w:numPr>
          <w:numId w:val="17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years 1 through 5 of the AMI model an increasing amount of data are requested by CMS for each performance period as follows:</w:t>
      </w:r>
    </w:p>
    <w:p>
      <w:pPr>
        <w:keepNext w:val="0"/>
        <w:numPr>
          <w:numId w:val="17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electronic health record data on &gt; 50 percent of eligible AMI anchor hospitalizations between July 1, 2017 and August 31, 2017.</w:t>
      </w:r>
    </w:p>
    <w:p>
      <w:pPr>
        <w:keepNext w:val="0"/>
        <w:numPr>
          <w:numId w:val="17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electronic health record data on over 90 percent of eligible AMI anchor hospitalizations between September 1, 2017 and June 30, 2018.</w:t>
      </w:r>
    </w:p>
    <w:p>
      <w:pPr>
        <w:keepNext w:val="0"/>
        <w:numPr>
          <w:numId w:val="17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electronic health record data on over 90 percent of eligible AMI anchor hospitalizations between July 1, 2018 and June 30, 2019.</w:t>
      </w:r>
    </w:p>
    <w:p>
      <w:pPr>
        <w:keepNext w:val="0"/>
        <w:numPr>
          <w:numId w:val="17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electronic health record data on over 90 percent of eligible AMI anchor hospitalizations between July 1, 2019 and June 30, 2020.</w:t>
      </w:r>
    </w:p>
    <w:p>
      <w:pPr>
        <w:keepNext w:val="0"/>
        <w:numPr>
          <w:numId w:val="17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electronic health record data on over 90 percent of eligible AMI anchor hospitalizations between July 1, 2020 and June 30, 2021.</w:t>
      </w:r>
    </w:p>
    <w:p>
      <w:pPr>
        <w:numPr>
          <w:numId w:val="1775"/>
        </w:numPr>
        <w:spacing w:before="120" w:line="240" w:lineRule="atLeast"/>
      </w:pPr>
      <w:r>
        <w:rPr>
          <w:b/>
          <w:i w:val="0"/>
          <w:sz w:val="20"/>
        </w:rPr>
        <w:t xml:space="preserve"> reporting for CABG model.</w:t>
      </w:r>
    </w:p>
    <w:p>
      <w:pPr>
        <w:numPr>
          <w:numId w:val="1776"/>
        </w:numPr>
        <w:spacing w:before="120" w:line="240" w:lineRule="atLeast"/>
      </w:pPr>
    </w:p>
    <w:p>
      <w:pPr>
        <w:keepNext w:val="0"/>
        <w:numPr>
          <w:numId w:val="17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30-Day, All-Cause, Risk-Standardized Mortality Rate (RSMR) Following Coronary Artery Bypass Graft (CABG) Surgery (NQF #2558) (MORT-30-CABG).</w:t>
      </w:r>
    </w:p>
    <w:p>
      <w:pPr>
        <w:keepNext w:val="0"/>
        <w:numPr>
          <w:numId w:val="17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HCAHPS Survey (NQF #0166).</w:t>
      </w:r>
    </w:p>
    <w:p>
      <w:pPr>
        <w:keepNext w:val="0"/>
        <w:numPr>
          <w:numId w:val="17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spacing w:before="120" w:line="240" w:lineRule="atLeast"/>
        <w:ind w:left="1080"/>
      </w:pPr>
      <w:r>
        <w:rPr>
          <w:b/>
        </w:rPr>
        <w:t xml:space="preserve">§ 512.413 Quality measures and reporting for SHFFT model.  </w:t>
      </w:r>
    </w:p>
    <w:p>
      <w:pPr>
        <w:spacing w:before="120" w:line="240" w:lineRule="atLeast"/>
        <w:ind w:left="1440"/>
      </w:pPr>
      <w:r>
        <w:rPr>
          <w:b/>
        </w:rPr>
        <w:t xml:space="preserve">(a) Required measures.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Hospital-Level Risk-Standardized Complication Rate Following Elective Primary Total Hip Arthroplasty and/or Total Knee Arthroplasty (NQF #1550) (Hip/Knee Complications).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HCAHPS Survey (NQF #0166).</w:t>
      </w:r>
    </w:p>
    <w:p>
      <w:pPr>
        <w:spacing w:before="120" w:line="240" w:lineRule="atLeast"/>
        <w:ind w:left="1440"/>
      </w:pPr>
      <w:r>
        <w:rPr>
          <w:b/>
        </w:rPr>
        <w:t xml:space="preserve">(b) Voluntary measure.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Patient-reported outcomes and limited risk variable data following elective primary THA/TKA.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To be eligible to receive the additional points added to the SHFFT model composite quality score for successful voluntary data submission of patient-reported outcomes and limited risk variable data, as described in § 512.315(d)(1)(iv), SHFFT model participants must submit the THA/TKA patient-reported outcome and limited risk variable data requested by CMS related to the pre- and post-operative periods for elective primary total hip and/or total knee arthroplasty procedures. The data must be submitted within 60 days of the end of the most recent performance period and be accompanied by the patient-reported outcomes and limited risk variable data (eleven elements finalized) as outlined in § 512.315(d)(1)(iv).</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For each eligible procedure all eleven risk variable data elements are required to be submitted. The eleven risk variables are as follows:</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Date of birth.</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Race.</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Ethnicity.</w:t>
      </w:r>
    </w:p>
    <w:p>
      <w:pPr>
        <w:keepNext w:val="0"/>
        <w:spacing w:before="120" w:after="0" w:line="260" w:lineRule="atLeast"/>
        <w:ind w:left="2520" w:right="0"/>
        <w:jc w:val="both"/>
      </w:pPr>
      <w:r>
        <w:rPr>
          <w:b/>
        </w:rPr>
        <w:t xml:space="preserve">(D)  </w:t>
      </w:r>
      <w:r>
        <w:rPr>
          <w:rFonts w:ascii="arial" w:eastAsia="arial" w:hAnsi="arial" w:cs="arial"/>
          <w:b w:val="0"/>
          <w:i w:val="0"/>
          <w:strike w:val="0"/>
          <w:noProof w:val="0"/>
          <w:color w:val="000000"/>
          <w:position w:val="0"/>
          <w:sz w:val="20"/>
          <w:u w:val="none"/>
          <w:vertAlign w:val="baseline"/>
        </w:rPr>
        <w:t>Date of admission to anchor hospitalization.</w:t>
      </w:r>
    </w:p>
    <w:p>
      <w:pPr>
        <w:keepNext w:val="0"/>
        <w:spacing w:before="120" w:after="0" w:line="260" w:lineRule="atLeast"/>
        <w:ind w:left="2520" w:right="0"/>
        <w:jc w:val="both"/>
      </w:pPr>
      <w:r>
        <w:rPr>
          <w:b/>
        </w:rPr>
        <w:t xml:space="preserve">(E)  </w:t>
      </w:r>
      <w:r>
        <w:rPr>
          <w:rFonts w:ascii="arial" w:eastAsia="arial" w:hAnsi="arial" w:cs="arial"/>
          <w:b w:val="0"/>
          <w:i w:val="0"/>
          <w:strike w:val="0"/>
          <w:noProof w:val="0"/>
          <w:color w:val="000000"/>
          <w:position w:val="0"/>
          <w:sz w:val="20"/>
          <w:u w:val="none"/>
          <w:vertAlign w:val="baseline"/>
        </w:rPr>
        <w:t>Date of eligible THA/TKA procedure.</w:t>
      </w:r>
    </w:p>
    <w:p>
      <w:pPr>
        <w:keepNext w:val="0"/>
        <w:spacing w:before="120" w:after="0" w:line="260" w:lineRule="atLeast"/>
        <w:ind w:left="2520" w:right="0"/>
        <w:jc w:val="both"/>
      </w:pPr>
      <w:r>
        <w:rPr>
          <w:b/>
        </w:rPr>
        <w:t xml:space="preserve">(F)  </w:t>
      </w:r>
      <w:r>
        <w:rPr>
          <w:rFonts w:ascii="arial" w:eastAsia="arial" w:hAnsi="arial" w:cs="arial"/>
          <w:b w:val="0"/>
          <w:i w:val="0"/>
          <w:strike w:val="0"/>
          <w:noProof w:val="0"/>
          <w:color w:val="000000"/>
          <w:position w:val="0"/>
          <w:sz w:val="20"/>
          <w:u w:val="none"/>
          <w:vertAlign w:val="baseline"/>
        </w:rPr>
        <w:t>Medicare Health Insurance Claim Number.</w:t>
      </w:r>
    </w:p>
    <w:p>
      <w:pPr>
        <w:keepNext w:val="0"/>
        <w:spacing w:before="120" w:after="0" w:line="260" w:lineRule="atLeast"/>
        <w:ind w:left="2520" w:right="0"/>
        <w:jc w:val="both"/>
      </w:pPr>
      <w:r>
        <w:rPr>
          <w:b/>
        </w:rPr>
        <w:t xml:space="preserve">(G)  </w:t>
      </w:r>
      <w:r>
        <w:rPr>
          <w:rFonts w:ascii="arial" w:eastAsia="arial" w:hAnsi="arial" w:cs="arial"/>
          <w:b w:val="0"/>
          <w:i w:val="0"/>
          <w:strike w:val="0"/>
          <w:noProof w:val="0"/>
          <w:color w:val="000000"/>
          <w:position w:val="0"/>
          <w:sz w:val="20"/>
          <w:u w:val="none"/>
          <w:vertAlign w:val="baseline"/>
        </w:rPr>
        <w:t>Body mass index.</w:t>
      </w:r>
    </w:p>
    <w:p>
      <w:pPr>
        <w:keepNext w:val="0"/>
        <w:spacing w:before="120" w:after="0" w:line="260" w:lineRule="atLeast"/>
        <w:ind w:left="2520" w:right="0"/>
        <w:jc w:val="both"/>
      </w:pPr>
      <w:r>
        <w:rPr>
          <w:b/>
        </w:rPr>
        <w:t xml:space="preserve">(H)  </w:t>
      </w:r>
      <w:r>
        <w:rPr>
          <w:rFonts w:ascii="arial" w:eastAsia="arial" w:hAnsi="arial" w:cs="arial"/>
          <w:b w:val="0"/>
          <w:i w:val="0"/>
          <w:strike w:val="0"/>
          <w:noProof w:val="0"/>
          <w:color w:val="000000"/>
          <w:position w:val="0"/>
          <w:sz w:val="20"/>
          <w:u w:val="none"/>
          <w:vertAlign w:val="baseline"/>
        </w:rPr>
        <w:t>Use of chronic (&gt;/= 90 days) narcotics.</w:t>
      </w:r>
    </w:p>
    <w:p>
      <w:pPr>
        <w:keepNext w:val="0"/>
        <w:spacing w:before="120" w:after="0" w:line="260" w:lineRule="atLeast"/>
        <w:ind w:left="2520" w:right="0"/>
        <w:jc w:val="both"/>
      </w:pPr>
      <w:r>
        <w:rPr>
          <w:b/>
        </w:rPr>
        <w:t xml:space="preserve">(I)  </w:t>
      </w:r>
      <w:r>
        <w:rPr>
          <w:rFonts w:ascii="arial" w:eastAsia="arial" w:hAnsi="arial" w:cs="arial"/>
          <w:b w:val="0"/>
          <w:i w:val="0"/>
          <w:strike w:val="0"/>
          <w:noProof w:val="0"/>
          <w:color w:val="000000"/>
          <w:position w:val="0"/>
          <w:sz w:val="20"/>
          <w:u w:val="none"/>
          <w:vertAlign w:val="baseline"/>
        </w:rPr>
        <w:t>Total painful joint count.</w:t>
      </w:r>
    </w:p>
    <w:p>
      <w:pPr>
        <w:keepNext w:val="0"/>
        <w:spacing w:before="120" w:after="0" w:line="260" w:lineRule="atLeast"/>
        <w:ind w:left="2520" w:right="0"/>
        <w:jc w:val="both"/>
      </w:pPr>
      <w:r>
        <w:rPr>
          <w:b/>
        </w:rPr>
        <w:t xml:space="preserve">(J)  </w:t>
      </w:r>
      <w:r>
        <w:rPr>
          <w:rFonts w:ascii="arial" w:eastAsia="arial" w:hAnsi="arial" w:cs="arial"/>
          <w:b w:val="0"/>
          <w:i w:val="0"/>
          <w:strike w:val="0"/>
          <w:noProof w:val="0"/>
          <w:color w:val="000000"/>
          <w:position w:val="0"/>
          <w:sz w:val="20"/>
          <w:u w:val="none"/>
          <w:vertAlign w:val="baseline"/>
        </w:rPr>
        <w:t>Quantified spinal pain.</w:t>
      </w:r>
    </w:p>
    <w:p>
      <w:pPr>
        <w:keepNext w:val="0"/>
        <w:spacing w:before="120" w:after="0" w:line="260" w:lineRule="atLeast"/>
        <w:ind w:left="2520" w:right="0"/>
        <w:jc w:val="both"/>
      </w:pPr>
      <w:r>
        <w:rPr>
          <w:b/>
        </w:rPr>
        <w:t xml:space="preserve">(K)  </w:t>
      </w:r>
      <w:r>
        <w:rPr>
          <w:rFonts w:ascii="arial" w:eastAsia="arial" w:hAnsi="arial" w:cs="arial"/>
          <w:b w:val="0"/>
          <w:i w:val="0"/>
          <w:strike w:val="0"/>
          <w:noProof w:val="0"/>
          <w:color w:val="000000"/>
          <w:position w:val="0"/>
          <w:sz w:val="20"/>
          <w:u w:val="none"/>
          <w:vertAlign w:val="baseline"/>
        </w:rPr>
        <w:t>Single Item Health Literacy Screening (SILS2) questionnaire.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Participants must also submit the amount of requested THA/TKA patient-reported outcomes data required for each year of the SHFFT model in order to be considered successful in submitting voluntary data.</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The amount of requested THA/TKA patient-reported outcomes data to submit, in order to be considered successful increases each subsequent year of the SHFFT model over the 5 years of the model.</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A phase-in approach that determines the amount of requested THA/TKA patient-reported outcomes data to submit over the 5 years of the SHFFT model is applied so that in year 1 successful submission of data would mean CMS received all requested THA/TKA patient-reported outcomes and limited risk variable data on both of the following:</w:t>
      </w:r>
    </w:p>
    <w:p>
      <w:pPr>
        <w:keepNext w:val="0"/>
        <w:spacing w:before="120" w:after="0" w:line="260" w:lineRule="atLeast"/>
        <w:ind w:left="2880" w:right="0"/>
        <w:jc w:val="both"/>
      </w:pPr>
      <w:r>
        <w:rPr>
          <w:b/>
        </w:rPr>
        <w:t xml:space="preserve">(1)  </w:t>
      </w:r>
      <w:r>
        <w:rPr>
          <w:rFonts w:ascii="arial" w:eastAsia="arial" w:hAnsi="arial" w:cs="arial"/>
          <w:b w:val="0"/>
          <w:i w:val="0"/>
          <w:strike w:val="0"/>
          <w:noProof w:val="0"/>
          <w:color w:val="000000"/>
          <w:position w:val="0"/>
          <w:sz w:val="20"/>
          <w:u w:val="none"/>
          <w:vertAlign w:val="baseline"/>
        </w:rPr>
        <w:t>Greater than or equal to 60 percent of eligible procedures or greater than or equal to 75 percent eligible patients during the data collection period.</w:t>
      </w:r>
    </w:p>
    <w:p>
      <w:pPr>
        <w:keepNext w:val="0"/>
        <w:spacing w:before="120" w:after="0" w:line="260" w:lineRule="atLeast"/>
        <w:ind w:left="2880" w:right="0"/>
        <w:jc w:val="both"/>
      </w:pPr>
      <w:r>
        <w:rPr>
          <w:b/>
        </w:rPr>
        <w:t xml:space="preserve">(2)  </w:t>
      </w:r>
      <w:r>
        <w:rPr>
          <w:rFonts w:ascii="arial" w:eastAsia="arial" w:hAnsi="arial" w:cs="arial"/>
          <w:b w:val="0"/>
          <w:i w:val="0"/>
          <w:strike w:val="0"/>
          <w:noProof w:val="0"/>
          <w:color w:val="000000"/>
          <w:position w:val="0"/>
          <w:sz w:val="20"/>
          <w:u w:val="none"/>
          <w:vertAlign w:val="baseline"/>
        </w:rPr>
        <w:t>Submission of requested THA/TKA PRO and limited risk variable data is completed within 60 days of the most recent performance period.</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For years 1 through 5 of the model an increasing amount of data is requested by CMS for each performance period as follows:</w:t>
      </w:r>
    </w:p>
    <w:p>
      <w:pPr>
        <w:keepNext w:val="0"/>
        <w:spacing w:before="120" w:after="0" w:line="260" w:lineRule="atLeast"/>
        <w:ind w:left="2520" w:right="0"/>
        <w:jc w:val="both"/>
      </w:pPr>
      <w:r>
        <w:rPr>
          <w:b/>
        </w:rPr>
        <w:t xml:space="preserve">(A) Year 1 (2017).  </w:t>
      </w:r>
      <w:r>
        <w:rPr>
          <w:rFonts w:ascii="arial" w:eastAsia="arial" w:hAnsi="arial" w:cs="arial"/>
          <w:b w:val="0"/>
          <w:i w:val="0"/>
          <w:strike w:val="0"/>
          <w:noProof w:val="0"/>
          <w:color w:val="000000"/>
          <w:position w:val="0"/>
          <w:sz w:val="20"/>
          <w:u w:val="none"/>
          <w:vertAlign w:val="baseline"/>
        </w:rPr>
        <w:t>Submit pre-operative data on primary elective THA/TKA procedures for &gt;/= 60 percent or &gt;/= 75 procedures performed between September 1, 2016 through June 30, 2017, unless CMS requests a more limited data set, in which case, submit all requested data elements.</w:t>
      </w:r>
    </w:p>
    <w:p>
      <w:pPr>
        <w:keepNext w:val="0"/>
        <w:spacing w:before="120" w:after="0" w:line="260" w:lineRule="atLeast"/>
        <w:ind w:left="2520" w:right="0"/>
        <w:jc w:val="both"/>
      </w:pPr>
      <w:r>
        <w:rPr>
          <w:b/>
        </w:rPr>
        <w:t xml:space="preserve">(B) Year 2 (2018).  </w:t>
      </w:r>
      <w:r>
        <w:rPr>
          <w:rFonts w:ascii="arial" w:eastAsia="arial" w:hAnsi="arial" w:cs="arial"/>
          <w:b w:val="0"/>
          <w:i w:val="0"/>
          <w:strike w:val="0"/>
          <w:noProof w:val="0"/>
          <w:color w:val="000000"/>
          <w:position w:val="0"/>
          <w:sz w:val="20"/>
          <w:u w:val="none"/>
          <w:vertAlign w:val="baseline"/>
        </w:rPr>
        <w:t>Submit--</w:t>
      </w:r>
    </w:p>
    <w:p>
      <w:pPr>
        <w:keepNext w:val="0"/>
        <w:spacing w:before="120" w:after="0" w:line="260" w:lineRule="atLeast"/>
        <w:ind w:left="2880" w:right="0"/>
        <w:jc w:val="both"/>
      </w:pPr>
      <w:r>
        <w:rPr>
          <w:b/>
        </w:rPr>
        <w:t xml:space="preserve">(1)  </w:t>
      </w:r>
      <w:r>
        <w:rPr>
          <w:rFonts w:ascii="arial" w:eastAsia="arial" w:hAnsi="arial" w:cs="arial"/>
          <w:b w:val="0"/>
          <w:i w:val="0"/>
          <w:strike w:val="0"/>
          <w:noProof w:val="0"/>
          <w:color w:val="000000"/>
          <w:position w:val="0"/>
          <w:sz w:val="20"/>
          <w:u w:val="none"/>
          <w:vertAlign w:val="baseline"/>
        </w:rPr>
        <w:t>Post-operative data on primary elective THA/TKA procedures for &gt;/= 60 percent or &gt;/= 75 procedures performed between September 1, 2016 and June 30, 2017; and</w:t>
      </w:r>
    </w:p>
    <w:p>
      <w:pPr>
        <w:keepNext w:val="0"/>
        <w:spacing w:before="120" w:after="0" w:line="260" w:lineRule="atLeast"/>
        <w:ind w:left="2880" w:right="0"/>
        <w:jc w:val="both"/>
      </w:pPr>
      <w:r>
        <w:rPr>
          <w:b/>
        </w:rPr>
        <w:t xml:space="preserve">(2)  </w:t>
      </w:r>
      <w:r>
        <w:rPr>
          <w:rFonts w:ascii="arial" w:eastAsia="arial" w:hAnsi="arial" w:cs="arial"/>
          <w:b w:val="0"/>
          <w:i w:val="0"/>
          <w:strike w:val="0"/>
          <w:noProof w:val="0"/>
          <w:color w:val="000000"/>
          <w:position w:val="0"/>
          <w:sz w:val="20"/>
          <w:u w:val="none"/>
          <w:vertAlign w:val="baseline"/>
        </w:rPr>
        <w:t>Pre-operative data on primary elective THA/TKA procedures for &gt;/= 70 percent or &gt;/= 100 procedures performed between July 1, 2017 and June 30, 2018, unless CMS requests a more limited data set, in which case, submit all requested data elements.</w:t>
      </w:r>
    </w:p>
    <w:p>
      <w:pPr>
        <w:keepNext w:val="0"/>
        <w:spacing w:before="120" w:after="0" w:line="260" w:lineRule="atLeast"/>
        <w:ind w:left="2520" w:right="0"/>
        <w:jc w:val="both"/>
      </w:pPr>
      <w:r>
        <w:rPr>
          <w:b/>
        </w:rPr>
        <w:t xml:space="preserve">(C) Year 3 (2019).  </w:t>
      </w:r>
      <w:r>
        <w:rPr>
          <w:rFonts w:ascii="arial" w:eastAsia="arial" w:hAnsi="arial" w:cs="arial"/>
          <w:b w:val="0"/>
          <w:i w:val="0"/>
          <w:strike w:val="0"/>
          <w:noProof w:val="0"/>
          <w:color w:val="000000"/>
          <w:position w:val="0"/>
          <w:sz w:val="20"/>
          <w:u w:val="none"/>
          <w:vertAlign w:val="baseline"/>
        </w:rPr>
        <w:t>Submit--</w:t>
      </w:r>
    </w:p>
    <w:p>
      <w:pPr>
        <w:keepNext w:val="0"/>
        <w:spacing w:before="120" w:after="0" w:line="260" w:lineRule="atLeast"/>
        <w:ind w:left="2880" w:right="0"/>
        <w:jc w:val="both"/>
      </w:pPr>
      <w:r>
        <w:rPr>
          <w:b/>
        </w:rPr>
        <w:t xml:space="preserve">(1)  </w:t>
      </w:r>
      <w:r>
        <w:rPr>
          <w:rFonts w:ascii="arial" w:eastAsia="arial" w:hAnsi="arial" w:cs="arial"/>
          <w:b w:val="0"/>
          <w:i w:val="0"/>
          <w:strike w:val="0"/>
          <w:noProof w:val="0"/>
          <w:color w:val="000000"/>
          <w:position w:val="0"/>
          <w:sz w:val="20"/>
          <w:u w:val="none"/>
          <w:vertAlign w:val="baseline"/>
        </w:rPr>
        <w:t>Post-operative data on primary elective THA/TKA procedures for &gt;/= 70 percent or &gt;/= 100 procedures performed between July 1, 2017 and June 30, 2018; and</w:t>
      </w:r>
    </w:p>
    <w:p>
      <w:pPr>
        <w:keepNext w:val="0"/>
        <w:spacing w:before="120" w:after="0" w:line="260" w:lineRule="atLeast"/>
        <w:ind w:left="2880" w:right="0"/>
        <w:jc w:val="both"/>
      </w:pPr>
      <w:r>
        <w:rPr>
          <w:b/>
        </w:rPr>
        <w:t xml:space="preserve">(2)  </w:t>
      </w:r>
      <w:r>
        <w:rPr>
          <w:rFonts w:ascii="arial" w:eastAsia="arial" w:hAnsi="arial" w:cs="arial"/>
          <w:b w:val="0"/>
          <w:i w:val="0"/>
          <w:strike w:val="0"/>
          <w:noProof w:val="0"/>
          <w:color w:val="000000"/>
          <w:position w:val="0"/>
          <w:sz w:val="20"/>
          <w:u w:val="none"/>
          <w:vertAlign w:val="baseline"/>
        </w:rPr>
        <w:t>Pre-operative data on primary elective THA/TKA procedures for &gt;/= 80 percent or &gt;/= 200 procedures performed between July 1, 2018 and June 30, 2019, unless CMS requests a more limited data set, in which case, submit all requested data elements.</w:t>
      </w:r>
    </w:p>
    <w:p>
      <w:pPr>
        <w:keepNext w:val="0"/>
        <w:spacing w:before="120" w:after="0" w:line="260" w:lineRule="atLeast"/>
        <w:ind w:left="2520" w:right="0"/>
        <w:jc w:val="both"/>
      </w:pPr>
      <w:r>
        <w:rPr>
          <w:b/>
        </w:rPr>
        <w:t xml:space="preserve">(D) Year 4 (2020).  </w:t>
      </w:r>
      <w:r>
        <w:rPr>
          <w:rFonts w:ascii="arial" w:eastAsia="arial" w:hAnsi="arial" w:cs="arial"/>
          <w:b w:val="0"/>
          <w:i w:val="0"/>
          <w:strike w:val="0"/>
          <w:noProof w:val="0"/>
          <w:color w:val="000000"/>
          <w:position w:val="0"/>
          <w:sz w:val="20"/>
          <w:u w:val="none"/>
          <w:vertAlign w:val="baseline"/>
        </w:rPr>
        <w:t>Submit--</w:t>
      </w:r>
    </w:p>
    <w:p>
      <w:pPr>
        <w:keepNext w:val="0"/>
        <w:spacing w:before="120" w:after="0" w:line="260" w:lineRule="atLeast"/>
        <w:ind w:left="2880" w:right="0"/>
        <w:jc w:val="both"/>
      </w:pPr>
      <w:r>
        <w:rPr>
          <w:b/>
        </w:rPr>
        <w:t xml:space="preserve">(1)  </w:t>
      </w:r>
      <w:r>
        <w:rPr>
          <w:rFonts w:ascii="arial" w:eastAsia="arial" w:hAnsi="arial" w:cs="arial"/>
          <w:b w:val="0"/>
          <w:i w:val="0"/>
          <w:strike w:val="0"/>
          <w:noProof w:val="0"/>
          <w:color w:val="000000"/>
          <w:position w:val="0"/>
          <w:sz w:val="20"/>
          <w:u w:val="none"/>
          <w:vertAlign w:val="baseline"/>
        </w:rPr>
        <w:t>Post-operative data on primary elective THA/TKA procedures for &gt;/= 80 percent or &gt;/= 200 procedures performed between July 1, 2018 and June 30, 2019; and</w:t>
      </w:r>
    </w:p>
    <w:p>
      <w:pPr>
        <w:keepNext w:val="0"/>
        <w:spacing w:before="120" w:after="0" w:line="260" w:lineRule="atLeast"/>
        <w:ind w:left="2880" w:right="0"/>
        <w:jc w:val="both"/>
      </w:pPr>
      <w:r>
        <w:rPr>
          <w:b/>
        </w:rPr>
        <w:t xml:space="preserve">(2)  </w:t>
      </w:r>
      <w:r>
        <w:rPr>
          <w:rFonts w:ascii="arial" w:eastAsia="arial" w:hAnsi="arial" w:cs="arial"/>
          <w:b w:val="0"/>
          <w:i w:val="0"/>
          <w:strike w:val="0"/>
          <w:noProof w:val="0"/>
          <w:color w:val="000000"/>
          <w:position w:val="0"/>
          <w:sz w:val="20"/>
          <w:u w:val="none"/>
          <w:vertAlign w:val="baseline"/>
        </w:rPr>
        <w:t>Pre-operative data on primary elective THA/TKA procedures for &gt;/= 80 percent or &gt;/= 200 procedures performed between July 1, 2019 and June 30, 2020, unless CMS requests a more limited data set, in which case, submit all requested data elements.</w:t>
      </w:r>
    </w:p>
    <w:p>
      <w:pPr>
        <w:keepNext w:val="0"/>
        <w:spacing w:before="120" w:after="0" w:line="260" w:lineRule="atLeast"/>
        <w:ind w:left="2520" w:right="0"/>
        <w:jc w:val="both"/>
      </w:pPr>
      <w:r>
        <w:rPr>
          <w:b/>
        </w:rPr>
        <w:t xml:space="preserve">(E) Year 5 (2021).  </w:t>
      </w:r>
      <w:r>
        <w:rPr>
          <w:rFonts w:ascii="arial" w:eastAsia="arial" w:hAnsi="arial" w:cs="arial"/>
          <w:b w:val="0"/>
          <w:i w:val="0"/>
          <w:strike w:val="0"/>
          <w:noProof w:val="0"/>
          <w:color w:val="000000"/>
          <w:position w:val="0"/>
          <w:sz w:val="20"/>
          <w:u w:val="none"/>
          <w:vertAlign w:val="baseline"/>
        </w:rPr>
        <w:t>Submit--</w:t>
      </w:r>
    </w:p>
    <w:p>
      <w:pPr>
        <w:keepNext w:val="0"/>
        <w:spacing w:before="120" w:after="0" w:line="260" w:lineRule="atLeast"/>
        <w:ind w:left="2880" w:right="0"/>
        <w:jc w:val="both"/>
      </w:pPr>
      <w:r>
        <w:rPr>
          <w:b/>
        </w:rPr>
        <w:t xml:space="preserve">(1)  </w:t>
      </w:r>
      <w:r>
        <w:rPr>
          <w:rFonts w:ascii="arial" w:eastAsia="arial" w:hAnsi="arial" w:cs="arial"/>
          <w:b w:val="0"/>
          <w:i w:val="0"/>
          <w:strike w:val="0"/>
          <w:noProof w:val="0"/>
          <w:color w:val="000000"/>
          <w:position w:val="0"/>
          <w:sz w:val="20"/>
          <w:u w:val="none"/>
          <w:vertAlign w:val="baseline"/>
        </w:rPr>
        <w:t>Post-operative data on primary elective THA/TKA procedures for &gt;/= 80 percent or &gt;/= 200 procedures performed between July 1, 2019 and June 30, 2020; and</w:t>
      </w:r>
    </w:p>
    <w:p>
      <w:pPr>
        <w:keepNext w:val="0"/>
        <w:spacing w:before="120" w:after="0" w:line="260" w:lineRule="atLeast"/>
        <w:ind w:left="2880" w:right="0"/>
        <w:jc w:val="both"/>
      </w:pPr>
      <w:r>
        <w:rPr>
          <w:b/>
        </w:rPr>
        <w:t xml:space="preserve">(2)  </w:t>
      </w:r>
      <w:r>
        <w:rPr>
          <w:rFonts w:ascii="arial" w:eastAsia="arial" w:hAnsi="arial" w:cs="arial"/>
          <w:b w:val="0"/>
          <w:i w:val="0"/>
          <w:strike w:val="0"/>
          <w:noProof w:val="0"/>
          <w:color w:val="000000"/>
          <w:position w:val="0"/>
          <w:sz w:val="20"/>
          <w:u w:val="none"/>
          <w:vertAlign w:val="baseline"/>
        </w:rPr>
        <w:t>Pre-operative data on primary elective THA/TKA procedures for &gt;/= 80 percent or &gt;/= 200 procedures performed between July 1, 2020 and June 30, 2021, unless CMS requests a more limited data set, in which case, submit all requested data elements.</w:t>
      </w:r>
    </w:p>
    <w:p>
      <w:pPr>
        <w:spacing w:before="120" w:line="240" w:lineRule="atLeast"/>
        <w:ind w:left="1080"/>
      </w:pPr>
      <w:r>
        <w:rPr>
          <w:b/>
        </w:rPr>
        <w:t xml:space="preserve">§ 512.450 Beneficiary choice and beneficiary notification.  </w:t>
      </w:r>
    </w:p>
    <w:p>
      <w:pPr>
        <w:keepNext w:val="0"/>
        <w:spacing w:before="120" w:after="0" w:line="260" w:lineRule="atLeast"/>
        <w:ind w:left="1440" w:right="0"/>
        <w:jc w:val="both"/>
      </w:pPr>
      <w:r>
        <w:rPr>
          <w:b/>
        </w:rPr>
        <w:t xml:space="preserve">(a) Beneficiary choice.  </w:t>
      </w:r>
      <w:r>
        <w:rPr>
          <w:rFonts w:ascii="arial" w:eastAsia="arial" w:hAnsi="arial" w:cs="arial"/>
          <w:b w:val="0"/>
          <w:i w:val="0"/>
          <w:strike w:val="0"/>
          <w:noProof w:val="0"/>
          <w:color w:val="000000"/>
          <w:position w:val="0"/>
          <w:sz w:val="20"/>
          <w:u w:val="none"/>
          <w:vertAlign w:val="baseline"/>
        </w:rPr>
        <w:t xml:space="preserve">The EPMs do not restrict Medicare beneficiaries' </w:t>
      </w:r>
      <w:r>
        <w:rPr>
          <w:rFonts w:ascii="arial" w:eastAsia="arial" w:hAnsi="arial" w:cs="arial"/>
          <w:b/>
          <w:i w:val="0"/>
          <w:strike w:val="0"/>
          <w:noProof w:val="0"/>
          <w:color w:val="000000"/>
          <w:position w:val="0"/>
          <w:sz w:val="20"/>
          <w:u w:val="none"/>
          <w:vertAlign w:val="baseline"/>
        </w:rPr>
        <w:t> [*640] </w:t>
      </w:r>
      <w:r>
        <w:rPr>
          <w:rFonts w:ascii="arial" w:eastAsia="arial" w:hAnsi="arial" w:cs="arial"/>
          <w:b w:val="0"/>
          <w:i w:val="0"/>
          <w:strike w:val="0"/>
          <w:noProof w:val="0"/>
          <w:color w:val="000000"/>
          <w:position w:val="0"/>
          <w:sz w:val="20"/>
          <w:u w:val="none"/>
          <w:vertAlign w:val="baseline"/>
        </w:rPr>
        <w:t xml:space="preserve"> ability to choose any Medicare enrolled provider or supplier, or any physician or practitioner who has opted out of Medicare.</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As part of discharge planning and referral, EPM participants must provide a complete list of HHAs, SNFs, IRFs, or LTCHs that are participating in the Medicare program, and that serve the geographic area (as defined by the HHA) in which the patient resides, or in the case of a SNF, IRF, or LTCH, in the geographic area requested by the patient.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This list must be presented to EPM beneficiaries for whom home health care, SNF, IRF, or LTCH services are medically necessary.</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EPM participants must specify on the list those post-acute care providers on the list with whom they have a sharing arrangement.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 xml:space="preserve">EPM participants may recommend preferred providers and suppliers, consistent with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 xml:space="preserve">EPM participants may not limit beneficiary choice to any list of providers or suppliers in any manner other than that permitted under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EPM participants must take into account patient and family preferences when they are expressed.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EPM participants may not charge any EPM collaborator a fee to be included on any list of preferred providers or suppliers, nor may the EPM participant accept such payments.</w:t>
      </w:r>
    </w:p>
    <w:p>
      <w:pPr>
        <w:spacing w:before="120" w:line="240" w:lineRule="atLeast"/>
        <w:ind w:left="1440"/>
      </w:pPr>
      <w:r>
        <w:rPr>
          <w:b/>
        </w:rPr>
        <w:t xml:space="preserve">(b) Required beneficiary notification --  </w:t>
      </w:r>
    </w:p>
    <w:p>
      <w:pPr>
        <w:keepNext w:val="0"/>
        <w:spacing w:before="120" w:after="0" w:line="260" w:lineRule="atLeast"/>
        <w:ind w:left="1800" w:right="0"/>
        <w:jc w:val="both"/>
      </w:pPr>
      <w:r>
        <w:rPr>
          <w:b/>
        </w:rPr>
        <w:t xml:space="preserve">(1) EPM participant detailed notification.  </w:t>
      </w:r>
      <w:r>
        <w:rPr>
          <w:rFonts w:ascii="arial" w:eastAsia="arial" w:hAnsi="arial" w:cs="arial"/>
          <w:b w:val="0"/>
          <w:i w:val="0"/>
          <w:strike w:val="0"/>
          <w:noProof w:val="0"/>
          <w:color w:val="000000"/>
          <w:position w:val="0"/>
          <w:sz w:val="20"/>
          <w:u w:val="none"/>
          <w:vertAlign w:val="baseline"/>
        </w:rPr>
        <w:t>Each EPM participant must provide written notification to any Medicare beneficiary that meets the criteria in § 512.240 of his or her inclusion in the EPM. The notification must be provided upon admission to the EPM participant if the admission that initiates the EPM episode is not scheduled with the EPM participant in advance. If the admission is scheduled in advance, then the EPM participant must provide notice as soon as the admission is scheduled. In circumstances where, due to the patient's condition, it is not feasible to provide notification at such times, the notification must be provided to the beneficiary or his or her representative as soon as is reasonably practicable but no later than discharge from the EPM participant accountable for the EPM episode. The EPM participant must be able to generate a list of all beneficiaries receiving such notification, including the date on which the notification was provided to the beneficiary, to CMS upon request. The beneficiary notification must contain all of the following:</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A detailed explanation of the EPM and how it might be expected to affect the beneficiary's care.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Notification that the beneficiary retains freedom of choice to choose providers and services.</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Explanation of how patients can access care records and claims data through an available patient portal, and how they can share access to their Blue Button(R) electronic health information with caregivers.</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A statement that all existing Medicare beneficiary protections continue to be available to the beneficiary. These include the ability to report concerns of substandard care to Quality Improvement Organizations or the 1-800-MEDICARE helpline.</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A list of the providers, suppliers, and ACOs with whom the EPM participant has a sharing arrangement. This requirement may be fulfilled by the EPM participant including in the detailed notification a web address where beneficiaries may access the list.</w:t>
      </w:r>
    </w:p>
    <w:p>
      <w:pPr>
        <w:keepNext w:val="0"/>
        <w:spacing w:before="120" w:after="0" w:line="260" w:lineRule="atLeast"/>
        <w:ind w:left="1800" w:right="0"/>
        <w:jc w:val="both"/>
      </w:pPr>
      <w:r>
        <w:rPr>
          <w:b/>
        </w:rPr>
        <w:t xml:space="preserve">(2) EPM collaborator notice.  </w:t>
      </w:r>
      <w:r>
        <w:rPr>
          <w:rFonts w:ascii="arial" w:eastAsia="arial" w:hAnsi="arial" w:cs="arial"/>
          <w:b w:val="0"/>
          <w:i w:val="0"/>
          <w:strike w:val="0"/>
          <w:noProof w:val="0"/>
          <w:color w:val="000000"/>
          <w:position w:val="0"/>
          <w:sz w:val="20"/>
          <w:u w:val="none"/>
          <w:vertAlign w:val="baseline"/>
        </w:rPr>
        <w:t>An EPM participant must require every EPM collaborator to provide written notice to applicable EPM beneficiaries of the structure of the EPM and the existence of its sharing arrangement with the EPM participant.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An EPM participant must require every EPM collaborator that furnishes an item or service to an EPM beneficiary during an EPM episode to provide written notice to the beneficiary of the structure of the EPM and the existence of the individual's or entity's sharing arrangement. The notice must be provided no later than the time at which the beneficiary first receives an item or service from the EPM collaborator during an EPM episode. In circumstances where, due to the patient's condition, it is not feasible to provide notice at such times, the notice must be provided to the beneficiary or his or her representative as soon as is reasonably practicable. The EPM collaborator must be able to generate a list of all beneficiaries who received such a notice, including the date on which the notice was provided to the beneficiary, to CMS upon request.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An EPM participant must require every EPM collaborator that is a PGP, NPPGP, or TGP where a member of the PGP, member of the NPPGP, or member of the TGP furnishes an item or service to an EPM beneficiary during an EPM episode to provide written notice to the beneficiary of the structure of the EPM and the existence of the entity's sharing arrangement. The notice must be provided no later than the time at which the beneficiary first receives an item or service from any member of the PGP, member of the NPPGP, or member of the TGP, and the required notice may be provided by that member. In circumstances where, due to the patient's condition, it is not feasible to provide notice at such times, the notice must be provided to the beneficiary or his or her representative as soon as is reasonably practicable. The PGP, NPPGP, or TGP must be able to generate a list of all beneficiaries who received such a notice, including the date on which the notice was provided to the beneficiary, to CMS upon request.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An EPM participant must require every EPM collaborator that is an ACO where an ACO participant bills for or ACO provider/supplier furnishes an item or service to an EPM beneficiary during an EPM episode to provide written notice to the beneficiary of the structure of the EPM and the existence of the entity's sharing arrangement. The notice must be provided no later than the time at which the beneficiary first receives an item or service from any ACO participant or ACO provider/supplier and the required notice may be provided by that ACO participant or ACO provider/supplier. In circumstances where, due to the patient's condition, it is not feasible to provide notice at such times, the notice must be provided to the beneficiary or his or her representative as soon as is reasonably practicable. The ACO must be able to generate a list of all beneficiaries who received such a notice, including the date on which the notice was provided to the beneficiary, to CMS or its designee upon request.</w:t>
      </w:r>
    </w:p>
    <w:p>
      <w:pPr>
        <w:keepNext w:val="0"/>
        <w:spacing w:before="120" w:after="0" w:line="260" w:lineRule="atLeast"/>
        <w:ind w:left="1800" w:right="0"/>
        <w:jc w:val="both"/>
      </w:pPr>
      <w:r>
        <w:rPr>
          <w:b/>
        </w:rPr>
        <w:t xml:space="preserve">(3) Discharge planning notice.  </w:t>
      </w:r>
      <w:r>
        <w:rPr>
          <w:rFonts w:ascii="arial" w:eastAsia="arial" w:hAnsi="arial" w:cs="arial"/>
          <w:b w:val="0"/>
          <w:i w:val="0"/>
          <w:strike w:val="0"/>
          <w:noProof w:val="0"/>
          <w:color w:val="000000"/>
          <w:position w:val="0"/>
          <w:sz w:val="20"/>
          <w:u w:val="none"/>
          <w:vertAlign w:val="baseline"/>
        </w:rPr>
        <w:t>An EPM participant must provide the beneficiary with a written notice of any potential financial liability associated with non-covered services recommended or presented as an option as part of discharge planning, no later than at the time that the beneficiary discusses a particular post-acute care option or at the time the beneficiary is discharged, whichever occurs earlier.</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If the EPM participant knows or should have known that the beneficiary is considering or has decided to receive a non-covered post-acute care service or other non-covered associated service or supply, the EPM participant must notify the beneficiary that the service would not be covered by Medicare.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 xml:space="preserve">If the EPM participant is discharging a beneficiary to a SNF prior to the occurrence of a 3-day hospital stay, and the beneficiary is being transferred to or is considering a SNF that would not qualify under the SNF 3-day waiver in § 512.610, the EPM </w:t>
      </w:r>
      <w:r>
        <w:rPr>
          <w:rFonts w:ascii="arial" w:eastAsia="arial" w:hAnsi="arial" w:cs="arial"/>
          <w:b/>
          <w:i w:val="0"/>
          <w:strike w:val="0"/>
          <w:noProof w:val="0"/>
          <w:color w:val="000000"/>
          <w:position w:val="0"/>
          <w:sz w:val="20"/>
          <w:u w:val="none"/>
          <w:vertAlign w:val="baseline"/>
        </w:rPr>
        <w:t> [*641] </w:t>
      </w:r>
      <w:r>
        <w:rPr>
          <w:rFonts w:ascii="arial" w:eastAsia="arial" w:hAnsi="arial" w:cs="arial"/>
          <w:b w:val="0"/>
          <w:i w:val="0"/>
          <w:strike w:val="0"/>
          <w:noProof w:val="0"/>
          <w:color w:val="000000"/>
          <w:position w:val="0"/>
          <w:sz w:val="20"/>
          <w:u w:val="none"/>
          <w:vertAlign w:val="baseline"/>
        </w:rPr>
        <w:t xml:space="preserve"> participant must notify the beneficiary in accordance with paragraph (b)(3)(i) of this section that the beneficiary will be responsible for payment for the services furnished by the SNF during that stay, except those services that would be covered by Medicare Part B during a non-covered inpatient SNF stay.</w:t>
      </w:r>
    </w:p>
    <w:p>
      <w:pPr>
        <w:keepNext w:val="0"/>
        <w:spacing w:before="120" w:after="0" w:line="260" w:lineRule="atLeast"/>
        <w:ind w:left="1800" w:right="0"/>
        <w:jc w:val="both"/>
      </w:pPr>
      <w:r>
        <w:rPr>
          <w:b/>
        </w:rPr>
        <w:t xml:space="preserve">(4) Access to records and retention.  </w:t>
      </w:r>
      <w:r>
        <w:rPr>
          <w:rFonts w:ascii="arial" w:eastAsia="arial" w:hAnsi="arial" w:cs="arial"/>
          <w:b w:val="0"/>
          <w:i w:val="0"/>
          <w:strike w:val="0"/>
          <w:noProof w:val="0"/>
          <w:color w:val="000000"/>
          <w:position w:val="0"/>
          <w:sz w:val="20"/>
          <w:u w:val="none"/>
          <w:vertAlign w:val="baseline"/>
        </w:rPr>
        <w:t>Lists of beneficiaries that receive notifications or notices must be retained and access provided to CMS, or its designees, in accordance with § 512.110.</w:t>
      </w:r>
    </w:p>
    <w:p>
      <w:pPr>
        <w:spacing w:before="120" w:line="240" w:lineRule="atLeast"/>
        <w:ind w:left="1080"/>
      </w:pPr>
      <w:r>
        <w:rPr>
          <w:b/>
        </w:rPr>
        <w:t xml:space="preserve">§ 512.460 Compliance enforcement.  </w:t>
      </w:r>
    </w:p>
    <w:p>
      <w:pPr>
        <w:keepNext w:val="0"/>
        <w:spacing w:before="120" w:after="0" w:line="260" w:lineRule="atLeast"/>
        <w:ind w:left="1440" w:right="0"/>
        <w:jc w:val="both"/>
      </w:pPr>
      <w:r>
        <w:rPr>
          <w:b/>
        </w:rPr>
        <w:t xml:space="preserve">(a) General.  </w:t>
      </w:r>
      <w:r>
        <w:rPr>
          <w:rFonts w:ascii="arial" w:eastAsia="arial" w:hAnsi="arial" w:cs="arial"/>
          <w:b w:val="0"/>
          <w:i w:val="0"/>
          <w:strike w:val="0"/>
          <w:noProof w:val="0"/>
          <w:color w:val="000000"/>
          <w:position w:val="0"/>
          <w:sz w:val="20"/>
          <w:u w:val="none"/>
          <w:vertAlign w:val="baseline"/>
        </w:rPr>
        <w:t xml:space="preserve">EPM participants must comply with all of the requirements outlined in this part. Except as specifically noted in this part,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this part must not be construed to affect the applicable payment, coverage, program integrity, or other requirements under this chapter (such as those in parts 412 and 482 of this chapter).</w:t>
      </w:r>
    </w:p>
    <w:p>
      <w:pPr>
        <w:spacing w:before="120" w:line="240" w:lineRule="atLeast"/>
        <w:ind w:left="1440"/>
      </w:pPr>
      <w:r>
        <w:rPr>
          <w:b/>
        </w:rPr>
        <w:t xml:space="preserve">(b) Failure to comply.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CMS may take one or more of the remedial actions set forth in paragraph (b)(2) of this section if an EPM participant or its related EPM collaborator, collaboration agent, or downstream collaboration agent does any of the following:</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Fails to comply with any requirements of this part or is identified as noncompliant through monitoring by HHS (including CMS and OIG) of the EPM, including, but not limited to, any of the following:</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Avoiding potentially high-cost or high-severity patients.</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Targeting potentially low-cost or low-severity patients.</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Failing to provide medically appropriate services or systematically engaging in the over- or under-delivery of appropriate care.</w:t>
      </w:r>
    </w:p>
    <w:p>
      <w:pPr>
        <w:keepNext w:val="0"/>
        <w:spacing w:before="120" w:after="0" w:line="260" w:lineRule="atLeast"/>
        <w:ind w:left="2520" w:right="0"/>
        <w:jc w:val="both"/>
      </w:pPr>
      <w:r>
        <w:rPr>
          <w:b/>
        </w:rPr>
        <w:t xml:space="preserve">(D)  </w:t>
      </w:r>
      <w:r>
        <w:rPr>
          <w:rFonts w:ascii="arial" w:eastAsia="arial" w:hAnsi="arial" w:cs="arial"/>
          <w:b w:val="0"/>
          <w:i w:val="0"/>
          <w:strike w:val="0"/>
          <w:noProof w:val="0"/>
          <w:color w:val="000000"/>
          <w:position w:val="0"/>
          <w:sz w:val="20"/>
          <w:u w:val="none"/>
          <w:vertAlign w:val="baseline"/>
        </w:rPr>
        <w:t>Failing to provide beneficiaries with complete and accurate information, including required notices.</w:t>
      </w:r>
    </w:p>
    <w:p>
      <w:pPr>
        <w:keepNext w:val="0"/>
        <w:spacing w:before="120" w:after="0" w:line="260" w:lineRule="atLeast"/>
        <w:ind w:left="2520" w:right="0"/>
        <w:jc w:val="both"/>
      </w:pPr>
      <w:r>
        <w:rPr>
          <w:b/>
        </w:rPr>
        <w:t xml:space="preserve">(E)  </w:t>
      </w:r>
      <w:r>
        <w:rPr>
          <w:rFonts w:ascii="arial" w:eastAsia="arial" w:hAnsi="arial" w:cs="arial"/>
          <w:b w:val="0"/>
          <w:i w:val="0"/>
          <w:strike w:val="0"/>
          <w:noProof w:val="0"/>
          <w:color w:val="000000"/>
          <w:position w:val="0"/>
          <w:sz w:val="20"/>
          <w:u w:val="none"/>
          <w:vertAlign w:val="baseline"/>
        </w:rPr>
        <w:t>Failing to allow beneficiary choice of medically necessary options, including non-surgical options.</w:t>
      </w:r>
    </w:p>
    <w:p>
      <w:pPr>
        <w:keepNext w:val="0"/>
        <w:spacing w:before="120" w:after="0" w:line="260" w:lineRule="atLeast"/>
        <w:ind w:left="2520" w:right="0"/>
        <w:jc w:val="both"/>
      </w:pPr>
      <w:r>
        <w:rPr>
          <w:b/>
        </w:rPr>
        <w:t xml:space="preserve">(F)  </w:t>
      </w:r>
      <w:r>
        <w:rPr>
          <w:rFonts w:ascii="arial" w:eastAsia="arial" w:hAnsi="arial" w:cs="arial"/>
          <w:b w:val="0"/>
          <w:i w:val="0"/>
          <w:strike w:val="0"/>
          <w:noProof w:val="0"/>
          <w:color w:val="000000"/>
          <w:position w:val="0"/>
          <w:sz w:val="20"/>
          <w:u w:val="none"/>
          <w:vertAlign w:val="baseline"/>
        </w:rPr>
        <w:t>Failing to follow the requirements related to sharing arrangements.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Has signed a sharing arrangement, distribution arrangement, or downstream distribution arrangement that is noncompliant with the requirements of this part.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Takes any action that threatens the health or safety of patients.</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Avoids at-risk Medicare beneficiaries, as this term is defined in § 425.20 of this chapter.</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Avoids patients on the basis of payer status.</w:t>
      </w:r>
    </w:p>
    <w:p>
      <w:pPr>
        <w:keepNext w:val="0"/>
        <w:spacing w:before="120" w:after="0" w:line="260" w:lineRule="atLeast"/>
        <w:ind w:left="2160" w:right="0"/>
        <w:jc w:val="both"/>
      </w:pPr>
      <w:r>
        <w:rPr>
          <w:b/>
        </w:rPr>
        <w:t xml:space="preserve">(vi)  </w:t>
      </w:r>
      <w:r>
        <w:rPr>
          <w:rFonts w:ascii="arial" w:eastAsia="arial" w:hAnsi="arial" w:cs="arial"/>
          <w:b w:val="0"/>
          <w:i w:val="0"/>
          <w:strike w:val="0"/>
          <w:noProof w:val="0"/>
          <w:color w:val="000000"/>
          <w:position w:val="0"/>
          <w:sz w:val="20"/>
          <w:u w:val="none"/>
          <w:vertAlign w:val="baseline"/>
        </w:rPr>
        <w:t>Is subject to sanctions or final actions of an accrediting organization or Federal, state, or local government agency that could lead to the inability to comply with the requirements and provisions of this part.</w:t>
      </w:r>
    </w:p>
    <w:p>
      <w:pPr>
        <w:keepNext w:val="0"/>
        <w:spacing w:before="120" w:after="0" w:line="260" w:lineRule="atLeast"/>
        <w:ind w:left="2160" w:right="0"/>
        <w:jc w:val="both"/>
      </w:pPr>
      <w:r>
        <w:rPr>
          <w:b/>
        </w:rPr>
        <w:t xml:space="preserve">(vii)  </w:t>
      </w:r>
      <w:r>
        <w:rPr>
          <w:rFonts w:ascii="arial" w:eastAsia="arial" w:hAnsi="arial" w:cs="arial"/>
          <w:b w:val="0"/>
          <w:i w:val="0"/>
          <w:strike w:val="0"/>
          <w:noProof w:val="0"/>
          <w:color w:val="000000"/>
          <w:position w:val="0"/>
          <w:sz w:val="20"/>
          <w:u w:val="none"/>
          <w:vertAlign w:val="baseline"/>
        </w:rPr>
        <w:t>Takes any action that CMS determines for program integrity reasons is not in the best interests of the EPM, or fails to take any action that CMS determines for program integrity reasons should have been taken to further the best interests of the EPM.</w:t>
      </w:r>
    </w:p>
    <w:p>
      <w:pPr>
        <w:keepNext w:val="0"/>
        <w:spacing w:before="120" w:after="0" w:line="260" w:lineRule="atLeast"/>
        <w:ind w:left="2160" w:right="0"/>
        <w:jc w:val="both"/>
      </w:pPr>
      <w:r>
        <w:rPr>
          <w:b/>
        </w:rPr>
        <w:t xml:space="preserve">(viii)  </w:t>
      </w:r>
      <w:r>
        <w:rPr>
          <w:rFonts w:ascii="arial" w:eastAsia="arial" w:hAnsi="arial" w:cs="arial"/>
          <w:b w:val="0"/>
          <w:i w:val="0"/>
          <w:strike w:val="0"/>
          <w:noProof w:val="0"/>
          <w:color w:val="000000"/>
          <w:position w:val="0"/>
          <w:sz w:val="20"/>
          <w:u w:val="none"/>
          <w:vertAlign w:val="baseline"/>
        </w:rPr>
        <w:t>Is subject to action by HHS (including OIG and CMS) or the Department of Justice to redress an allegation of fraud or significant misconduct, including intervening in a False Claims Act qui tam matter, issuing a pre-demand or demand letter under a civil sanction authority, or similar actions.</w:t>
      </w:r>
    </w:p>
    <w:p>
      <w:pPr>
        <w:keepNext w:val="0"/>
        <w:spacing w:before="120" w:after="0" w:line="260" w:lineRule="atLeast"/>
        <w:ind w:left="2160" w:right="0"/>
        <w:jc w:val="both"/>
      </w:pPr>
      <w:r>
        <w:rPr>
          <w:b/>
        </w:rPr>
        <w:t xml:space="preserve">(ix)  </w:t>
      </w:r>
      <w:r>
        <w:rPr>
          <w:rFonts w:ascii="arial" w:eastAsia="arial" w:hAnsi="arial" w:cs="arial"/>
          <w:b w:val="0"/>
          <w:i w:val="0"/>
          <w:strike w:val="0"/>
          <w:noProof w:val="0"/>
          <w:color w:val="000000"/>
          <w:position w:val="0"/>
          <w:sz w:val="20"/>
          <w:u w:val="none"/>
          <w:vertAlign w:val="baseline"/>
        </w:rPr>
        <w:t xml:space="preserve">Is subject to action involving violations of the physician self-referral law, civil monetary penalties law, Federal anti-kickback statute,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or any other applicable Medicare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relevant to the EPM.</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Remedial actions include the following:</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Issuing a warning letter to the EPM participant.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Requiring the EPM participant to develop a corrective action plan, commonly referred to as a CAP.</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Reducing or eliminating the EPM participant's reconciliation payment.</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Reducing or eliminating the EPM participant's CR incentive payment.</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Requiring the EPM participant to terminate a sharing arrangement with an EPM collaborator and prohibit further engagement by the EPM participant in sharing arrangements with the EPM collaborator.</w:t>
      </w:r>
    </w:p>
    <w:p>
      <w:pPr>
        <w:keepNext w:val="0"/>
        <w:spacing w:before="120" w:after="0" w:line="260" w:lineRule="atLeast"/>
        <w:ind w:left="2160" w:right="0"/>
        <w:jc w:val="both"/>
      </w:pPr>
      <w:r>
        <w:rPr>
          <w:b/>
        </w:rPr>
        <w:t xml:space="preserve">(vi)  </w:t>
      </w:r>
      <w:r>
        <w:rPr>
          <w:rFonts w:ascii="arial" w:eastAsia="arial" w:hAnsi="arial" w:cs="arial"/>
          <w:b w:val="0"/>
          <w:i w:val="0"/>
          <w:strike w:val="0"/>
          <w:noProof w:val="0"/>
          <w:color w:val="000000"/>
          <w:position w:val="0"/>
          <w:sz w:val="20"/>
          <w:u w:val="none"/>
          <w:vertAlign w:val="baseline"/>
        </w:rPr>
        <w:t>Terminating the EPM participant's participation in the EPM. Where a participant is terminated from an EPM, the EPM participant will remain liable for all negative NPRA generated from EPM episodes that ended prior to termination.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CMS may add a 25-percent penalty to a repayment amount on the EPM participant's reconciliation report if all of the following conditions are met: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CMS has required a corrective action plan from the EPM participant.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EPM participant owes a repayment amount to CMS.</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The EPM participant fails to timely comply with the corrective action plan or is noncompliant with the EPM's requirements.</w:t>
      </w:r>
    </w:p>
    <w:p>
      <w:pPr>
        <w:spacing w:before="120" w:line="240" w:lineRule="atLeast"/>
        <w:ind w:left="1080"/>
      </w:pPr>
      <w:r>
        <w:rPr>
          <w:b/>
        </w:rPr>
        <w:t xml:space="preserve">Subpart F-- Financial Arrangements and Beneficiary Incentives  </w:t>
      </w:r>
    </w:p>
    <w:p>
      <w:pPr>
        <w:spacing w:before="120" w:line="240" w:lineRule="atLeast"/>
        <w:ind w:left="1080"/>
      </w:pPr>
      <w:r>
        <w:rPr>
          <w:b/>
        </w:rPr>
        <w:t xml:space="preserve">§ 512.500 Sharing arrangements under the EPM.  </w:t>
      </w:r>
    </w:p>
    <w:p>
      <w:pPr>
        <w:spacing w:before="120" w:line="240" w:lineRule="atLeast"/>
        <w:ind w:left="1440"/>
      </w:pPr>
      <w:r>
        <w:rPr>
          <w:b/>
        </w:rPr>
        <w:t xml:space="preserve">(a) General.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An EPM participant may enter into a sharing arrangement with an EPM collaborator to make a gainsharing payment, or to receive an alignment payment, or both. An EPM participant must not make a gainsharing payment or receive an alignment payment except in accordance with a sharing arrangement.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A sharing arrangement must comply with the provisions of this section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applicable fraud and abuse laws and all applicable payment and coverage requirements.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EPM participant must develop, maintain, and use a set of written policies for selecting individuals and entities to be EPM collaborators. These policies must contain criteria related to, and inclusive of, the quality of care delivered by the potential EPM collaborator. The selection criteria cannot be based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 A selection criterion that considers whether a potential EPM collaborator has performed a reasonable minimum number of services that would qualify as EPM activities will be deemed not to violate the volume or value standard if the purpose of the criterion is to ensure the quality of care furnished to EPM beneficiaries.</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If an EPM participant enters into a sharing arrangement, its compliance program must include oversight of sharing arrangements and compliance with the applicable requirements of the EPM.</w:t>
      </w:r>
    </w:p>
    <w:p>
      <w:pPr>
        <w:spacing w:before="120" w:line="240" w:lineRule="atLeast"/>
        <w:ind w:left="1440"/>
      </w:pPr>
      <w:r>
        <w:rPr>
          <w:b/>
        </w:rPr>
        <w:t xml:space="preserve">(b) Requirements.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 sharing arrangement must be in writing and signed by the parties, and entered into before care is furnished to EPM beneficiaries under the sharing arrangement.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Participation in a sharing arrangement must be voluntary and without penalty for nonparticipation.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sharing arrangement must require the EPM collaborator and its employees, contractors (including collaboration agents), and subcontractors (including downstream collaboration agents) to comply with all of the following:</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The applicable provisions of this part (including requirements regarding beneficiary notifications, access to records, record retention, and participation in any evaluation, </w:t>
      </w:r>
      <w:r>
        <w:rPr>
          <w:rFonts w:ascii="arial" w:eastAsia="arial" w:hAnsi="arial" w:cs="arial"/>
          <w:b/>
          <w:i w:val="0"/>
          <w:strike w:val="0"/>
          <w:noProof w:val="0"/>
          <w:color w:val="000000"/>
          <w:position w:val="0"/>
          <w:sz w:val="20"/>
          <w:u w:val="none"/>
          <w:vertAlign w:val="baseline"/>
        </w:rPr>
        <w:t> [*642] </w:t>
      </w:r>
      <w:r>
        <w:rPr>
          <w:rFonts w:ascii="arial" w:eastAsia="arial" w:hAnsi="arial" w:cs="arial"/>
          <w:b w:val="0"/>
          <w:i w:val="0"/>
          <w:strike w:val="0"/>
          <w:noProof w:val="0"/>
          <w:color w:val="000000"/>
          <w:position w:val="0"/>
          <w:sz w:val="20"/>
          <w:u w:val="none"/>
          <w:vertAlign w:val="baseline"/>
        </w:rPr>
        <w:t xml:space="preserve"> monitoring, compliance, and enforcement activities performed by CMS or its designees).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All applicable Medicare provider enrollment requirements at § 424.500 of this chapter, including having a valid and active TIN or NPI, during the term of the sharing arrangement.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 xml:space="preserve">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sharing arrangement must require the EPM collaborator to have or be covered by a compliance program that includes oversight of the sharing arrangement and compliance with the requirements of the EPM that apply to its role as an EPM collaborator, including any distribution arrangements.</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The sharing arrangement must not pose a risk to beneficiary access, beneficiary freedom of choice, or quality of care.</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The board or other governing body of the EPM participant must have responsibility for overseeing the EPM participant's participation in the EPM, its arrangements with EPM collaborators, its payment of gainsharing payments, its receipt of alignment payments, and its use of beneficiary incentives in the EPM.</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The written agreement memorializing a sharing arrangement must specify the following:</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purpose and scope of the sharing arrangement;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identities and obligations of the parties, including specified EPM activities and other services to be performed by the parties under the sharing arrangement;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The date of the sharing arrangement.</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The financial or economic terms for payment, including the following:</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Eligibility criteria for a gainsharing payment.</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Eligibility criteria for an alignment payment.</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Frequency of gainsharing or alignment payment.</w:t>
      </w:r>
    </w:p>
    <w:p>
      <w:pPr>
        <w:keepNext w:val="0"/>
        <w:spacing w:before="120" w:after="0" w:line="260" w:lineRule="atLeast"/>
        <w:ind w:left="2520" w:right="0"/>
        <w:jc w:val="both"/>
      </w:pPr>
      <w:r>
        <w:rPr>
          <w:b/>
        </w:rPr>
        <w:t xml:space="preserve">(D)  </w:t>
      </w:r>
      <w:r>
        <w:rPr>
          <w:rFonts w:ascii="arial" w:eastAsia="arial" w:hAnsi="arial" w:cs="arial"/>
          <w:b w:val="0"/>
          <w:i w:val="0"/>
          <w:strike w:val="0"/>
          <w:noProof w:val="0"/>
          <w:color w:val="000000"/>
          <w:position w:val="0"/>
          <w:sz w:val="20"/>
          <w:u w:val="none"/>
          <w:vertAlign w:val="baseline"/>
        </w:rPr>
        <w:t>Methodology and accounting formula for determining the amount of a gainsharing payment that is substantially based on quality of care and the provision of EPM activities.</w:t>
      </w:r>
    </w:p>
    <w:p>
      <w:pPr>
        <w:keepNext w:val="0"/>
        <w:spacing w:before="120" w:after="0" w:line="260" w:lineRule="atLeast"/>
        <w:ind w:left="2520" w:right="0"/>
        <w:jc w:val="both"/>
      </w:pPr>
      <w:r>
        <w:rPr>
          <w:b/>
        </w:rPr>
        <w:t xml:space="preserve">(E)  </w:t>
      </w:r>
      <w:r>
        <w:rPr>
          <w:rFonts w:ascii="arial" w:eastAsia="arial" w:hAnsi="arial" w:cs="arial"/>
          <w:b w:val="0"/>
          <w:i w:val="0"/>
          <w:strike w:val="0"/>
          <w:noProof w:val="0"/>
          <w:color w:val="000000"/>
          <w:position w:val="0"/>
          <w:sz w:val="20"/>
          <w:u w:val="none"/>
          <w:vertAlign w:val="baseline"/>
        </w:rPr>
        <w:t>Methodology and accounting formula for determining the amount of an alignment payment.</w:t>
      </w:r>
    </w:p>
    <w:p>
      <w:pPr>
        <w:keepNext w:val="0"/>
        <w:spacing w:before="120" w:after="0" w:line="260" w:lineRule="atLeast"/>
        <w:ind w:left="1800" w:right="0"/>
        <w:jc w:val="both"/>
      </w:pPr>
      <w:r>
        <w:rPr>
          <w:b/>
        </w:rPr>
        <w:t xml:space="preserve">(8)  </w:t>
      </w:r>
      <w:r>
        <w:rPr>
          <w:rFonts w:ascii="arial" w:eastAsia="arial" w:hAnsi="arial" w:cs="arial"/>
          <w:b w:val="0"/>
          <w:i w:val="0"/>
          <w:strike w:val="0"/>
          <w:noProof w:val="0"/>
          <w:color w:val="000000"/>
          <w:position w:val="0"/>
          <w:sz w:val="20"/>
          <w:u w:val="none"/>
          <w:vertAlign w:val="baseline"/>
        </w:rPr>
        <w:t>The sharing arrangement must not--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Induce the EPM participant, EPM collaborator, or any employees, contractors, or subcontractors of the EPM participant or EPM collaborator to reduce or limit medically necessary services to any Medicare beneficiary; or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Restrict the ability of an EPM collaborator to make decisions in the best interests of its patients, including the selection of devices, supplies, and treatments.</w:t>
      </w:r>
    </w:p>
    <w:p>
      <w:pPr>
        <w:spacing w:before="120" w:line="240" w:lineRule="atLeast"/>
        <w:ind w:left="1440"/>
      </w:pPr>
      <w:r>
        <w:rPr>
          <w:b/>
        </w:rPr>
        <w:t xml:space="preserve">(c) Gainsharing payment, alignment payment, and internal cost savings conditions and restrictions.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Gainsharing payments, if any, must--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Be derived solely from reconciliation payments, or internal cost savings, or both;</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Be distributed on an annual basis (not more than once per calendar year);</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Not be a loan, advance payment, or payment for referrals or other business; and</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Be clearly identified as a gainsharing payment at the time it is paid.</w:t>
      </w:r>
    </w:p>
    <w:p>
      <w:pPr>
        <w:spacing w:before="120" w:line="240" w:lineRule="atLeast"/>
        <w:ind w:left="1800"/>
      </w:pPr>
      <w:r>
        <w:rPr>
          <w:b/>
        </w:rPr>
        <w:t xml:space="preserve">(2)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To be eligible to receive a gainsharing payment, an EPM collaborator must meet quality of care criteria for the performance year for which the EPM participant accrued the internal cost savings or earned the reconciliation payment that comprises the gainsharing payment. The quality of care criteria must be established by the EPM participant and directly related to EPM episodes.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To be eligible to receive a gainsharing payment, or to be required to make an alignment payment, an EPM collaborator other than an ACO, PGP, NPPGP, or TGP must have directly furnished a billable item or service to an EPM beneficiary during an EPM episode that occurred in the same performance year for which the EPM participant accrued the internal cost savings or earned the reconciliation payment that comprises the gainsharing payment or was assessed a repayment amount.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To be eligible to receive a gainsharing payment, or to be required to make an alignment payment, an EPM collaborator that is a PGP, NPPGP, or TGP must meet the following criteria:</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The PGP, NPPGP, or TGP must have billed for an item or service that was rendered by one or more PGP member, NPPGP member, or TGP member respectively to an EPM beneficiary during an EPM episode that occurred during the same performance year for which the EPM participant accrued the internal cost savings or earned the reconciliation payment that comprises the gainsharing payment or was assessed a repayment amount.</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The PGP, NPPGP, or TGP must have contributed to EPM activities and been clinically involved in the care of EPM beneficiaries during the same performance year for which the EPM participant accrued the internal cost savings or earned the reconciliation payment that comprises the gainsharing payment or was assessed a repayment amount. For example, a PGP, NPPGP, or TGP might have been clinically involved in the care of EPM beneficiaries by--</w:t>
      </w:r>
    </w:p>
    <w:p>
      <w:pPr>
        <w:keepNext w:val="0"/>
        <w:spacing w:before="120" w:after="0" w:line="260" w:lineRule="atLeast"/>
        <w:ind w:left="2880" w:right="0"/>
        <w:jc w:val="both"/>
      </w:pPr>
      <w:r>
        <w:rPr>
          <w:b/>
        </w:rPr>
        <w:t xml:space="preserve">(1)  </w:t>
      </w:r>
      <w:r>
        <w:rPr>
          <w:rFonts w:ascii="arial" w:eastAsia="arial" w:hAnsi="arial" w:cs="arial"/>
          <w:b w:val="0"/>
          <w:i w:val="0"/>
          <w:strike w:val="0"/>
          <w:noProof w:val="0"/>
          <w:color w:val="000000"/>
          <w:position w:val="0"/>
          <w:sz w:val="20"/>
          <w:u w:val="none"/>
          <w:vertAlign w:val="baseline"/>
        </w:rPr>
        <w:t>Providing care coordination services to EPM beneficiaries during and/or after inpatient admission;</w:t>
      </w:r>
    </w:p>
    <w:p>
      <w:pPr>
        <w:keepNext w:val="0"/>
        <w:spacing w:before="120" w:after="0" w:line="260" w:lineRule="atLeast"/>
        <w:ind w:left="2880" w:right="0"/>
        <w:jc w:val="both"/>
      </w:pPr>
      <w:r>
        <w:rPr>
          <w:b/>
        </w:rPr>
        <w:t xml:space="preserve">(2)  </w:t>
      </w:r>
      <w:r>
        <w:rPr>
          <w:rFonts w:ascii="arial" w:eastAsia="arial" w:hAnsi="arial" w:cs="arial"/>
          <w:b w:val="0"/>
          <w:i w:val="0"/>
          <w:strike w:val="0"/>
          <w:noProof w:val="0"/>
          <w:color w:val="000000"/>
          <w:position w:val="0"/>
          <w:sz w:val="20"/>
          <w:u w:val="none"/>
          <w:vertAlign w:val="baseline"/>
        </w:rPr>
        <w:t>Engaging with an EPM participant in care redesign strategies, and actually performing a role in implementing such strategies, that are designed to improve the quality of care for EPM episodes and reduce EPM episode spending; or</w:t>
      </w:r>
    </w:p>
    <w:p>
      <w:pPr>
        <w:keepNext w:val="0"/>
        <w:spacing w:before="120" w:after="0" w:line="260" w:lineRule="atLeast"/>
        <w:ind w:left="2880" w:right="0"/>
        <w:jc w:val="both"/>
      </w:pPr>
      <w:r>
        <w:rPr>
          <w:b/>
        </w:rPr>
        <w:t xml:space="preserve">(3)  </w:t>
      </w:r>
      <w:r>
        <w:rPr>
          <w:rFonts w:ascii="arial" w:eastAsia="arial" w:hAnsi="arial" w:cs="arial"/>
          <w:b w:val="0"/>
          <w:i w:val="0"/>
          <w:strike w:val="0"/>
          <w:noProof w:val="0"/>
          <w:color w:val="000000"/>
          <w:position w:val="0"/>
          <w:sz w:val="20"/>
          <w:u w:val="none"/>
          <w:vertAlign w:val="baseline"/>
        </w:rPr>
        <w:t>In coordination with other providers and suppliers (such as PGP members, NPPGP members, or TGP members; the EPM participant; and post-acute care providers), implementing strategies designed to address and manage the comorbidities of EPM beneficiaries.</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To be eligible to receive a gainsharing payment, or to be required to make an alignment payment, an EPM collaborator that is an ACO must meet the following criteria:</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The ACO must have had an ACO provider/supplier that directly furnished, or an ACO participant that billed for, an item or service that was rendered to an EPM beneficiary during an EPM episode that occurred during the same performance year for which the EPM participant accrued the internal cost savings or earned the reconciliation payment that comprises the gainsharing payment or was assessed a repayment amount; and</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The ACO must have contributed to EPM activities and been clinically involved in the care of EPM beneficiaries during the same performance year for which the EPM participant accrued the internal cost savings or earned the reconciliation payment that comprises the gainsharing payment or was assessed a repayment amount. For example, an ACO might be have been clinically involved in the care of EPM beneficiaries by--</w:t>
      </w:r>
    </w:p>
    <w:p>
      <w:pPr>
        <w:keepNext w:val="0"/>
        <w:spacing w:before="120" w:after="0" w:line="260" w:lineRule="atLeast"/>
        <w:ind w:left="2880" w:right="0"/>
        <w:jc w:val="both"/>
      </w:pPr>
      <w:r>
        <w:rPr>
          <w:b/>
        </w:rPr>
        <w:t xml:space="preserve">(1)  </w:t>
      </w:r>
      <w:r>
        <w:rPr>
          <w:rFonts w:ascii="arial" w:eastAsia="arial" w:hAnsi="arial" w:cs="arial"/>
          <w:b w:val="0"/>
          <w:i w:val="0"/>
          <w:strike w:val="0"/>
          <w:noProof w:val="0"/>
          <w:color w:val="000000"/>
          <w:position w:val="0"/>
          <w:sz w:val="20"/>
          <w:u w:val="none"/>
          <w:vertAlign w:val="baseline"/>
        </w:rPr>
        <w:t>Providing care coordination services to EPM beneficiaries during and/or after inpatient admission;</w:t>
      </w:r>
    </w:p>
    <w:p>
      <w:pPr>
        <w:keepNext w:val="0"/>
        <w:spacing w:before="120" w:after="0" w:line="260" w:lineRule="atLeast"/>
        <w:ind w:left="2880" w:right="0"/>
        <w:jc w:val="both"/>
      </w:pPr>
      <w:r>
        <w:rPr>
          <w:b/>
        </w:rPr>
        <w:t xml:space="preserve">(2)  </w:t>
      </w:r>
      <w:r>
        <w:rPr>
          <w:rFonts w:ascii="arial" w:eastAsia="arial" w:hAnsi="arial" w:cs="arial"/>
          <w:b w:val="0"/>
          <w:i w:val="0"/>
          <w:strike w:val="0"/>
          <w:noProof w:val="0"/>
          <w:color w:val="000000"/>
          <w:position w:val="0"/>
          <w:sz w:val="20"/>
          <w:u w:val="none"/>
          <w:vertAlign w:val="baseline"/>
        </w:rPr>
        <w:t>Engaging with an EPM participant in care redesign strategies, and actually performing a role in implementing such strategies, that are designed to improve the quality of care and reduce spending for EPM episodes; or</w:t>
      </w:r>
    </w:p>
    <w:p>
      <w:pPr>
        <w:keepNext w:val="0"/>
        <w:spacing w:before="120" w:after="0" w:line="260" w:lineRule="atLeast"/>
        <w:ind w:left="2880" w:right="0"/>
        <w:jc w:val="both"/>
      </w:pPr>
      <w:r>
        <w:rPr>
          <w:b/>
        </w:rPr>
        <w:t xml:space="preserve">(3)  </w:t>
      </w:r>
      <w:r>
        <w:rPr>
          <w:rFonts w:ascii="arial" w:eastAsia="arial" w:hAnsi="arial" w:cs="arial"/>
          <w:b w:val="0"/>
          <w:i w:val="0"/>
          <w:strike w:val="0"/>
          <w:noProof w:val="0"/>
          <w:color w:val="000000"/>
          <w:position w:val="0"/>
          <w:sz w:val="20"/>
          <w:u w:val="none"/>
          <w:vertAlign w:val="baseline"/>
        </w:rPr>
        <w:t>In coordination with providers and suppliers (such as ACO participants, ACO providers/suppliers, the EPM participant, and post-acute care providers), implementing strategies designed to address and manage the comorbidities of EPM beneficiaries.</w:t>
      </w:r>
    </w:p>
    <w:p>
      <w:pPr>
        <w:spacing w:before="120" w:line="240" w:lineRule="atLeast"/>
        <w:ind w:left="1800"/>
      </w:pPr>
      <w:r>
        <w:rPr>
          <w:b/>
        </w:rPr>
        <w:t xml:space="preserve">(3)  </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 xml:space="preserve">The methodology for accruing, calculating and verifying internal cost savings must be transparent, measurable, and verifiable in </w:t>
      </w:r>
      <w:r>
        <w:rPr>
          <w:rFonts w:ascii="arial" w:eastAsia="arial" w:hAnsi="arial" w:cs="arial"/>
          <w:b/>
          <w:i w:val="0"/>
          <w:strike w:val="0"/>
          <w:noProof w:val="0"/>
          <w:color w:val="000000"/>
          <w:position w:val="0"/>
          <w:sz w:val="20"/>
          <w:u w:val="none"/>
          <w:vertAlign w:val="baseline"/>
        </w:rPr>
        <w:t> [*643] </w:t>
      </w:r>
      <w:r>
        <w:rPr>
          <w:rFonts w:ascii="arial" w:eastAsia="arial" w:hAnsi="arial" w:cs="arial"/>
          <w:b w:val="0"/>
          <w:i w:val="0"/>
          <w:strike w:val="0"/>
          <w:noProof w:val="0"/>
          <w:color w:val="000000"/>
          <w:position w:val="0"/>
          <w:sz w:val="20"/>
          <w:u w:val="none"/>
          <w:vertAlign w:val="baseline"/>
        </w:rPr>
        <w:t xml:space="preserve"> accordance with generally accepted accounting principles (GAAP) and Government Auditing Standards (The Yellow Book).</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methodology used to calculate internal cost savings must reflect the actual, internal cost savings achieved by the EPM participant through the documented implementation of EPM activities identified by the EPM participant and must exclude:</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Any savings realized by any individual or entity that is not the EPM participant; and</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"Paper" savings from accounting conventions or past investment in fixed costs.</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total amount of a gainsharing payment for a performance year paid to certain individuals and entities that are EPM collaborators must not exceed the following:</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In the case of an EPM collaborator who is a physician or nonphysician practitioner, 50 percent of the Medicare-approved amounts under the PFS for items and services furnished by that physician or nonphysician practitioner to the EPM participant's EPM beneficiaries during EPM episodes that occurred during the same performance year for which the EPM participant accrued the internal cost savings or earned the reconciliation payment that comprises the gainsharing payment being made.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In the case of an EPM collaborator that is a PGP or NPPGP, 50 percent of the Medicare-approved amounts under the PFS for items and services billed by that PGP or NPPGP and furnished to the EPM participant's EPM beneficiaries by the PGP members or NPPGP members respectively during EPM episodes that occurred during the same performance year for which the EPM participant accrued the internal cost savings or earned the reconciliation payment that comprises the gainsharing payment being made.</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The amount of any gainsharing payments must be determined in accordance with a methodology that is substantially based on quality of care and the provision of EPM activities. The methodology may take into account the amount of such EPM activities provided by an EPM collaborator relative to other EPM collaborators.</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For a performance year, the aggregate amount of all gainsharing payments that are derived from a reconciliation payment the EPM participant receives from CMS must not exceed the amount of that reconciliation payment.</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No entity or individual, whether a party to a sharing arrangement or not, may condition the opportunity to make or receive gainsharing payments or to make or receive alignment payments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w:t>
      </w:r>
    </w:p>
    <w:p>
      <w:pPr>
        <w:keepNext w:val="0"/>
        <w:spacing w:before="120" w:after="0" w:line="260" w:lineRule="atLeast"/>
        <w:ind w:left="1800" w:right="0"/>
        <w:jc w:val="both"/>
      </w:pPr>
      <w:r>
        <w:rPr>
          <w:b/>
        </w:rPr>
        <w:t xml:space="preserve">(8)  </w:t>
      </w:r>
      <w:r>
        <w:rPr>
          <w:rFonts w:ascii="arial" w:eastAsia="arial" w:hAnsi="arial" w:cs="arial"/>
          <w:b w:val="0"/>
          <w:i w:val="0"/>
          <w:strike w:val="0"/>
          <w:noProof w:val="0"/>
          <w:color w:val="000000"/>
          <w:position w:val="0"/>
          <w:sz w:val="20"/>
          <w:u w:val="none"/>
          <w:vertAlign w:val="baseline"/>
        </w:rPr>
        <w:t>An EPM participant must not make a gainsharing payment to an EPM collaborator if CMS has notified the EPM participant that such collaborator is subject to any action for noncompliance with this part or the fraud and abuse laws, or for the provision of substandard care to EPM beneficiaries or other integrity problems.</w:t>
      </w:r>
    </w:p>
    <w:p>
      <w:pPr>
        <w:keepNext w:val="0"/>
        <w:spacing w:before="120" w:after="0" w:line="260" w:lineRule="atLeast"/>
        <w:ind w:left="1800" w:right="0"/>
        <w:jc w:val="both"/>
      </w:pPr>
      <w:r>
        <w:rPr>
          <w:b/>
        </w:rPr>
        <w:t xml:space="preserve">(9)  </w:t>
      </w:r>
      <w:r>
        <w:rPr>
          <w:rFonts w:ascii="arial" w:eastAsia="arial" w:hAnsi="arial" w:cs="arial"/>
          <w:b w:val="0"/>
          <w:i w:val="0"/>
          <w:strike w:val="0"/>
          <w:noProof w:val="0"/>
          <w:color w:val="000000"/>
          <w:position w:val="0"/>
          <w:sz w:val="20"/>
          <w:u w:val="none"/>
          <w:vertAlign w:val="baseline"/>
        </w:rPr>
        <w:t>The sharing arrangement must require the EPM participant to recoup any gainsharing payment that contained funds derived from a CMS overpayment on a reconciliation report or was based on the submission of false or fraudulent data.</w:t>
      </w:r>
    </w:p>
    <w:p>
      <w:pPr>
        <w:keepNext w:val="0"/>
        <w:spacing w:before="120" w:after="0" w:line="260" w:lineRule="atLeast"/>
        <w:ind w:left="1800" w:right="0"/>
        <w:jc w:val="both"/>
      </w:pPr>
      <w:r>
        <w:rPr>
          <w:b/>
        </w:rPr>
        <w:t xml:space="preserve">(10)  </w:t>
      </w:r>
      <w:r>
        <w:rPr>
          <w:rFonts w:ascii="arial" w:eastAsia="arial" w:hAnsi="arial" w:cs="arial"/>
          <w:b w:val="0"/>
          <w:i w:val="0"/>
          <w:strike w:val="0"/>
          <w:noProof w:val="0"/>
          <w:color w:val="000000"/>
          <w:position w:val="0"/>
          <w:sz w:val="20"/>
          <w:u w:val="none"/>
          <w:vertAlign w:val="baseline"/>
        </w:rPr>
        <w:t>Alignment payments from an EPM collaborator to an EPM participant may be made at any interval that is agreed upon by both parties, and must not be--</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Issued, distributed, or paid prior to the calculation by CMS of a repayment amount reflected in a reconciliation report;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Loans, advance payments, or payments for referrals or other business; or</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Assessed by an EPM participant if it does not owe a repayment amount.</w:t>
      </w:r>
    </w:p>
    <w:p>
      <w:pPr>
        <w:keepNext w:val="0"/>
        <w:spacing w:before="120" w:after="0" w:line="260" w:lineRule="atLeast"/>
        <w:ind w:left="1800" w:right="0"/>
        <w:jc w:val="both"/>
      </w:pPr>
      <w:r>
        <w:rPr>
          <w:b/>
        </w:rPr>
        <w:t xml:space="preserve">(11)  </w:t>
      </w:r>
      <w:r>
        <w:rPr>
          <w:rFonts w:ascii="arial" w:eastAsia="arial" w:hAnsi="arial" w:cs="arial"/>
          <w:b w:val="0"/>
          <w:i w:val="0"/>
          <w:strike w:val="0"/>
          <w:noProof w:val="0"/>
          <w:color w:val="000000"/>
          <w:position w:val="0"/>
          <w:sz w:val="20"/>
          <w:u w:val="none"/>
          <w:vertAlign w:val="baseline"/>
        </w:rPr>
        <w:t>The EPM participant must not receive any amounts under a sharing arrangement from an EPM collaborator that are not alignment payments.</w:t>
      </w:r>
    </w:p>
    <w:p>
      <w:pPr>
        <w:keepNext w:val="0"/>
        <w:spacing w:before="120" w:after="0" w:line="260" w:lineRule="atLeast"/>
        <w:ind w:left="1800" w:right="0"/>
        <w:jc w:val="both"/>
      </w:pPr>
      <w:r>
        <w:rPr>
          <w:b/>
        </w:rPr>
        <w:t xml:space="preserve">(12)  </w:t>
      </w:r>
      <w:r>
        <w:rPr>
          <w:rFonts w:ascii="arial" w:eastAsia="arial" w:hAnsi="arial" w:cs="arial"/>
          <w:b w:val="0"/>
          <w:i w:val="0"/>
          <w:strike w:val="0"/>
          <w:noProof w:val="0"/>
          <w:color w:val="000000"/>
          <w:position w:val="0"/>
          <w:sz w:val="20"/>
          <w:u w:val="none"/>
          <w:vertAlign w:val="baseline"/>
        </w:rPr>
        <w:t>For a performance year, the aggregate amount of all alignment payments received by the EPM participant must not exceed 50 percent of the EPM participant's repayment amount.</w:t>
      </w:r>
    </w:p>
    <w:p>
      <w:pPr>
        <w:keepNext w:val="0"/>
        <w:spacing w:before="120" w:after="0" w:line="260" w:lineRule="atLeast"/>
        <w:ind w:left="1800" w:right="0"/>
        <w:jc w:val="both"/>
      </w:pPr>
      <w:r>
        <w:rPr>
          <w:b/>
        </w:rPr>
        <w:t xml:space="preserve">(13)  </w:t>
      </w:r>
      <w:r>
        <w:rPr>
          <w:rFonts w:ascii="arial" w:eastAsia="arial" w:hAnsi="arial" w:cs="arial"/>
          <w:b w:val="0"/>
          <w:i w:val="0"/>
          <w:strike w:val="0"/>
          <w:noProof w:val="0"/>
          <w:color w:val="000000"/>
          <w:position w:val="0"/>
          <w:sz w:val="20"/>
          <w:u w:val="none"/>
          <w:vertAlign w:val="baseline"/>
        </w:rPr>
        <w:t>The aggregate amount of all alignment payments from an EPM collaborator to the EPM participant may not be greater than--</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With respect to an EPM collaborator other than an ACO, 25 percent of the EPM participant's repayment amount; or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With respect to an EPM collaborator that is an ACO, 50 percent of the EPM participant's repayment amount.</w:t>
      </w:r>
    </w:p>
    <w:p>
      <w:pPr>
        <w:keepNext w:val="0"/>
        <w:spacing w:before="120" w:after="0" w:line="260" w:lineRule="atLeast"/>
        <w:ind w:left="1800" w:right="0"/>
        <w:jc w:val="both"/>
      </w:pPr>
      <w:r>
        <w:rPr>
          <w:b/>
        </w:rPr>
        <w:t xml:space="preserve">(14)  </w:t>
      </w:r>
      <w:r>
        <w:rPr>
          <w:rFonts w:ascii="arial" w:eastAsia="arial" w:hAnsi="arial" w:cs="arial"/>
          <w:b w:val="0"/>
          <w:i w:val="0"/>
          <w:strike w:val="0"/>
          <w:noProof w:val="0"/>
          <w:color w:val="000000"/>
          <w:position w:val="0"/>
          <w:sz w:val="20"/>
          <w:u w:val="none"/>
          <w:vertAlign w:val="baseline"/>
        </w:rPr>
        <w:t>The amount of any alignment payments must be determined in accordance with a methodology that does not directly account for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w:t>
      </w:r>
    </w:p>
    <w:p>
      <w:pPr>
        <w:keepNext w:val="0"/>
        <w:spacing w:before="120" w:after="0" w:line="260" w:lineRule="atLeast"/>
        <w:ind w:left="1800" w:right="0"/>
        <w:jc w:val="both"/>
      </w:pPr>
      <w:r>
        <w:rPr>
          <w:b/>
        </w:rPr>
        <w:t xml:space="preserve">(15)  </w:t>
      </w:r>
      <w:r>
        <w:rPr>
          <w:rFonts w:ascii="arial" w:eastAsia="arial" w:hAnsi="arial" w:cs="arial"/>
          <w:b w:val="0"/>
          <w:i w:val="0"/>
          <w:strike w:val="0"/>
          <w:noProof w:val="0"/>
          <w:color w:val="000000"/>
          <w:position w:val="0"/>
          <w:sz w:val="20"/>
          <w:u w:val="none"/>
          <w:vertAlign w:val="baseline"/>
        </w:rPr>
        <w:t>All gainsharing payments and any alignment payments must be administered by the EPM participant in accordance with generally accepted accounting principles (GAAP) and Government Auditing Standards (The Yellow Book).</w:t>
      </w:r>
    </w:p>
    <w:p>
      <w:pPr>
        <w:keepNext w:val="0"/>
        <w:spacing w:before="120" w:after="0" w:line="260" w:lineRule="atLeast"/>
        <w:ind w:left="1800" w:right="0"/>
        <w:jc w:val="both"/>
      </w:pPr>
      <w:r>
        <w:rPr>
          <w:b/>
        </w:rPr>
        <w:t xml:space="preserve">(16)  </w:t>
      </w:r>
      <w:r>
        <w:rPr>
          <w:rFonts w:ascii="arial" w:eastAsia="arial" w:hAnsi="arial" w:cs="arial"/>
          <w:b w:val="0"/>
          <w:i w:val="0"/>
          <w:strike w:val="0"/>
          <w:noProof w:val="0"/>
          <w:color w:val="000000"/>
          <w:position w:val="0"/>
          <w:sz w:val="20"/>
          <w:u w:val="none"/>
          <w:vertAlign w:val="baseline"/>
        </w:rPr>
        <w:t>All gainsharing payments and alignment payments must be made by check, electronic funds transfer, or another traceable cash transaction.</w:t>
      </w:r>
    </w:p>
    <w:p>
      <w:pPr>
        <w:spacing w:before="120" w:line="240" w:lineRule="atLeast"/>
        <w:ind w:left="1440"/>
      </w:pPr>
      <w:r>
        <w:rPr>
          <w:b/>
        </w:rPr>
        <w:t xml:space="preserve">(d) Documentation requirements.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EPM participant must do all of the following:</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Document the sharing arrangement contemporaneously with the establishment of the arrangement.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Publicly post (and update on at least a quarterly basis) on a Web page on the EPM participant's Web site:</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Accurate current and historical lists of all EPM collaborators, including EPM collaborator names and addresses.</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Written policies for selecting individuals and entities to be EPM collaborators required by § 512.500(a)(3).</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Maintain and require each EPM collaborator to maintain contemporaneous documentation with respect to the payment or receipt of any gainsharing payment or alignment payment that includes at a minimum all of the following:</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Nature of the payment (gainsharing payment or alignment payment).</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Identity of the parties making and receiving the payment.</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Date of the payment.</w:t>
      </w:r>
    </w:p>
    <w:p>
      <w:pPr>
        <w:keepNext w:val="0"/>
        <w:spacing w:before="120" w:after="0" w:line="260" w:lineRule="atLeast"/>
        <w:ind w:left="2520" w:right="0"/>
        <w:jc w:val="both"/>
      </w:pPr>
      <w:r>
        <w:rPr>
          <w:b/>
        </w:rPr>
        <w:t xml:space="preserve">(D)  </w:t>
      </w:r>
      <w:r>
        <w:rPr>
          <w:rFonts w:ascii="arial" w:eastAsia="arial" w:hAnsi="arial" w:cs="arial"/>
          <w:b w:val="0"/>
          <w:i w:val="0"/>
          <w:strike w:val="0"/>
          <w:noProof w:val="0"/>
          <w:color w:val="000000"/>
          <w:position w:val="0"/>
          <w:sz w:val="20"/>
          <w:u w:val="none"/>
          <w:vertAlign w:val="baseline"/>
        </w:rPr>
        <w:t>Amount of the payment.</w:t>
      </w:r>
    </w:p>
    <w:p>
      <w:pPr>
        <w:keepNext w:val="0"/>
        <w:spacing w:before="120" w:after="0" w:line="260" w:lineRule="atLeast"/>
        <w:ind w:left="2520" w:right="0"/>
        <w:jc w:val="both"/>
      </w:pPr>
      <w:r>
        <w:rPr>
          <w:b/>
        </w:rPr>
        <w:t xml:space="preserve">(E)  </w:t>
      </w:r>
      <w:r>
        <w:rPr>
          <w:rFonts w:ascii="arial" w:eastAsia="arial" w:hAnsi="arial" w:cs="arial"/>
          <w:b w:val="0"/>
          <w:i w:val="0"/>
          <w:strike w:val="0"/>
          <w:noProof w:val="0"/>
          <w:color w:val="000000"/>
          <w:position w:val="0"/>
          <w:sz w:val="20"/>
          <w:u w:val="none"/>
          <w:vertAlign w:val="baseline"/>
        </w:rPr>
        <w:t>Date and amount of any recoupment of all or a portion of an EPM collaborator's gainsharing payment.</w:t>
      </w:r>
    </w:p>
    <w:p>
      <w:pPr>
        <w:keepNext w:val="0"/>
        <w:spacing w:before="120" w:after="0" w:line="260" w:lineRule="atLeast"/>
        <w:ind w:left="2520" w:right="0"/>
        <w:jc w:val="both"/>
      </w:pPr>
      <w:r>
        <w:rPr>
          <w:b/>
        </w:rPr>
        <w:t xml:space="preserve">(F)  </w:t>
      </w:r>
      <w:r>
        <w:rPr>
          <w:rFonts w:ascii="arial" w:eastAsia="arial" w:hAnsi="arial" w:cs="arial"/>
          <w:b w:val="0"/>
          <w:i w:val="0"/>
          <w:strike w:val="0"/>
          <w:noProof w:val="0"/>
          <w:color w:val="000000"/>
          <w:position w:val="0"/>
          <w:sz w:val="20"/>
          <w:u w:val="none"/>
          <w:vertAlign w:val="baseline"/>
        </w:rPr>
        <w:t>Explanation for each recoupment, such as whether the EPM collaborator received a gainsharing payment that contained funds derived from a CMS overpayment on a reconciliation report, or was based on the submission of false or fraudulent data.</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EPM participant must keep records of the following:</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Its process for determining and verifying its potential and current EPM collaborators' eligibility to participate in Medicare.</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 xml:space="preserve">Its plan to track internal cost savings. </w:t>
      </w:r>
      <w:r>
        <w:rPr>
          <w:rFonts w:ascii="arial" w:eastAsia="arial" w:hAnsi="arial" w:cs="arial"/>
          <w:b/>
          <w:i w:val="0"/>
          <w:strike w:val="0"/>
          <w:noProof w:val="0"/>
          <w:color w:val="000000"/>
          <w:position w:val="0"/>
          <w:sz w:val="20"/>
          <w:u w:val="none"/>
          <w:vertAlign w:val="baseline"/>
        </w:rPr>
        <w:t> [*644] </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Information on the accounting systems used to track internal cost savings.</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A description of current health information technology, including systems to track reconciliation payments and internal cost savings.</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Its plan to track gainsharing payments and alignment payments.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EPM participant must retain and provide access to, and must require each EPM collaborator to retain and provide access to, the required documentation in accordance with § 512.110.</w:t>
      </w:r>
    </w:p>
    <w:p>
      <w:pPr>
        <w:spacing w:before="120" w:line="240" w:lineRule="atLeast"/>
        <w:ind w:left="1080"/>
      </w:pPr>
      <w:r>
        <w:rPr>
          <w:b/>
        </w:rPr>
        <w:t xml:space="preserve">§ 512.505 Distribution arrangements under the EPM.  </w:t>
      </w:r>
    </w:p>
    <w:p>
      <w:pPr>
        <w:spacing w:before="120" w:line="240" w:lineRule="atLeast"/>
        <w:ind w:left="1440"/>
      </w:pPr>
      <w:r>
        <w:rPr>
          <w:b/>
        </w:rPr>
        <w:t xml:space="preserve">(a) General.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An ACO, PGP, NPPGP, or TGP that has entered into a sharing arrangement with an EPM participant may distribute all or a portion of any gainsharing payment it receives from the EPM participant only in accordance with a distribution arrangement.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All distribution arrangements must comply with the provisions of this section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w:t>
      </w:r>
    </w:p>
    <w:p>
      <w:pPr>
        <w:spacing w:before="120" w:line="240" w:lineRule="atLeast"/>
        <w:ind w:left="1440"/>
      </w:pPr>
      <w:r>
        <w:rPr>
          <w:b/>
        </w:rPr>
        <w:t xml:space="preserve">(b) Requirements.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All distribution arrangements must be in writing and signed by the parties, contain the date of the agreement, and be entered into before care is furnished to EPM beneficiaries under the distribution arrangement.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Participation in a distribution arrangement must be voluntary and without penalty for nonparticipation.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 xml:space="preserve">The distribution arrangement must require the collaboration agent to comply with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opportunity to make or receive a distribution payment must not be conditioned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The amount of any distribution payments from an ACO, from an NPPGP to an NPPGP member, or from a TGP to a TGP member must be determined in accordance with a methodology that is substantially based on quality of care and the provision EPM activities and that may take into account the amount of such EPM activities provided by a collaboration agent relative to other collaboration agents.</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The amount of any distribution payments from a PGP must be determined either in a manner that complies with § 411.352(g) of this chapter or in accordance with a methodology that is substantially based on quality of care and the provision EPM activities and that may take into account the amount of such EPM activities provided by a collaboration agent relative to other collaboration agents.</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Except for a distribution payment from a PGP to a PGP member that complies with § 411.352(g) of this chapter, a collaboration agent is eligible to receive a distribution payment only if the collaboration agent furnished or billed for an item or service rendered to an EPM beneficiary during an EPM episode that occurred during the same performance year for which the EPM participant accrued the internal cost savings or earned the reconciliation payment that comprises the gainsharing payment being distributed.</w:t>
      </w:r>
    </w:p>
    <w:p>
      <w:pPr>
        <w:keepNext w:val="0"/>
        <w:spacing w:before="120" w:after="0" w:line="260" w:lineRule="atLeast"/>
        <w:ind w:left="1800" w:right="0"/>
        <w:jc w:val="both"/>
      </w:pPr>
      <w:r>
        <w:rPr>
          <w:b/>
        </w:rPr>
        <w:t xml:space="preserve">(8)  </w:t>
      </w:r>
      <w:r>
        <w:rPr>
          <w:rFonts w:ascii="arial" w:eastAsia="arial" w:hAnsi="arial" w:cs="arial"/>
          <w:b w:val="0"/>
          <w:i w:val="0"/>
          <w:strike w:val="0"/>
          <w:noProof w:val="0"/>
          <w:color w:val="000000"/>
          <w:position w:val="0"/>
          <w:sz w:val="20"/>
          <w:u w:val="none"/>
          <w:vertAlign w:val="baseline"/>
        </w:rPr>
        <w:t>Except for a distribution payment from a PGP to a PGP member that complies with § 411.352(g) of this chapter, the total amount of distribution payments for a performance year paid to a collaboration agent must not exceed the following:</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In the case of a collaboration agent that is a physician or nonphysician practitioner, 50 percent of the total Medicare-approved amounts under the PFS for items and services furnished by the collaboration agent to the EPM participant's EPM beneficiaries during EPM episodes that occurred during the same performance year for which the EPM participant accrued the internal cost savings or earned the reconciliation payment that comprises the gainsharing payment being distributed.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In the case of a collaboration agent that is a PGP or NPPGP, 50 percent of the total Medicare-approved amounts under the PFS for items and services billed by that PGP or NPPGP for items and services furnished by PGP members or NPPGP members respectively to the EPM participant's EPM beneficiaries during EPM episodes that occurred during the same performance year for which the EPM participant accrued the internal cost savings or earned the reconciliation payment that comprises the gainsharing payment being distributed.</w:t>
      </w:r>
    </w:p>
    <w:p>
      <w:pPr>
        <w:keepNext w:val="0"/>
        <w:spacing w:before="120" w:after="0" w:line="260" w:lineRule="atLeast"/>
        <w:ind w:left="1800" w:right="0"/>
        <w:jc w:val="both"/>
      </w:pPr>
      <w:r>
        <w:rPr>
          <w:b/>
        </w:rPr>
        <w:t xml:space="preserve">(9)  </w:t>
      </w:r>
      <w:r>
        <w:rPr>
          <w:rFonts w:ascii="arial" w:eastAsia="arial" w:hAnsi="arial" w:cs="arial"/>
          <w:b w:val="0"/>
          <w:i w:val="0"/>
          <w:strike w:val="0"/>
          <w:noProof w:val="0"/>
          <w:color w:val="000000"/>
          <w:position w:val="0"/>
          <w:sz w:val="20"/>
          <w:u w:val="none"/>
          <w:vertAlign w:val="baseline"/>
        </w:rPr>
        <w:t>With respect to the distribution of any gainsharing payment received by an ACO, PGP, NPPGP, or TGP, the total amount of all distribution payments must not exceed the amount of the gainsharing payment received by the EPM collaborator from the EPM participant.</w:t>
      </w:r>
    </w:p>
    <w:p>
      <w:pPr>
        <w:keepNext w:val="0"/>
        <w:spacing w:before="120" w:after="0" w:line="260" w:lineRule="atLeast"/>
        <w:ind w:left="1800" w:right="0"/>
        <w:jc w:val="both"/>
      </w:pPr>
      <w:r>
        <w:rPr>
          <w:b/>
        </w:rPr>
        <w:t xml:space="preserve">(10)  </w:t>
      </w:r>
      <w:r>
        <w:rPr>
          <w:rFonts w:ascii="arial" w:eastAsia="arial" w:hAnsi="arial" w:cs="arial"/>
          <w:b w:val="0"/>
          <w:i w:val="0"/>
          <w:strike w:val="0"/>
          <w:noProof w:val="0"/>
          <w:color w:val="000000"/>
          <w:position w:val="0"/>
          <w:sz w:val="20"/>
          <w:u w:val="none"/>
          <w:vertAlign w:val="baseline"/>
        </w:rPr>
        <w:t>All distribution payments must be made by check, electronic funds transfer, or another traceable cash transaction.</w:t>
      </w:r>
    </w:p>
    <w:p>
      <w:pPr>
        <w:keepNext w:val="0"/>
        <w:spacing w:before="120" w:after="0" w:line="260" w:lineRule="atLeast"/>
        <w:ind w:left="1800" w:right="0"/>
        <w:jc w:val="both"/>
      </w:pPr>
      <w:r>
        <w:rPr>
          <w:b/>
        </w:rPr>
        <w:t xml:space="preserve">(11)  </w:t>
      </w:r>
      <w:r>
        <w:rPr>
          <w:rFonts w:ascii="arial" w:eastAsia="arial" w:hAnsi="arial" w:cs="arial"/>
          <w:b w:val="0"/>
          <w:i w:val="0"/>
          <w:strike w:val="0"/>
          <w:noProof w:val="0"/>
          <w:color w:val="000000"/>
          <w:position w:val="0"/>
          <w:sz w:val="20"/>
          <w:u w:val="none"/>
          <w:vertAlign w:val="baseline"/>
        </w:rPr>
        <w:t>The collaboration agent must retain the ability to make decisions in the best interests of the patient, including the selection of devices, supplies, and treatments.</w:t>
      </w:r>
    </w:p>
    <w:p>
      <w:pPr>
        <w:keepNext w:val="0"/>
        <w:spacing w:before="120" w:after="0" w:line="260" w:lineRule="atLeast"/>
        <w:ind w:left="1800" w:right="0"/>
        <w:jc w:val="both"/>
      </w:pPr>
      <w:r>
        <w:rPr>
          <w:b/>
        </w:rPr>
        <w:t xml:space="preserve">(12)  </w:t>
      </w:r>
      <w:r>
        <w:rPr>
          <w:rFonts w:ascii="arial" w:eastAsia="arial" w:hAnsi="arial" w:cs="arial"/>
          <w:b w:val="0"/>
          <w:i w:val="0"/>
          <w:strike w:val="0"/>
          <w:noProof w:val="0"/>
          <w:color w:val="000000"/>
          <w:position w:val="0"/>
          <w:sz w:val="20"/>
          <w:u w:val="none"/>
          <w:vertAlign w:val="baseline"/>
        </w:rPr>
        <w:t>The distribution arrangement must not--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Induce the collaboration agent to reduce or limit medically necessary items and services to any Medicare beneficiary; or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Reward the provision of items and services that are medically unnecessary.</w:t>
      </w:r>
    </w:p>
    <w:p>
      <w:pPr>
        <w:keepNext w:val="0"/>
        <w:spacing w:before="120" w:after="0" w:line="260" w:lineRule="atLeast"/>
        <w:ind w:left="1800" w:right="0"/>
        <w:jc w:val="both"/>
      </w:pPr>
      <w:r>
        <w:rPr>
          <w:b/>
        </w:rPr>
        <w:t xml:space="preserve">(13)  </w:t>
      </w:r>
      <w:r>
        <w:rPr>
          <w:rFonts w:ascii="arial" w:eastAsia="arial" w:hAnsi="arial" w:cs="arial"/>
          <w:b w:val="0"/>
          <w:i w:val="0"/>
          <w:strike w:val="0"/>
          <w:noProof w:val="0"/>
          <w:color w:val="000000"/>
          <w:position w:val="0"/>
          <w:sz w:val="20"/>
          <w:u w:val="none"/>
          <w:vertAlign w:val="baseline"/>
        </w:rPr>
        <w:t>The EPM collaborator must maintain contemporaneous documentation regarding distribution arrangements in accordance with § 512.110, including the following:</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relevant written agreements.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date and amount of any distribution payment(s).</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The identity of each collaboration agent that received a distribution payment.</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A description of the methodology and accounting formula for determining the amount of any distribution payment.</w:t>
      </w:r>
    </w:p>
    <w:p>
      <w:pPr>
        <w:keepNext w:val="0"/>
        <w:spacing w:before="120" w:after="0" w:line="260" w:lineRule="atLeast"/>
        <w:ind w:left="1800" w:right="0"/>
        <w:jc w:val="both"/>
      </w:pPr>
      <w:r>
        <w:rPr>
          <w:b/>
        </w:rPr>
        <w:t xml:space="preserve">(14)  </w:t>
      </w:r>
      <w:r>
        <w:rPr>
          <w:rFonts w:ascii="arial" w:eastAsia="arial" w:hAnsi="arial" w:cs="arial"/>
          <w:b w:val="0"/>
          <w:i w:val="0"/>
          <w:strike w:val="0"/>
          <w:noProof w:val="0"/>
          <w:color w:val="000000"/>
          <w:position w:val="0"/>
          <w:sz w:val="20"/>
          <w:u w:val="none"/>
          <w:vertAlign w:val="baseline"/>
        </w:rPr>
        <w:t>The EPM collaborator may not enter into a distribution arrangement with any individual or entity that has a sharing arrangement with the same EPM participant.</w:t>
      </w:r>
    </w:p>
    <w:p>
      <w:pPr>
        <w:keepNext w:val="0"/>
        <w:spacing w:before="120" w:after="0" w:line="260" w:lineRule="atLeast"/>
        <w:ind w:left="1800" w:right="0"/>
        <w:jc w:val="both"/>
      </w:pPr>
      <w:r>
        <w:rPr>
          <w:b/>
        </w:rPr>
        <w:t xml:space="preserve">(15)  </w:t>
      </w:r>
      <w:r>
        <w:rPr>
          <w:rFonts w:ascii="arial" w:eastAsia="arial" w:hAnsi="arial" w:cs="arial"/>
          <w:b w:val="0"/>
          <w:i w:val="0"/>
          <w:strike w:val="0"/>
          <w:noProof w:val="0"/>
          <w:color w:val="000000"/>
          <w:position w:val="0"/>
          <w:sz w:val="20"/>
          <w:u w:val="none"/>
          <w:vertAlign w:val="baseline"/>
        </w:rPr>
        <w:t>The EPM collaborator must retain and provide access to, and must require collaboration agents to retain and provide access to, the required documentation in accordance with § 512.110.</w:t>
      </w:r>
    </w:p>
    <w:p>
      <w:pPr>
        <w:spacing w:before="120" w:line="240" w:lineRule="atLeast"/>
        <w:ind w:left="1080"/>
      </w:pPr>
      <w:r>
        <w:rPr>
          <w:b/>
        </w:rPr>
        <w:t xml:space="preserve">§ 512.510 Downstream distribution arrangements under the EPM.  </w:t>
      </w:r>
    </w:p>
    <w:p>
      <w:pPr>
        <w:spacing w:before="120" w:line="240" w:lineRule="atLeast"/>
        <w:ind w:left="1440"/>
      </w:pPr>
      <w:r>
        <w:rPr>
          <w:b/>
        </w:rPr>
        <w:t xml:space="preserve">(a) General.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An ACO participant that is a PGP, NPPGP, or TGP and that has entered into a distribution arrangement with an EPM collaborator that is an ACO may distribute all or a portion of any distribution payment it receives from the EPM collaborator only in accordance with a downstream distribution arrangement.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All downstream distribution arrangements must comply with the provisions of this section and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w:t>
      </w:r>
    </w:p>
    <w:p>
      <w:pPr>
        <w:spacing w:before="120" w:line="240" w:lineRule="atLeast"/>
        <w:ind w:left="1440"/>
      </w:pPr>
      <w:r>
        <w:rPr>
          <w:b/>
        </w:rPr>
        <w:t xml:space="preserve">(b) Requirements.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All downstream distribution arrangements must be in writing and signed by the parties, contain the date of the agreement, and be entered into before care is furnished to EPM beneficiaries under the downstream distribution arrangement.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Participation in a downstream distribution arrangement must be voluntary and without penalty for nonparticipation. </w:t>
      </w:r>
      <w:r>
        <w:rPr>
          <w:rFonts w:ascii="arial" w:eastAsia="arial" w:hAnsi="arial" w:cs="arial"/>
          <w:b/>
          <w:i w:val="0"/>
          <w:strike w:val="0"/>
          <w:noProof w:val="0"/>
          <w:color w:val="000000"/>
          <w:position w:val="0"/>
          <w:sz w:val="20"/>
          <w:u w:val="none"/>
          <w:vertAlign w:val="baseline"/>
        </w:rPr>
        <w:t> [*645] </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 xml:space="preserve">The downstream distribution arrangement must require the downstream collaboration agent to comply with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opportunity to make or receive a downstream distribution payment must not be conditioned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The amount of any downstream distribution payments from an NPPGP to an NPPGP member or from a TGP to a TGP member must be determined in accordance with a methodology that is substantially based on quality of care and the provision EPM activities and that may take into account the amount of such EPM activities provided by a downstream collaboration agent relative to other downstream collaboration agents.</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The amount of any downstream distribution payments from a PGP must be determined either in a manner that complies with § 411.352(g) of this chapter or in accordance with a methodology that is substantially based on quality of care and the provision EPM activities and that may take into account the amount of such EPM activities provided by a downstream collaboration agent relative to other downstream collaboration agents.</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Except for a downstream distribution payment from a PGP to a PGP member that complies with § 411.352(g) of this chapter, a downstream collaboration agent is eligible to receive a downstream distribution payment only if the downstream collaboration agent furnished an item or service to an EPM beneficiary during an EPM episode that occurred during the same performance year for which the EPM participant accrued the internal cost savings or earned the reconciliation payment that comprises the gainsharing payment from which the ACO made the distribution payment to the PGP, NPPGP, or TGP that is an ACO participant.</w:t>
      </w:r>
    </w:p>
    <w:p>
      <w:pPr>
        <w:keepNext w:val="0"/>
        <w:spacing w:before="120" w:after="0" w:line="260" w:lineRule="atLeast"/>
        <w:ind w:left="1800" w:right="0"/>
        <w:jc w:val="both"/>
      </w:pPr>
      <w:r>
        <w:rPr>
          <w:b/>
        </w:rPr>
        <w:t xml:space="preserve">(8)  </w:t>
      </w:r>
      <w:r>
        <w:rPr>
          <w:rFonts w:ascii="arial" w:eastAsia="arial" w:hAnsi="arial" w:cs="arial"/>
          <w:b w:val="0"/>
          <w:i w:val="0"/>
          <w:strike w:val="0"/>
          <w:noProof w:val="0"/>
          <w:color w:val="000000"/>
          <w:position w:val="0"/>
          <w:sz w:val="20"/>
          <w:u w:val="none"/>
          <w:vertAlign w:val="baseline"/>
        </w:rPr>
        <w:t>Except for a downstream distribution payment from a PGP to a PGP member that complies with § 411.352(g) of this chapter, the total amount of downstream distribution payments for a performance year paid to a downstream collaboration agent who is a physician or nonphysician practitioner and is either a PGP member or NPPGP member must not exceed 50 percent of the total Medicare-approved amounts under the PFS for items and services furnished by the downstream collaboration agent to the EPM participant's EPM beneficiaries during EPM episodes that occurred during the same performance year for which the EPM participant accrued the internal cost savings or earned the reconciliation payment that comprises the distribution payment being distributed.</w:t>
      </w:r>
    </w:p>
    <w:p>
      <w:pPr>
        <w:keepNext w:val="0"/>
        <w:spacing w:before="120" w:after="0" w:line="260" w:lineRule="atLeast"/>
        <w:ind w:left="1800" w:right="0"/>
        <w:jc w:val="both"/>
      </w:pPr>
      <w:r>
        <w:rPr>
          <w:b/>
        </w:rPr>
        <w:t xml:space="preserve">(9)  </w:t>
      </w:r>
      <w:r>
        <w:rPr>
          <w:rFonts w:ascii="arial" w:eastAsia="arial" w:hAnsi="arial" w:cs="arial"/>
          <w:b w:val="0"/>
          <w:i w:val="0"/>
          <w:strike w:val="0"/>
          <w:noProof w:val="0"/>
          <w:color w:val="000000"/>
          <w:position w:val="0"/>
          <w:sz w:val="20"/>
          <w:u w:val="none"/>
          <w:vertAlign w:val="baseline"/>
        </w:rPr>
        <w:t>The total amount of all downstream distribution payments made to downstream collaboration agents must not exceed the amount of the distribution payment received by the PGP, NPPGP, or TGP from the ACO.</w:t>
      </w:r>
    </w:p>
    <w:p>
      <w:pPr>
        <w:keepNext w:val="0"/>
        <w:spacing w:before="120" w:after="0" w:line="260" w:lineRule="atLeast"/>
        <w:ind w:left="1800" w:right="0"/>
        <w:jc w:val="both"/>
      </w:pPr>
      <w:r>
        <w:rPr>
          <w:b/>
        </w:rPr>
        <w:t xml:space="preserve">(10)  </w:t>
      </w:r>
      <w:r>
        <w:rPr>
          <w:rFonts w:ascii="arial" w:eastAsia="arial" w:hAnsi="arial" w:cs="arial"/>
          <w:b w:val="0"/>
          <w:i w:val="0"/>
          <w:strike w:val="0"/>
          <w:noProof w:val="0"/>
          <w:color w:val="000000"/>
          <w:position w:val="0"/>
          <w:sz w:val="20"/>
          <w:u w:val="none"/>
          <w:vertAlign w:val="baseline"/>
        </w:rPr>
        <w:t>All downstream distribution payments must be made by check, electronic funds transfer, or another traceable cash transaction.</w:t>
      </w:r>
    </w:p>
    <w:p>
      <w:pPr>
        <w:keepNext w:val="0"/>
        <w:spacing w:before="120" w:after="0" w:line="260" w:lineRule="atLeast"/>
        <w:ind w:left="1800" w:right="0"/>
        <w:jc w:val="both"/>
      </w:pPr>
      <w:r>
        <w:rPr>
          <w:b/>
        </w:rPr>
        <w:t xml:space="preserve">(11)  </w:t>
      </w:r>
      <w:r>
        <w:rPr>
          <w:rFonts w:ascii="arial" w:eastAsia="arial" w:hAnsi="arial" w:cs="arial"/>
          <w:b w:val="0"/>
          <w:i w:val="0"/>
          <w:strike w:val="0"/>
          <w:noProof w:val="0"/>
          <w:color w:val="000000"/>
          <w:position w:val="0"/>
          <w:sz w:val="20"/>
          <w:u w:val="none"/>
          <w:vertAlign w:val="baseline"/>
        </w:rPr>
        <w:t>The downstream collaboration agent must retain his or her ability to make decisions in the best interests of the patient, including the selection of devices, supplies, and treatments.</w:t>
      </w:r>
    </w:p>
    <w:p>
      <w:pPr>
        <w:keepNext w:val="0"/>
        <w:spacing w:before="120" w:after="0" w:line="260" w:lineRule="atLeast"/>
        <w:ind w:left="1800" w:right="0"/>
        <w:jc w:val="both"/>
      </w:pPr>
      <w:r>
        <w:rPr>
          <w:b/>
        </w:rPr>
        <w:t xml:space="preserve">(12)  </w:t>
      </w:r>
      <w:r>
        <w:rPr>
          <w:rFonts w:ascii="arial" w:eastAsia="arial" w:hAnsi="arial" w:cs="arial"/>
          <w:b w:val="0"/>
          <w:i w:val="0"/>
          <w:strike w:val="0"/>
          <w:noProof w:val="0"/>
          <w:color w:val="000000"/>
          <w:position w:val="0"/>
          <w:sz w:val="20"/>
          <w:u w:val="none"/>
          <w:vertAlign w:val="baseline"/>
        </w:rPr>
        <w:t>The downstream distribution arrangement must not--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Induce the downstream collaboration agent to reduce or limit medically necessary services to any Medicare beneficiary; or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Reward the provision of items and services that are medically unnecessary.</w:t>
      </w:r>
    </w:p>
    <w:p>
      <w:pPr>
        <w:keepNext w:val="0"/>
        <w:spacing w:before="120" w:after="0" w:line="260" w:lineRule="atLeast"/>
        <w:ind w:left="1800" w:right="0"/>
        <w:jc w:val="both"/>
      </w:pPr>
      <w:r>
        <w:rPr>
          <w:b/>
        </w:rPr>
        <w:t xml:space="preserve">(13)  </w:t>
      </w:r>
      <w:r>
        <w:rPr>
          <w:rFonts w:ascii="arial" w:eastAsia="arial" w:hAnsi="arial" w:cs="arial"/>
          <w:b w:val="0"/>
          <w:i w:val="0"/>
          <w:strike w:val="0"/>
          <w:noProof w:val="0"/>
          <w:color w:val="000000"/>
          <w:position w:val="0"/>
          <w:sz w:val="20"/>
          <w:u w:val="none"/>
          <w:vertAlign w:val="baseline"/>
        </w:rPr>
        <w:t>The PGP, NPPGP, or TGP must maintain contemporaneous documentation regarding downstream distribution arrangements in accordance with § 512.110, including the following:</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relevant written agreements.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date and amount of any downstream distribution payment.</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The identity of each downstream collaboration agent that received a downstream distribution payment.</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A description of the methodology and accounting formula for determining the amount of any downstream distribution payment.</w:t>
      </w:r>
    </w:p>
    <w:p>
      <w:pPr>
        <w:keepNext w:val="0"/>
        <w:spacing w:before="120" w:after="0" w:line="260" w:lineRule="atLeast"/>
        <w:ind w:left="1800" w:right="0"/>
        <w:jc w:val="both"/>
      </w:pPr>
      <w:r>
        <w:rPr>
          <w:b/>
        </w:rPr>
        <w:t xml:space="preserve">(14)  </w:t>
      </w:r>
      <w:r>
        <w:rPr>
          <w:rFonts w:ascii="arial" w:eastAsia="arial" w:hAnsi="arial" w:cs="arial"/>
          <w:b w:val="0"/>
          <w:i w:val="0"/>
          <w:strike w:val="0"/>
          <w:noProof w:val="0"/>
          <w:color w:val="000000"/>
          <w:position w:val="0"/>
          <w:sz w:val="20"/>
          <w:u w:val="none"/>
          <w:vertAlign w:val="baseline"/>
        </w:rPr>
        <w:t>The PGP, NPPGP, or TGP may not enter into a downstream distribution arrangement with any PGP member, NPPGP member, or TGP member who has--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A sharing arrangement with an EPM participant; or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A distribution arrangement with the ACO that the PGP, NPPGP, or TGP is a participant in.</w:t>
      </w:r>
    </w:p>
    <w:p>
      <w:pPr>
        <w:keepNext w:val="0"/>
        <w:spacing w:before="120" w:after="0" w:line="260" w:lineRule="atLeast"/>
        <w:ind w:left="1800" w:right="0"/>
        <w:jc w:val="both"/>
      </w:pPr>
      <w:r>
        <w:rPr>
          <w:b/>
        </w:rPr>
        <w:t xml:space="preserve">(15)  </w:t>
      </w:r>
      <w:r>
        <w:rPr>
          <w:rFonts w:ascii="arial" w:eastAsia="arial" w:hAnsi="arial" w:cs="arial"/>
          <w:b w:val="0"/>
          <w:i w:val="0"/>
          <w:strike w:val="0"/>
          <w:noProof w:val="0"/>
          <w:color w:val="000000"/>
          <w:position w:val="0"/>
          <w:sz w:val="20"/>
          <w:u w:val="none"/>
          <w:vertAlign w:val="baseline"/>
        </w:rPr>
        <w:t>The PGP, NPPGP, or TGP must retain and provide access to, and must require downstream collaboration agents to retain and provide access to, the required documentation in accordance with § 512.110.</w:t>
      </w:r>
    </w:p>
    <w:p>
      <w:pPr>
        <w:spacing w:before="120" w:line="240" w:lineRule="atLeast"/>
        <w:ind w:left="1080"/>
      </w:pPr>
      <w:r>
        <w:rPr>
          <w:b/>
        </w:rPr>
        <w:t xml:space="preserve">§ 512.520 Enforcement authority under the EPM.  </w:t>
      </w:r>
    </w:p>
    <w:p>
      <w:pPr>
        <w:keepNext w:val="0"/>
        <w:spacing w:before="120" w:after="0" w:line="260" w:lineRule="atLeast"/>
        <w:ind w:left="1440" w:right="0"/>
        <w:jc w:val="both"/>
      </w:pPr>
      <w:r>
        <w:rPr>
          <w:b/>
        </w:rPr>
        <w:t xml:space="preserve">(a) OIG authority.  </w:t>
      </w:r>
      <w:r>
        <w:rPr>
          <w:rFonts w:ascii="arial" w:eastAsia="arial" w:hAnsi="arial" w:cs="arial"/>
          <w:b w:val="0"/>
          <w:i w:val="0"/>
          <w:strike w:val="0"/>
          <w:noProof w:val="0"/>
          <w:color w:val="000000"/>
          <w:position w:val="0"/>
          <w:sz w:val="20"/>
          <w:u w:val="none"/>
          <w:vertAlign w:val="baseline"/>
        </w:rPr>
        <w:t>OIG authority is not limited or restricted by the provisions of the EPM, including the authority to audit, evaluate, investigate, or inspect the EPM participant, EPM collaborators, or any other person or entity or their records, data, or information, without limitation.</w:t>
      </w:r>
    </w:p>
    <w:p>
      <w:pPr>
        <w:keepNext w:val="0"/>
        <w:spacing w:before="120" w:after="0" w:line="260" w:lineRule="atLeast"/>
        <w:ind w:left="1440" w:right="0"/>
        <w:jc w:val="both"/>
      </w:pPr>
      <w:r>
        <w:rPr>
          <w:b/>
        </w:rPr>
        <w:t xml:space="preserve">(b) Other authorities.  </w:t>
      </w:r>
      <w:r>
        <w:rPr>
          <w:rFonts w:ascii="arial" w:eastAsia="arial" w:hAnsi="arial" w:cs="arial"/>
          <w:b w:val="0"/>
          <w:i w:val="0"/>
          <w:strike w:val="0"/>
          <w:noProof w:val="0"/>
          <w:color w:val="000000"/>
          <w:position w:val="0"/>
          <w:sz w:val="20"/>
          <w:u w:val="none"/>
          <w:vertAlign w:val="baseline"/>
        </w:rPr>
        <w:t>None of the provisions of the EPM limits or restricts the authority of any other government agency permitted by law to audit, evaluate, investigate, or inspect the EPM participant, EPM collaborators, or any other person or entity or their records, data, or information, without limitation.</w:t>
      </w:r>
    </w:p>
    <w:p>
      <w:pPr>
        <w:spacing w:before="120" w:line="240" w:lineRule="atLeast"/>
        <w:ind w:left="1080"/>
      </w:pPr>
      <w:r>
        <w:rPr>
          <w:b/>
        </w:rPr>
        <w:t xml:space="preserve">§ 512.525 Beneficiary engagement incentives under the EPM.  </w:t>
      </w:r>
    </w:p>
    <w:p>
      <w:pPr>
        <w:keepNext w:val="0"/>
        <w:spacing w:before="120" w:after="0" w:line="260" w:lineRule="atLeast"/>
        <w:ind w:left="1440" w:right="0"/>
        <w:jc w:val="both"/>
      </w:pPr>
      <w:r>
        <w:rPr>
          <w:b/>
        </w:rPr>
        <w:t xml:space="preserve">(a) General.  </w:t>
      </w:r>
      <w:r>
        <w:rPr>
          <w:rFonts w:ascii="arial" w:eastAsia="arial" w:hAnsi="arial" w:cs="arial"/>
          <w:b w:val="0"/>
          <w:i w:val="0"/>
          <w:strike w:val="0"/>
          <w:noProof w:val="0"/>
          <w:color w:val="000000"/>
          <w:position w:val="0"/>
          <w:sz w:val="20"/>
          <w:u w:val="none"/>
          <w:vertAlign w:val="baseline"/>
        </w:rPr>
        <w:t>EPM participants may choose to provide in-kind patient engagement incentives to beneficiaries in an EPM episode, subject to the following conditions: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incentive must be provided directly by the EPM participant or by an agent of the EPM participant under the EPM participant's direction and control to the EPM beneficiary during an EPM episode.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item or service provided must be reasonably connected to medical care provided to an EPM beneficiary during an EPM episode.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item or service must be a preventive care item or service or an item or service that advances a clinical goal, as listed in paragraph (c) of this section, for a beneficiary in an EPM episode by engaging the beneficiary in better managing his or her own health.</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item or service must not be tied to the receipt of items or services outside the EPM episode.</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The item or service must not be tied to the receipt of items or services from a particular provider or supplier.</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The availability of the items or services must not be advertised or promoted except that a beneficiary may be made aware of the availability of the items or services at the time the beneficiary could reasonably benefit from them.</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The cost of the items or services must not be shifted to another federal health care program, as defined at section 1128B(f) of the Act.</w:t>
      </w:r>
    </w:p>
    <w:p>
      <w:pPr>
        <w:keepNext w:val="0"/>
        <w:spacing w:before="120" w:after="0" w:line="260" w:lineRule="atLeast"/>
        <w:ind w:left="1440" w:right="0"/>
        <w:jc w:val="both"/>
      </w:pPr>
      <w:r>
        <w:rPr>
          <w:b/>
        </w:rPr>
        <w:t xml:space="preserve">(b) Technology provided to an EPM beneficiary.  </w:t>
      </w:r>
      <w:r>
        <w:rPr>
          <w:rFonts w:ascii="arial" w:eastAsia="arial" w:hAnsi="arial" w:cs="arial"/>
          <w:b w:val="0"/>
          <w:i w:val="0"/>
          <w:strike w:val="0"/>
          <w:noProof w:val="0"/>
          <w:color w:val="000000"/>
          <w:position w:val="0"/>
          <w:sz w:val="20"/>
          <w:u w:val="none"/>
          <w:vertAlign w:val="baseline"/>
        </w:rPr>
        <w:t>Beneficiary engagement incentives involving technology are subject to the following additional conditions: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Items or services involving technology provided to a beneficiary may not exceed $ 1,000 in retail value for any one beneficiary in any one EPM episode. </w:t>
      </w:r>
      <w:r>
        <w:rPr>
          <w:rFonts w:ascii="arial" w:eastAsia="arial" w:hAnsi="arial" w:cs="arial"/>
          <w:b/>
          <w:i w:val="0"/>
          <w:strike w:val="0"/>
          <w:noProof w:val="0"/>
          <w:color w:val="000000"/>
          <w:position w:val="0"/>
          <w:sz w:val="20"/>
          <w:u w:val="none"/>
          <w:vertAlign w:val="baseline"/>
        </w:rPr>
        <w:t> [*646] </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Items or services involving technology provided to a beneficiary must be the minimum necessary to advance a clinical goal, as listed in paragraph (c) of this section, for a beneficiary in an EPM episode.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Items of technology exceeding $ 100 in retail value must--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Remain the property of the EPM participant; and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Be retrieved from the beneficiary at the end of the EPM episode. The EPM participant must document all retrieval attempts, including the ultimate date of retrieval. Documented, diligent, good faith attempts to retrieve items of technology will be deemed to meet the retrieval requirement.</w:t>
      </w:r>
    </w:p>
    <w:p>
      <w:pPr>
        <w:keepNext w:val="0"/>
        <w:spacing w:before="120" w:after="0" w:line="260" w:lineRule="atLeast"/>
        <w:ind w:left="1440" w:right="0"/>
        <w:jc w:val="both"/>
      </w:pPr>
      <w:r>
        <w:rPr>
          <w:b/>
        </w:rPr>
        <w:t xml:space="preserve">(c) Clinical goals of the EPM.  </w:t>
      </w:r>
      <w:r>
        <w:rPr>
          <w:rFonts w:ascii="arial" w:eastAsia="arial" w:hAnsi="arial" w:cs="arial"/>
          <w:b w:val="0"/>
          <w:i w:val="0"/>
          <w:strike w:val="0"/>
          <w:noProof w:val="0"/>
          <w:color w:val="000000"/>
          <w:position w:val="0"/>
          <w:sz w:val="20"/>
          <w:u w:val="none"/>
          <w:vertAlign w:val="baseline"/>
        </w:rPr>
        <w:t>The following are the clinical goals of the EPM, which may be advanced through beneficiary incentives: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Beneficiary adherence to drug regimens.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Beneficiary adherence to a care plan.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Reduction of readmissions and complications resulting from treatment for the EPM clinical condition.</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Management of chronic diseases and conditions that may be affected by treatment for the EPM clinical condition.</w:t>
      </w:r>
    </w:p>
    <w:p>
      <w:pPr>
        <w:spacing w:before="120" w:line="240" w:lineRule="atLeast"/>
        <w:ind w:left="1440"/>
      </w:pPr>
      <w:r>
        <w:rPr>
          <w:b/>
        </w:rPr>
        <w:t xml:space="preserve">(d) Documentation of beneficiary engagement incentives.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EPM participants must maintain documentation of items and services furnished as beneficiary engagement incentives that exceed $ 25 in retail value.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documentation established contemporaneously with the provision of the items and services must include at least the following:</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date the incentive is provided.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identity of the beneficiary to whom the item or service was provided.</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documentation regarding items of technology exceeding $ 100 in retail value must also include contemporaneous documentation of any attempt to retrieve technology at the end of an EPM episode as described in paragraph (b)(3) of this section.</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EPM participant must retain and provide access to the required documentation in accordance with § 512.110.</w:t>
      </w:r>
    </w:p>
    <w:p>
      <w:pPr>
        <w:spacing w:before="120" w:line="240" w:lineRule="atLeast"/>
        <w:ind w:left="1080"/>
      </w:pPr>
      <w:r>
        <w:rPr>
          <w:b/>
        </w:rPr>
        <w:t xml:space="preserve">Subpart G-- Waivers  </w:t>
      </w:r>
    </w:p>
    <w:p>
      <w:pPr>
        <w:spacing w:before="120" w:line="240" w:lineRule="atLeast"/>
        <w:ind w:left="1080"/>
      </w:pPr>
      <w:r>
        <w:rPr>
          <w:b/>
        </w:rPr>
        <w:t xml:space="preserve">§ 512.600 Waiver of direct supervision requirement for certain post-discharge home visits.  </w:t>
      </w:r>
    </w:p>
    <w:p>
      <w:pPr>
        <w:keepNext w:val="0"/>
        <w:spacing w:before="120" w:after="0" w:line="260" w:lineRule="atLeast"/>
        <w:ind w:left="1440" w:right="0"/>
        <w:jc w:val="both"/>
      </w:pPr>
      <w:r>
        <w:rPr>
          <w:b/>
        </w:rPr>
        <w:t xml:space="preserve">(a) General.  </w:t>
      </w:r>
      <w:r>
        <w:rPr>
          <w:rFonts w:ascii="arial" w:eastAsia="arial" w:hAnsi="arial" w:cs="arial"/>
          <w:b w:val="0"/>
          <w:i w:val="0"/>
          <w:strike w:val="0"/>
          <w:noProof w:val="0"/>
          <w:color w:val="000000"/>
          <w:position w:val="0"/>
          <w:sz w:val="20"/>
          <w:u w:val="none"/>
          <w:vertAlign w:val="baseline"/>
        </w:rPr>
        <w:t>CMS waives the requirement in § 410.26(b)(5) of this chapter that services and supplies furnished incident to a physician's service must be furnished under the direct supervision of the physician (or other practitioner) to permit home visits as specified in this section. The services furnished under this waiver are not considered to be "hospital services," even when furnished by the clinical staff of the hospital.</w:t>
      </w:r>
    </w:p>
    <w:p>
      <w:pPr>
        <w:keepNext w:val="0"/>
        <w:spacing w:before="120" w:after="0" w:line="260" w:lineRule="atLeast"/>
        <w:ind w:left="1440" w:right="0"/>
        <w:jc w:val="both"/>
      </w:pPr>
      <w:r>
        <w:rPr>
          <w:b/>
        </w:rPr>
        <w:t xml:space="preserve">(b) General supervision of qualified personnel.  </w:t>
      </w:r>
      <w:r>
        <w:rPr>
          <w:rFonts w:ascii="arial" w:eastAsia="arial" w:hAnsi="arial" w:cs="arial"/>
          <w:b w:val="0"/>
          <w:i w:val="0"/>
          <w:strike w:val="0"/>
          <w:noProof w:val="0"/>
          <w:color w:val="000000"/>
          <w:position w:val="0"/>
          <w:sz w:val="20"/>
          <w:u w:val="none"/>
          <w:vertAlign w:val="baseline"/>
        </w:rPr>
        <w:t>The waiver of the direct supervision requirement in § 410.26(b)(5) of this chapter applies only in the following circumstances: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home visit is furnished during the episode to a beneficiary who has been discharged from an anchor hospitalization.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home visit is furnished at the beneficiary's home or place of residence.</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beneficiary does not qualify for home health services under sections 1835(a) and 1814(a) of the Act at the time of any such home visit.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 xml:space="preserve">The visit is furnished by clinical staff under the general supervision of a physician or non-physician practitioner. Clinical staff are individuals who work under the supervision of a physician or other qualified health care professional, and who are allowed by law,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facility policy to perform or assist in the performance of a specific professional service, but do not individually report that professional service.</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The number of visits that are furnished to the beneficiary during--</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An AMI episode, is up to 13 post-discharge home visits;</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A CABG episode, is up to 9 post-discharge home visits; and</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A SHFFT episode, is up to 9 post-discharge home visits.</w:t>
      </w:r>
    </w:p>
    <w:p>
      <w:pPr>
        <w:keepNext w:val="0"/>
        <w:spacing w:before="120" w:after="0" w:line="260" w:lineRule="atLeast"/>
        <w:ind w:left="1440" w:right="0"/>
        <w:jc w:val="both"/>
      </w:pPr>
      <w:r>
        <w:rPr>
          <w:b/>
        </w:rPr>
        <w:t xml:space="preserve">(c) Payment.  </w:t>
      </w:r>
      <w:r>
        <w:rPr>
          <w:rFonts w:ascii="arial" w:eastAsia="arial" w:hAnsi="arial" w:cs="arial"/>
          <w:b w:val="0"/>
          <w:i w:val="0"/>
          <w:strike w:val="0"/>
          <w:noProof w:val="0"/>
          <w:color w:val="000000"/>
          <w:position w:val="0"/>
          <w:sz w:val="20"/>
          <w:u w:val="none"/>
          <w:vertAlign w:val="baseline"/>
        </w:rPr>
        <w:t>Up to the maximum post-discharge home visits for a specific EPM episode, as described in paragraph (b)(5) of this section, may be billed under Part B by the physician or non-physician practitioner or by the participant hospital to which the supervising physician has reassigned his or her billing rights.</w:t>
      </w:r>
    </w:p>
    <w:p>
      <w:pPr>
        <w:keepNext w:val="0"/>
        <w:spacing w:before="120" w:after="0" w:line="260" w:lineRule="atLeast"/>
        <w:ind w:left="1440" w:right="0"/>
        <w:jc w:val="both"/>
      </w:pPr>
      <w:r>
        <w:rPr>
          <w:b/>
        </w:rPr>
        <w:t xml:space="preserve">(d) Other requirements.  </w:t>
      </w:r>
      <w:r>
        <w:rPr>
          <w:rFonts w:ascii="arial" w:eastAsia="arial" w:hAnsi="arial" w:cs="arial"/>
          <w:b w:val="0"/>
          <w:i w:val="0"/>
          <w:strike w:val="0"/>
          <w:noProof w:val="0"/>
          <w:color w:val="000000"/>
          <w:position w:val="0"/>
          <w:sz w:val="20"/>
          <w:u w:val="none"/>
          <w:vertAlign w:val="baseline"/>
        </w:rPr>
        <w:t>All other Medicare rules for coverage and payment of services incident to a physician's service continue to apply.</w:t>
      </w:r>
    </w:p>
    <w:p>
      <w:pPr>
        <w:spacing w:before="120" w:line="240" w:lineRule="atLeast"/>
        <w:ind w:left="1080"/>
      </w:pPr>
      <w:r>
        <w:rPr>
          <w:b/>
        </w:rPr>
        <w:t xml:space="preserve">§ 512.605 Waiver of certain telehealth requirements.  </w:t>
      </w:r>
    </w:p>
    <w:p>
      <w:pPr>
        <w:keepNext w:val="0"/>
        <w:spacing w:before="120" w:after="0" w:line="260" w:lineRule="atLeast"/>
        <w:ind w:left="1440" w:right="0"/>
        <w:jc w:val="both"/>
      </w:pPr>
      <w:r>
        <w:rPr>
          <w:b/>
        </w:rPr>
        <w:t xml:space="preserve">(a) Waiver of the geographic site requirements.  </w:t>
      </w:r>
      <w:r>
        <w:rPr>
          <w:rFonts w:ascii="arial" w:eastAsia="arial" w:hAnsi="arial" w:cs="arial"/>
          <w:b w:val="0"/>
          <w:i w:val="0"/>
          <w:strike w:val="0"/>
          <w:noProof w:val="0"/>
          <w:color w:val="000000"/>
          <w:position w:val="0"/>
          <w:sz w:val="20"/>
          <w:u w:val="none"/>
          <w:vertAlign w:val="baseline"/>
        </w:rPr>
        <w:t>Except for the geographic site requirements for a face-to-face encounter for home health certification, CMS waives the geographic site requirements of section 1834(m)(4)(C)(i)(I) through (III) of the Act for episodes being tested in an EPM, but only for services that--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May be furnished via telehealth under existing requirements; and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Are included in the episode in accordance with § 512.210.</w:t>
      </w:r>
    </w:p>
    <w:p>
      <w:pPr>
        <w:keepNext w:val="0"/>
        <w:spacing w:before="120" w:after="0" w:line="260" w:lineRule="atLeast"/>
        <w:ind w:left="1440" w:right="0"/>
        <w:jc w:val="both"/>
      </w:pPr>
      <w:r>
        <w:rPr>
          <w:b/>
        </w:rPr>
        <w:t xml:space="preserve">(b) Waiver of the originating site requirements.  </w:t>
      </w:r>
      <w:r>
        <w:rPr>
          <w:rFonts w:ascii="arial" w:eastAsia="arial" w:hAnsi="arial" w:cs="arial"/>
          <w:b w:val="0"/>
          <w:i w:val="0"/>
          <w:strike w:val="0"/>
          <w:noProof w:val="0"/>
          <w:color w:val="000000"/>
          <w:position w:val="0"/>
          <w:sz w:val="20"/>
          <w:u w:val="none"/>
          <w:vertAlign w:val="baseline"/>
        </w:rPr>
        <w:t>Except for the originating site requirements for a face-to-face encounter for home health certification, CMS waives the originating site requirements under section 1834(m)(4)(C)(ii)(I) through (VIII) of the Act for episodes being tested in an EPM to permit a telehealth visit to originate in the beneficiary's home or place of residence, but only for services that--</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May be furnished via telehealth under existing requirements; and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Are included in an EPM episode in accordance with § 512.210.</w:t>
      </w:r>
    </w:p>
    <w:p>
      <w:pPr>
        <w:spacing w:before="120" w:line="240" w:lineRule="atLeast"/>
        <w:ind w:left="1440"/>
      </w:pPr>
      <w:r>
        <w:rPr>
          <w:b/>
        </w:rPr>
        <w:t xml:space="preserve">(c) Waiver of selected payment provisions.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CMS waives the payment requirements under section 1834(m)(2)(A) so that the facility fee normally paid by Medicare to an originating site for a telehealth service is not paid if the service is originated in the beneficiary's home or place of residence.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CMS waives the payment requirements under section 1834(m)(2)(B) to allow the distant site payment for telehealth home visit HCPCS codes unique to this model to more accurately reflect the resources involved in furnishing these services in the home by basing payment upon the comparable office visit relative value units for work and malpractice under the Physician Fee Schedule.</w:t>
      </w:r>
    </w:p>
    <w:p>
      <w:pPr>
        <w:keepNext w:val="0"/>
        <w:spacing w:before="120" w:after="0" w:line="260" w:lineRule="atLeast"/>
        <w:ind w:left="1440" w:right="0"/>
        <w:jc w:val="both"/>
      </w:pPr>
      <w:r>
        <w:rPr>
          <w:b/>
        </w:rPr>
        <w:t xml:space="preserve">(d) Other requirements.  </w:t>
      </w:r>
      <w:r>
        <w:rPr>
          <w:rFonts w:ascii="arial" w:eastAsia="arial" w:hAnsi="arial" w:cs="arial"/>
          <w:b w:val="0"/>
          <w:i w:val="0"/>
          <w:strike w:val="0"/>
          <w:noProof w:val="0"/>
          <w:color w:val="000000"/>
          <w:position w:val="0"/>
          <w:sz w:val="20"/>
          <w:u w:val="none"/>
          <w:vertAlign w:val="baseline"/>
        </w:rPr>
        <w:t>All other requirements for Medicare coverage and payment of telehealth services continue to apply, including the list of specific services approved to be furnished by telehealth.</w:t>
      </w:r>
    </w:p>
    <w:p>
      <w:pPr>
        <w:spacing w:before="120" w:line="240" w:lineRule="atLeast"/>
        <w:ind w:left="1080"/>
      </w:pPr>
      <w:r>
        <w:rPr>
          <w:b/>
        </w:rPr>
        <w:t xml:space="preserve">§ 512.610 Waiver of SNF 3-day rule.  </w:t>
      </w:r>
    </w:p>
    <w:p>
      <w:pPr>
        <w:keepNext w:val="0"/>
        <w:spacing w:before="120" w:after="0" w:line="260" w:lineRule="atLeast"/>
        <w:ind w:left="1440" w:right="0"/>
        <w:jc w:val="both"/>
      </w:pPr>
      <w:r>
        <w:rPr>
          <w:b/>
        </w:rPr>
        <w:t xml:space="preserve">(a) Applicability of the SNF 3-day rule waiver.  </w:t>
      </w:r>
      <w:r>
        <w:rPr>
          <w:rFonts w:ascii="arial" w:eastAsia="arial" w:hAnsi="arial" w:cs="arial"/>
          <w:b w:val="0"/>
          <w:i w:val="0"/>
          <w:strike w:val="0"/>
          <w:noProof w:val="0"/>
          <w:color w:val="000000"/>
          <w:position w:val="0"/>
          <w:sz w:val="20"/>
          <w:u w:val="none"/>
          <w:vertAlign w:val="baseline"/>
        </w:rPr>
        <w:t>CMS determines that the SNF 3-day rule is--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Waived for the AMI model;</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Not waived for the CABG model; and</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Not waived for the SHFFT model.</w:t>
      </w:r>
    </w:p>
    <w:p>
      <w:pPr>
        <w:keepNext w:val="0"/>
        <w:spacing w:before="120" w:after="0" w:line="260" w:lineRule="atLeast"/>
        <w:ind w:left="1440" w:right="0"/>
        <w:jc w:val="both"/>
      </w:pPr>
      <w:r>
        <w:rPr>
          <w:b/>
        </w:rPr>
        <w:t xml:space="preserve">(b) Waiver of the SNF 3-day rule.  </w:t>
      </w:r>
      <w:r>
        <w:rPr>
          <w:rFonts w:ascii="arial" w:eastAsia="arial" w:hAnsi="arial" w:cs="arial"/>
          <w:b w:val="0"/>
          <w:i w:val="0"/>
          <w:strike w:val="0"/>
          <w:noProof w:val="0"/>
          <w:color w:val="000000"/>
          <w:position w:val="0"/>
          <w:sz w:val="20"/>
          <w:u w:val="none"/>
          <w:vertAlign w:val="baseline"/>
        </w:rPr>
        <w:t>For episodes being tested in those EPMs where the SNF 3-day rule is waived under paragraph (a) of this section, CMS waives the SNF 3-day rule for coverage of a SNF stay for a beneficiary who is an EPM beneficiary on the date of discharge from the anchor hospitalization on or after October 4, 2018, but only if the SNF is identified on the applicable calendar quarter list of qualified SNFs at the time of EPM beneficiary admission to the SNF.</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CMS determines the qualified SNFs for each calendar quarter based on a review of the most recent rolling 12 months of overall star ratings on the </w:t>
      </w:r>
      <w:r>
        <w:rPr>
          <w:rFonts w:ascii="arial" w:eastAsia="arial" w:hAnsi="arial" w:cs="arial"/>
          <w:b/>
          <w:i w:val="0"/>
          <w:strike w:val="0"/>
          <w:noProof w:val="0"/>
          <w:color w:val="000000"/>
          <w:position w:val="0"/>
          <w:sz w:val="20"/>
          <w:u w:val="none"/>
          <w:vertAlign w:val="baseline"/>
        </w:rPr>
        <w:t> [*647] </w:t>
      </w:r>
      <w:r>
        <w:rPr>
          <w:rFonts w:ascii="arial" w:eastAsia="arial" w:hAnsi="arial" w:cs="arial"/>
          <w:b w:val="0"/>
          <w:i w:val="0"/>
          <w:strike w:val="0"/>
          <w:noProof w:val="0"/>
          <w:color w:val="000000"/>
          <w:position w:val="0"/>
          <w:sz w:val="20"/>
          <w:u w:val="none"/>
          <w:vertAlign w:val="baseline"/>
        </w:rPr>
        <w:t xml:space="preserve"> Five-Star Quality Rating System for SNFs on the Nursing Home Compare Web site. Qualified SNFs are rated an overall of 3 stars or better for at least 7 of the 12 months.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CMS posts to the CMS Web site the list of qualified SNFs in advance of the calendar quarter and the waiver only applies for a beneficiary who has been discharged from an anchor hospitalization if the SNF is included on the applicable calendar quarter list for the date of the beneficiary's admission to the SNF.</w:t>
      </w:r>
    </w:p>
    <w:p>
      <w:pPr>
        <w:keepNext w:val="0"/>
        <w:spacing w:before="120" w:after="0" w:line="260" w:lineRule="atLeast"/>
        <w:ind w:left="1440" w:right="0"/>
        <w:jc w:val="both"/>
      </w:pPr>
      <w:r>
        <w:rPr>
          <w:b/>
        </w:rPr>
        <w:t xml:space="preserve">(c) Financial liability for uncovered SNF services.  </w:t>
      </w:r>
      <w:r>
        <w:rPr>
          <w:rFonts w:ascii="arial" w:eastAsia="arial" w:hAnsi="arial" w:cs="arial"/>
          <w:b w:val="0"/>
          <w:i w:val="0"/>
          <w:strike w:val="0"/>
          <w:noProof w:val="0"/>
          <w:color w:val="000000"/>
          <w:position w:val="0"/>
          <w:sz w:val="20"/>
          <w:u w:val="none"/>
          <w:vertAlign w:val="baseline"/>
        </w:rPr>
        <w:t>CMS will determine the financial liability for uncovered SNF services if, subsequent to an EPM hospital applying the SNF 3-day rule waiver under this section, an EPM hospital incorrectly applies the SNF 3-day rule waiver.</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If the EPM hospital discharges a beneficiary to a SNF that is not a qualified SNF under paragraph (b) of this section and provides the beneficiary with a discharge planning notice, as described at § 512.450(b)(3), to the beneficiary at the time of discharge to a SNF then the SNF coverage requirements apply and the beneficiary may be financially liable for uncovered SNF services.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EPM hospital will be financially liable for the SNF stay and the SNF must not bill the beneficiary for the costs of the uncovered SNF services furnished during the SNF stay if, subsequent to an EPM hospital applying the SNF 3-day rule waiver under this section, CMS determines the EPM hospital discharges a beneficiary--</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To a SNF that is not a qualified SNF under paragraph (b) of this section and the EPM hospital does not provide the beneficiary with a discharge planning notice, as described at § 512.450(b)(3)</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That is in an EPM where the SNF 3-day rule waiver is not applicable under paragraph (a) of this section; or</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Prior to October 4, 2018, where the SNF 3-day rule waiver is not applicable under paragraph (b) of this section.</w:t>
      </w:r>
    </w:p>
    <w:p>
      <w:pPr>
        <w:keepNext w:val="0"/>
        <w:spacing w:before="120" w:after="0" w:line="260" w:lineRule="atLeast"/>
        <w:ind w:left="1440" w:right="0"/>
        <w:jc w:val="both"/>
      </w:pPr>
      <w:r>
        <w:rPr>
          <w:b/>
        </w:rPr>
        <w:t xml:space="preserve">(d) Other requirements.  </w:t>
      </w:r>
      <w:r>
        <w:rPr>
          <w:rFonts w:ascii="arial" w:eastAsia="arial" w:hAnsi="arial" w:cs="arial"/>
          <w:b w:val="0"/>
          <w:i w:val="0"/>
          <w:strike w:val="0"/>
          <w:noProof w:val="0"/>
          <w:color w:val="000000"/>
          <w:position w:val="0"/>
          <w:sz w:val="20"/>
          <w:u w:val="none"/>
          <w:vertAlign w:val="baseline"/>
        </w:rPr>
        <w:t>All other Medicare rules for coverage and payment of Part A-covered SNF services continue to apply.</w:t>
      </w:r>
    </w:p>
    <w:p>
      <w:pPr>
        <w:spacing w:before="120" w:line="240" w:lineRule="atLeast"/>
        <w:ind w:left="1080"/>
      </w:pPr>
      <w:r>
        <w:rPr>
          <w:b/>
        </w:rPr>
        <w:t xml:space="preserve">§ 512.615 Waiver of certain post-operative billing restrictions.  </w:t>
      </w:r>
    </w:p>
    <w:p>
      <w:pPr>
        <w:keepNext w:val="0"/>
        <w:spacing w:before="120" w:after="0" w:line="260" w:lineRule="atLeast"/>
        <w:ind w:left="1440" w:right="0"/>
        <w:jc w:val="both"/>
      </w:pPr>
      <w:r>
        <w:rPr>
          <w:b/>
        </w:rPr>
        <w:t xml:space="preserve">(a) Waiver to permit certain services to be billed separately during the 90-day post-operative global surgical period.  </w:t>
      </w:r>
      <w:r>
        <w:rPr>
          <w:rFonts w:ascii="arial" w:eastAsia="arial" w:hAnsi="arial" w:cs="arial"/>
          <w:b w:val="0"/>
          <w:i w:val="0"/>
          <w:strike w:val="0"/>
          <w:noProof w:val="0"/>
          <w:color w:val="000000"/>
          <w:position w:val="0"/>
          <w:sz w:val="20"/>
          <w:u w:val="none"/>
          <w:vertAlign w:val="baseline"/>
        </w:rPr>
        <w:t>CMS waives the billing requirements for global surgeries to allow the separate billing of certain post-discharge home visits described under § 512.600, including those related to recovery from the surgery, as described in paragraph (b) of this section, for episodes being tested in an EPM.</w:t>
      </w:r>
    </w:p>
    <w:p>
      <w:pPr>
        <w:keepNext w:val="0"/>
        <w:spacing w:before="120" w:after="0" w:line="260" w:lineRule="atLeast"/>
        <w:ind w:left="1440" w:right="0"/>
        <w:jc w:val="both"/>
      </w:pPr>
      <w:r>
        <w:rPr>
          <w:b/>
        </w:rPr>
        <w:t xml:space="preserve">(b) Services to which the waiver applies.  </w:t>
      </w:r>
      <w:r>
        <w:rPr>
          <w:rFonts w:ascii="arial" w:eastAsia="arial" w:hAnsi="arial" w:cs="arial"/>
          <w:b w:val="0"/>
          <w:i w:val="0"/>
          <w:strike w:val="0"/>
          <w:noProof w:val="0"/>
          <w:color w:val="000000"/>
          <w:position w:val="0"/>
          <w:sz w:val="20"/>
          <w:u w:val="none"/>
          <w:vertAlign w:val="baseline"/>
        </w:rPr>
        <w:t>Up to the maximum post-discharge home visits for a specific EPM episode, as described in § 512.600(b)(5), including those related to recovery from the surgery, per EPM episode may be billed separately under Medicare Part B by the physician or non-physician practitioner, or by the participant hospital to which the physician or non-physician practitioner has reassigned his or her billing rights.</w:t>
      </w:r>
    </w:p>
    <w:p>
      <w:pPr>
        <w:keepNext w:val="0"/>
        <w:spacing w:before="120" w:after="0" w:line="260" w:lineRule="atLeast"/>
        <w:ind w:left="1440" w:right="0"/>
        <w:jc w:val="both"/>
      </w:pPr>
      <w:r>
        <w:rPr>
          <w:b/>
        </w:rPr>
        <w:t xml:space="preserve">(c) Other requirements.  </w:t>
      </w:r>
      <w:r>
        <w:rPr>
          <w:rFonts w:ascii="arial" w:eastAsia="arial" w:hAnsi="arial" w:cs="arial"/>
          <w:b w:val="0"/>
          <w:i w:val="0"/>
          <w:strike w:val="0"/>
          <w:noProof w:val="0"/>
          <w:color w:val="000000"/>
          <w:position w:val="0"/>
          <w:sz w:val="20"/>
          <w:u w:val="none"/>
          <w:vertAlign w:val="baseline"/>
        </w:rPr>
        <w:t>All other Medicare rules for global surgery billing during the 90-day post-operative period continue to apply.</w:t>
      </w:r>
    </w:p>
    <w:p>
      <w:pPr>
        <w:spacing w:before="120" w:line="240" w:lineRule="atLeast"/>
        <w:ind w:left="1080"/>
      </w:pPr>
      <w:r>
        <w:rPr>
          <w:b/>
        </w:rPr>
        <w:t xml:space="preserve">§ 512.620 Waiver of deductible and coinsurance that otherwise apply to reconciliation payments or repayments.  </w:t>
      </w:r>
    </w:p>
    <w:p>
      <w:pPr>
        <w:keepNext w:val="0"/>
        <w:spacing w:before="120" w:after="0" w:line="260" w:lineRule="atLeast"/>
        <w:ind w:left="1440" w:right="0"/>
        <w:jc w:val="both"/>
      </w:pPr>
      <w:r>
        <w:rPr>
          <w:b/>
        </w:rPr>
        <w:t xml:space="preserve">(a) Waiver of deductible and coinsurance.  </w:t>
      </w:r>
      <w:r>
        <w:rPr>
          <w:rFonts w:ascii="arial" w:eastAsia="arial" w:hAnsi="arial" w:cs="arial"/>
          <w:b w:val="0"/>
          <w:i w:val="0"/>
          <w:strike w:val="0"/>
          <w:noProof w:val="0"/>
          <w:color w:val="000000"/>
          <w:position w:val="0"/>
          <w:sz w:val="20"/>
          <w:u w:val="none"/>
          <w:vertAlign w:val="baseline"/>
        </w:rPr>
        <w:t>CMS waives the requirements of sections 1813 and 1833(a) of the Act for Medicare Part A and Part B payment systems only to the extent necessary to make reconciliation payments or receive repayments based on the NPRA that reflect the episode payment methodology under the final payment model for EPM participant hospitals.</w:t>
      </w:r>
    </w:p>
    <w:p>
      <w:pPr>
        <w:keepNext w:val="0"/>
        <w:spacing w:before="120" w:after="0" w:line="260" w:lineRule="atLeast"/>
        <w:ind w:left="1440" w:right="0"/>
        <w:jc w:val="both"/>
      </w:pPr>
      <w:r>
        <w:rPr>
          <w:b/>
        </w:rPr>
        <w:t xml:space="preserve">(b) Reconciliation payments or repayments.  </w:t>
      </w:r>
      <w:r>
        <w:rPr>
          <w:rFonts w:ascii="arial" w:eastAsia="arial" w:hAnsi="arial" w:cs="arial"/>
          <w:b w:val="0"/>
          <w:i w:val="0"/>
          <w:strike w:val="0"/>
          <w:noProof w:val="0"/>
          <w:color w:val="000000"/>
          <w:position w:val="0"/>
          <w:sz w:val="20"/>
          <w:u w:val="none"/>
          <w:vertAlign w:val="baseline"/>
        </w:rPr>
        <w:t>Reconciliation payments or repayments do not affect the beneficiary cost-sharing amounts for the Medicare Part A and Part B services provided under an EPM.</w:t>
      </w:r>
    </w:p>
    <w:p>
      <w:pPr>
        <w:spacing w:before="120" w:line="240" w:lineRule="atLeast"/>
        <w:ind w:left="1080"/>
      </w:pPr>
      <w:r>
        <w:rPr>
          <w:b/>
        </w:rPr>
        <w:t xml:space="preserve">§ 512.630 Waiver of physician definition for furnishing cardiac rehabilitation and intensive cardiac rehabilitation services to an EPM beneficiary.  </w:t>
      </w:r>
    </w:p>
    <w:p>
      <w:pPr>
        <w:keepNext w:val="0"/>
        <w:spacing w:before="120" w:after="0" w:line="260" w:lineRule="atLeast"/>
        <w:ind w:left="1440" w:right="0"/>
        <w:jc w:val="both"/>
      </w:pPr>
      <w:r>
        <w:rPr>
          <w:b/>
        </w:rPr>
        <w:t xml:space="preserve">(a) General.  </w:t>
      </w:r>
      <w:r>
        <w:rPr>
          <w:rFonts w:ascii="arial" w:eastAsia="arial" w:hAnsi="arial" w:cs="arial"/>
          <w:b w:val="0"/>
          <w:i w:val="0"/>
          <w:strike w:val="0"/>
          <w:noProof w:val="0"/>
          <w:color w:val="000000"/>
          <w:position w:val="0"/>
          <w:sz w:val="20"/>
          <w:u w:val="none"/>
          <w:vertAlign w:val="baseline"/>
        </w:rPr>
        <w:t>Section 410.49 of this chapter requires cardiac rehabilitation (CR) and intensive cardiac rehabilitation (ICR) services to be furnished under the direction of a physician as defined in § 410.49(a) of this chapter.</w:t>
      </w:r>
    </w:p>
    <w:p>
      <w:pPr>
        <w:keepNext w:val="0"/>
        <w:spacing w:before="120" w:after="0" w:line="260" w:lineRule="atLeast"/>
        <w:ind w:left="1440" w:right="0"/>
        <w:jc w:val="both"/>
      </w:pPr>
      <w:r>
        <w:rPr>
          <w:b/>
        </w:rPr>
        <w:t xml:space="preserve">(b) Waiver of the physician definition.  </w:t>
      </w:r>
      <w:r>
        <w:rPr>
          <w:rFonts w:ascii="arial" w:eastAsia="arial" w:hAnsi="arial" w:cs="arial"/>
          <w:b w:val="0"/>
          <w:i w:val="0"/>
          <w:strike w:val="0"/>
          <w:noProof w:val="0"/>
          <w:color w:val="000000"/>
          <w:position w:val="0"/>
          <w:sz w:val="20"/>
          <w:u w:val="none"/>
          <w:vertAlign w:val="baseline"/>
        </w:rPr>
        <w:t>For a provider or supplier of CR and ICR services to an EPM beneficiary during an AMI and CABG episode, as defined in § 512.2, CMS waives the physician definition to allow the functions of supervising physician, prescribing exercise, and establishing, reviewing, and signing an individualized treatment plan for CR and ICR services to be furnished under the direction of--</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 physician, as defined in section 1861(r)(1) of the Act; or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 qualified nonphysician practitioner, as defined by CMS.</w:t>
      </w:r>
    </w:p>
    <w:p>
      <w:pPr>
        <w:keepNext w:val="0"/>
        <w:spacing w:before="120" w:after="0" w:line="260" w:lineRule="atLeast"/>
        <w:ind w:left="1440" w:right="0"/>
        <w:jc w:val="both"/>
      </w:pPr>
      <w:r>
        <w:rPr>
          <w:b/>
        </w:rPr>
        <w:t xml:space="preserve">(c) Other definitions and requirements.  </w:t>
      </w:r>
      <w:r>
        <w:rPr>
          <w:rFonts w:ascii="arial" w:eastAsia="arial" w:hAnsi="arial" w:cs="arial"/>
          <w:b w:val="0"/>
          <w:i w:val="0"/>
          <w:strike w:val="0"/>
          <w:noProof w:val="0"/>
          <w:color w:val="000000"/>
          <w:position w:val="0"/>
          <w:sz w:val="20"/>
          <w:u w:val="none"/>
          <w:vertAlign w:val="baseline"/>
        </w:rPr>
        <w:t>All other definitions and requirements in § 410.49 of this chapter related to a physician or supervising physician continue to apply.</w:t>
      </w:r>
    </w:p>
    <w:p>
      <w:pPr>
        <w:spacing w:before="120" w:line="240" w:lineRule="atLeast"/>
        <w:ind w:left="1080"/>
      </w:pPr>
      <w:r>
        <w:rPr>
          <w:b/>
        </w:rPr>
        <w:t xml:space="preserve">Subpart H-- CR Incentive Payment Model for EPM and Medicare Fee-for-Service Participants  </w:t>
      </w:r>
    </w:p>
    <w:p>
      <w:pPr>
        <w:spacing w:before="120" w:line="240" w:lineRule="atLeast"/>
        <w:ind w:left="1080"/>
      </w:pPr>
      <w:r>
        <w:rPr>
          <w:b/>
        </w:rPr>
        <w:t xml:space="preserve">§ 512.700 Basis and scope.  </w:t>
      </w:r>
    </w:p>
    <w:p>
      <w:pPr>
        <w:keepNext w:val="0"/>
        <w:spacing w:before="120" w:after="0" w:line="260" w:lineRule="atLeast"/>
        <w:ind w:left="1440" w:right="0"/>
        <w:jc w:val="both"/>
      </w:pPr>
      <w:r>
        <w:rPr>
          <w:b/>
        </w:rPr>
        <w:t xml:space="preserve">(a) Basis.  </w:t>
      </w:r>
      <w:r>
        <w:rPr>
          <w:rFonts w:ascii="arial" w:eastAsia="arial" w:hAnsi="arial" w:cs="arial"/>
          <w:b w:val="0"/>
          <w:i w:val="0"/>
          <w:strike w:val="0"/>
          <w:noProof w:val="0"/>
          <w:color w:val="000000"/>
          <w:position w:val="0"/>
          <w:sz w:val="20"/>
          <w:u w:val="none"/>
          <w:vertAlign w:val="baseline"/>
        </w:rPr>
        <w:t>This subpart implements the cardiac rehabilitation (CR) and intensive cardiac rehabilitation (ICR) incentive payment model under section 1115A of the Act.</w:t>
      </w:r>
    </w:p>
    <w:p>
      <w:pPr>
        <w:keepNext w:val="0"/>
        <w:spacing w:before="120" w:after="0" w:line="260" w:lineRule="atLeast"/>
        <w:ind w:left="1440" w:right="0"/>
        <w:jc w:val="both"/>
      </w:pPr>
      <w:r>
        <w:rPr>
          <w:b/>
        </w:rPr>
        <w:t xml:space="preserve">(b) Scope.  </w:t>
      </w:r>
      <w:r>
        <w:rPr>
          <w:rFonts w:ascii="arial" w:eastAsia="arial" w:hAnsi="arial" w:cs="arial"/>
          <w:b w:val="0"/>
          <w:i w:val="0"/>
          <w:strike w:val="0"/>
          <w:noProof w:val="0"/>
          <w:color w:val="000000"/>
          <w:position w:val="0"/>
          <w:sz w:val="20"/>
          <w:u w:val="none"/>
          <w:vertAlign w:val="baseline"/>
        </w:rPr>
        <w:t>This subpart sets forth the following:</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participants in the CR incentive payment model.</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CR/ICR services that count toward CR incentive payments.</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methodology for determining CR incentive payments.</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Provisions for FFS-CR participants that are not EPM participants.</w:t>
      </w:r>
    </w:p>
    <w:p>
      <w:pPr>
        <w:spacing w:before="120" w:line="240" w:lineRule="atLeast"/>
        <w:ind w:left="1080"/>
      </w:pPr>
      <w:r>
        <w:rPr>
          <w:b/>
        </w:rPr>
        <w:t xml:space="preserve">§ 512.703 CR incentive payment model participants.  </w:t>
      </w:r>
    </w:p>
    <w:p>
      <w:pPr>
        <w:keepNext w:val="0"/>
        <w:spacing w:before="120" w:after="0" w:line="260" w:lineRule="atLeast"/>
        <w:ind w:left="1440" w:right="0"/>
        <w:jc w:val="both"/>
      </w:pPr>
      <w:r>
        <w:rPr>
          <w:b/>
        </w:rPr>
        <w:t xml:space="preserve">(a) Selection of CR MSAs.  </w:t>
      </w:r>
      <w:r>
        <w:rPr>
          <w:rFonts w:ascii="arial" w:eastAsia="arial" w:hAnsi="arial" w:cs="arial"/>
          <w:b w:val="0"/>
          <w:i w:val="0"/>
          <w:strike w:val="0"/>
          <w:noProof w:val="0"/>
          <w:color w:val="000000"/>
          <w:position w:val="0"/>
          <w:sz w:val="20"/>
          <w:u w:val="none"/>
          <w:vertAlign w:val="baseline"/>
        </w:rPr>
        <w:t>The MSAs eligible for selection for AMI and CABG models were classified into one of seven groups based on their historic utilization of CR/ICR services. Within each group, EPM-CR and FFS-CR MSAs were randomly selected. The number of EPM-CRs selected within each group are distributed proportionately between the groups based on the assignment of the 98 EPM MSAs. The same number of FFS-MSAs were then drawn from each group.</w:t>
      </w:r>
    </w:p>
    <w:p>
      <w:pPr>
        <w:spacing w:before="120" w:line="240" w:lineRule="atLeast"/>
        <w:ind w:left="1440"/>
      </w:pPr>
      <w:r>
        <w:rPr>
          <w:b/>
        </w:rPr>
        <w:t xml:space="preserve">(b) Hospitals eligible for CR incentive payments.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Hospitals that are AMI and CABG model participants located in the EPM-CR MSAs.</w:t>
      </w:r>
    </w:p>
    <w:p>
      <w:pPr>
        <w:keepNext w:val="0"/>
        <w:spacing w:before="120" w:after="0" w:line="260" w:lineRule="atLeast"/>
        <w:ind w:left="1800" w:right="0"/>
        <w:jc w:val="both"/>
      </w:pPr>
      <w:r>
        <w:rPr>
          <w:b/>
        </w:rPr>
        <w:t xml:space="preserve">(2) FFS-CR participants.  </w:t>
      </w:r>
      <w:r>
        <w:rPr>
          <w:rFonts w:ascii="arial" w:eastAsia="arial" w:hAnsi="arial" w:cs="arial"/>
          <w:b w:val="0"/>
          <w:i w:val="0"/>
          <w:strike w:val="0"/>
          <w:noProof w:val="0"/>
          <w:color w:val="000000"/>
          <w:position w:val="0"/>
          <w:sz w:val="20"/>
          <w:u w:val="none"/>
          <w:vertAlign w:val="baseline"/>
        </w:rPr>
        <w:t>Hospitals located in the FFS-CR MSAs that would meet all requirements in § 512.100(b) to be an AMI or CABG model participant if the hospital were located in an MSA selected for the AMI and CABG models.</w:t>
      </w:r>
    </w:p>
    <w:p>
      <w:pPr>
        <w:spacing w:before="120" w:line="240" w:lineRule="atLeast"/>
        <w:ind w:left="1080"/>
      </w:pPr>
      <w:r>
        <w:rPr>
          <w:b/>
        </w:rPr>
        <w:t xml:space="preserve">§ 512.705 CR/ICR services that count towards CR incentive payments.  </w:t>
      </w:r>
    </w:p>
    <w:p>
      <w:pPr>
        <w:keepNext w:val="0"/>
        <w:spacing w:before="120" w:after="0" w:line="260" w:lineRule="atLeast"/>
        <w:ind w:left="1440" w:right="0"/>
        <w:jc w:val="both"/>
      </w:pPr>
      <w:r>
        <w:rPr>
          <w:b/>
        </w:rPr>
        <w:t xml:space="preserve">(a) Identification of CR/ICR services.  </w:t>
      </w:r>
      <w:r>
        <w:rPr>
          <w:rFonts w:ascii="arial" w:eastAsia="arial" w:hAnsi="arial" w:cs="arial"/>
          <w:b w:val="0"/>
          <w:i w:val="0"/>
          <w:strike w:val="0"/>
          <w:noProof w:val="0"/>
          <w:color w:val="000000"/>
          <w:position w:val="0"/>
          <w:sz w:val="20"/>
          <w:u w:val="none"/>
          <w:vertAlign w:val="baseline"/>
        </w:rPr>
        <w:t>CR/ICR services are identified by the HCPCS codes for CR/ICR services included in the CMS change request that implements the National Coverage Determination in the CR performance year.</w:t>
      </w:r>
    </w:p>
    <w:p>
      <w:pPr>
        <w:spacing w:before="120" w:line="240" w:lineRule="atLeast"/>
        <w:ind w:left="1440"/>
      </w:pPr>
      <w:r>
        <w:rPr>
          <w:b/>
        </w:rPr>
        <w:t xml:space="preserve">(b) CR participant eligibility for CR incentive payment.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For EPM-CR participants, CR/ICR services paid by Medicare under the OPPS or to any supplier reporting place of service code 11 on the PFS claim for AMI and CABG model beneficiaries during AMI and CABG model episodes result in eligibility for CR incentive payments.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For FFS-CR participants, CR/ICR services paid by Medicare under the </w:t>
      </w:r>
      <w:r>
        <w:rPr>
          <w:rFonts w:ascii="arial" w:eastAsia="arial" w:hAnsi="arial" w:cs="arial"/>
          <w:b/>
          <w:i w:val="0"/>
          <w:strike w:val="0"/>
          <w:noProof w:val="0"/>
          <w:color w:val="000000"/>
          <w:position w:val="0"/>
          <w:sz w:val="20"/>
          <w:u w:val="none"/>
          <w:vertAlign w:val="baseline"/>
        </w:rPr>
        <w:t> [*648] </w:t>
      </w:r>
      <w:r>
        <w:rPr>
          <w:rFonts w:ascii="arial" w:eastAsia="arial" w:hAnsi="arial" w:cs="arial"/>
          <w:b w:val="0"/>
          <w:i w:val="0"/>
          <w:strike w:val="0"/>
          <w:noProof w:val="0"/>
          <w:color w:val="000000"/>
          <w:position w:val="0"/>
          <w:sz w:val="20"/>
          <w:u w:val="none"/>
          <w:vertAlign w:val="baseline"/>
        </w:rPr>
        <w:t xml:space="preserve"> OPPS or to any supplier reporting place of service code 11 on the PFS claim for beneficiaries during AMI care periods and CABG care periods that would meet the requirements to be AMI and CABG model episodes in accordance with all provisions in subpart B if the FFS-CR participant were an EPM participant result in eligibility for CR incentive payments.</w:t>
      </w:r>
    </w:p>
    <w:p>
      <w:pPr>
        <w:spacing w:before="120" w:line="240" w:lineRule="atLeast"/>
        <w:ind w:left="1440"/>
      </w:pPr>
      <w:r>
        <w:rPr>
          <w:b/>
        </w:rPr>
        <w:t xml:space="preserve">(c) Overlap between AMI care periods and CABG care periods with AMI and CABG model episodes.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An AMI care period or CABG care period does not begin if the beneficiary is in an AMI or CABG model episode when the AMI care period or CABG care period would otherwise begin.</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An AMI care period or CABG care period is canceled if at any time during the AMI care period or CABG care period the beneficiary initiates an AMI or CABG model episode.</w:t>
      </w:r>
    </w:p>
    <w:p>
      <w:pPr>
        <w:keepNext w:val="0"/>
        <w:spacing w:before="120" w:after="0" w:line="260" w:lineRule="atLeast"/>
        <w:ind w:left="1440" w:right="0"/>
        <w:jc w:val="both"/>
      </w:pPr>
      <w:r>
        <w:rPr>
          <w:b/>
        </w:rPr>
        <w:t xml:space="preserve">(d) CR  </w:t>
      </w:r>
      <w:r>
        <w:rPr>
          <w:rFonts w:ascii="arial" w:eastAsia="arial" w:hAnsi="arial" w:cs="arial"/>
          <w:b w:val="0"/>
          <w:i/>
          <w:strike w:val="0"/>
          <w:noProof w:val="0"/>
          <w:color w:val="000000"/>
          <w:position w:val="0"/>
          <w:sz w:val="20"/>
          <w:u w:val="none"/>
          <w:vertAlign w:val="baseline"/>
        </w:rPr>
        <w:t>incentive payment time period.</w:t>
      </w:r>
      <w:r>
        <w:rPr>
          <w:rFonts w:ascii="arial" w:eastAsia="arial" w:hAnsi="arial" w:cs="arial"/>
          <w:b w:val="0"/>
          <w:i w:val="0"/>
          <w:strike w:val="0"/>
          <w:noProof w:val="0"/>
          <w:color w:val="000000"/>
          <w:position w:val="0"/>
          <w:sz w:val="20"/>
          <w:u w:val="none"/>
          <w:vertAlign w:val="baseline"/>
        </w:rPr>
        <w:t xml:space="preserve"> All AMI and CABG model episodes and AMI care periods and CABG care periods begin on or after July 1, 2017 and end on or before December 31, 2021.</w:t>
      </w:r>
    </w:p>
    <w:p>
      <w:pPr>
        <w:spacing w:before="120" w:line="240" w:lineRule="atLeast"/>
        <w:ind w:left="1080"/>
      </w:pPr>
      <w:r>
        <w:rPr>
          <w:b/>
        </w:rPr>
        <w:t xml:space="preserve">§ 512.710 Determination of CR incentive payments.  </w:t>
      </w:r>
    </w:p>
    <w:p>
      <w:pPr>
        <w:keepNext w:val="0"/>
        <w:spacing w:before="120" w:after="0" w:line="260" w:lineRule="atLeast"/>
        <w:ind w:left="1440" w:right="0"/>
        <w:jc w:val="both"/>
      </w:pPr>
      <w:r>
        <w:rPr>
          <w:b/>
        </w:rPr>
        <w:t xml:space="preserve">(a) General.  </w:t>
      </w:r>
      <w:r>
        <w:rPr>
          <w:rFonts w:ascii="arial" w:eastAsia="arial" w:hAnsi="arial" w:cs="arial"/>
          <w:b w:val="0"/>
          <w:i w:val="0"/>
          <w:strike w:val="0"/>
          <w:noProof w:val="0"/>
          <w:color w:val="000000"/>
          <w:position w:val="0"/>
          <w:sz w:val="20"/>
          <w:u w:val="none"/>
          <w:vertAlign w:val="baseline"/>
        </w:rPr>
        <w:t>CMS provides a CR incentive payment for each CR performance year to each EPM-CR participant and FFS-CR participant based on CR/ICR services paid by Medicare under the OPPS or to any supplier reporting place of service code 11 on the PFS claim for beneficiaries in AMI and CABG model episodes or AMI and CABG care periods, respectively. CMS makes CR incentive payments from the Medicare Part B Trust Fund to CR participants, and also submits beneficiary-specific CR amounts to the CMS Master Database Management System. The initial level of the per-service CR incentive amount is $ 25 per CR/ICR service for each of up to 11 CR/ICR services paid for by Medicare. For those CR/ICR services in an AMI or CABG model episode or AMI care period or CABG care period that exceed 11, the per-service CR incentive amount increases to $ 175 per CR/ICR service for each additional CR/ICR service paid for by Medicare.</w:t>
      </w:r>
    </w:p>
    <w:p>
      <w:pPr>
        <w:keepNext w:val="0"/>
        <w:spacing w:before="120" w:after="0" w:line="260" w:lineRule="atLeast"/>
        <w:ind w:left="1440" w:right="0"/>
        <w:jc w:val="both"/>
      </w:pPr>
      <w:r>
        <w:rPr>
          <w:b/>
        </w:rPr>
        <w:t xml:space="preserve">(b) Determination of CR incentive payment.  </w:t>
      </w:r>
      <w:r>
        <w:rPr>
          <w:rFonts w:ascii="arial" w:eastAsia="arial" w:hAnsi="arial" w:cs="arial"/>
          <w:b w:val="0"/>
          <w:i w:val="0"/>
          <w:strike w:val="0"/>
          <w:noProof w:val="0"/>
          <w:color w:val="000000"/>
          <w:position w:val="0"/>
          <w:sz w:val="20"/>
          <w:u w:val="none"/>
          <w:vertAlign w:val="baseline"/>
        </w:rPr>
        <w:t>At the same time that CMS carries out the determination of NPRA and reconciliation process for an EPM performance year as specified in § 512.305 for EPM participants, CMS also determines each CR participant's CR incentive payment for the CR performance year according to the following:</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 CR amount when the CR service count is less than 12.</w:t>
      </w:r>
      <w:r>
        <w:rPr>
          <w:rFonts w:ascii="arial" w:eastAsia="arial" w:hAnsi="arial" w:cs="arial"/>
          <w:b w:val="0"/>
          <w:i w:val="0"/>
          <w:strike w:val="0"/>
          <w:noProof w:val="0"/>
          <w:color w:val="000000"/>
          <w:position w:val="0"/>
          <w:sz w:val="20"/>
          <w:u w:val="none"/>
          <w:vertAlign w:val="baseline"/>
        </w:rPr>
        <w:t xml:space="preserve"> CMS determines the CR amount for a beneficiary in an AMI or CABG model episode or AMI care period or CABG care period with a CR service count less than 12 by multiplying the CR service count by $ 25.</w:t>
      </w:r>
    </w:p>
    <w:p>
      <w:pPr>
        <w:keepNext w:val="0"/>
        <w:spacing w:before="120" w:after="0" w:line="260" w:lineRule="atLeast"/>
        <w:ind w:left="1800" w:right="0"/>
        <w:jc w:val="both"/>
      </w:pPr>
      <w:r>
        <w:rPr>
          <w:b/>
        </w:rPr>
        <w:t xml:space="preserve">(2) CR amount when the CR service count is 12 or more.  </w:t>
      </w:r>
      <w:r>
        <w:rPr>
          <w:rFonts w:ascii="arial" w:eastAsia="arial" w:hAnsi="arial" w:cs="arial"/>
          <w:b w:val="0"/>
          <w:i w:val="0"/>
          <w:strike w:val="0"/>
          <w:noProof w:val="0"/>
          <w:color w:val="000000"/>
          <w:position w:val="0"/>
          <w:sz w:val="20"/>
          <w:u w:val="none"/>
          <w:vertAlign w:val="baseline"/>
        </w:rPr>
        <w:t>CMS determines the CR amount for a beneficiary in an AMI or CABG model episode or AMI care period or CABG care period with a CR service count of 12 or more as the sum of $ 275 ($ 25 multiplied by 11 for the first 11 CR/ICR services paid for by Medicare) and $ 175 multiplied by the difference between the CR service count and 11.</w:t>
      </w:r>
    </w:p>
    <w:p>
      <w:pPr>
        <w:keepNext w:val="0"/>
        <w:spacing w:before="120" w:after="0" w:line="260" w:lineRule="atLeast"/>
        <w:ind w:left="1800" w:right="0"/>
        <w:jc w:val="both"/>
      </w:pPr>
      <w:r>
        <w:rPr>
          <w:b/>
        </w:rPr>
        <w:t xml:space="preserve">(3) CR incentive payment.  </w:t>
      </w:r>
      <w:r>
        <w:rPr>
          <w:rFonts w:ascii="arial" w:eastAsia="arial" w:hAnsi="arial" w:cs="arial"/>
          <w:b w:val="0"/>
          <w:i w:val="0"/>
          <w:strike w:val="0"/>
          <w:noProof w:val="0"/>
          <w:color w:val="000000"/>
          <w:position w:val="0"/>
          <w:sz w:val="20"/>
          <w:u w:val="none"/>
          <w:vertAlign w:val="baseline"/>
        </w:rPr>
        <w:t>CMS sums the CR amounts determined in paragraphs (b)(1) and (2) of this section across the CR participant's beneficiaries in AMI and CABG model episodes or AMI care periods and CABG care periods for a given CR performance year to determine the CR incentive payment for the CR performance year.</w:t>
      </w:r>
    </w:p>
    <w:p>
      <w:pPr>
        <w:keepNext w:val="0"/>
        <w:spacing w:before="120" w:after="0" w:line="260" w:lineRule="atLeast"/>
        <w:ind w:left="1440" w:right="0"/>
        <w:jc w:val="both"/>
      </w:pPr>
      <w:r>
        <w:rPr>
          <w:b/>
        </w:rPr>
        <w:t xml:space="preserve">(c) Relation of CR incentive payments to reconciliation and Medicare repayments under EPMs.  </w:t>
      </w:r>
      <w:r>
        <w:rPr>
          <w:rFonts w:ascii="arial" w:eastAsia="arial" w:hAnsi="arial" w:cs="arial"/>
          <w:b w:val="0"/>
          <w:i w:val="0"/>
          <w:strike w:val="0"/>
          <w:noProof w:val="0"/>
          <w:color w:val="000000"/>
          <w:position w:val="0"/>
          <w:sz w:val="20"/>
          <w:u w:val="none"/>
          <w:vertAlign w:val="baseline"/>
        </w:rPr>
        <w:t>CR incentive payments to EPM-CR participants determined under § 512.710(b) are exclusive of reconciliation payments and Medicare repayment amounts determined under § 512.305(d).</w:t>
      </w:r>
    </w:p>
    <w:p>
      <w:pPr>
        <w:keepNext w:val="0"/>
        <w:spacing w:before="120" w:after="0" w:line="260" w:lineRule="atLeast"/>
        <w:ind w:left="1440" w:right="0"/>
        <w:jc w:val="both"/>
      </w:pPr>
      <w:r>
        <w:rPr>
          <w:b/>
        </w:rPr>
        <w:t xml:space="preserve">(d) Relation of CR incentive payments to sharing arrangements for EPM-CR participants.  </w:t>
      </w:r>
      <w:r>
        <w:rPr>
          <w:rFonts w:ascii="arial" w:eastAsia="arial" w:hAnsi="arial" w:cs="arial"/>
          <w:b w:val="0"/>
          <w:i w:val="0"/>
          <w:strike w:val="0"/>
          <w:noProof w:val="0"/>
          <w:color w:val="000000"/>
          <w:position w:val="0"/>
          <w:sz w:val="20"/>
          <w:u w:val="none"/>
          <w:vertAlign w:val="baseline"/>
        </w:rPr>
        <w:t>CR incentive payments under § 512.710(b) are not eligible for and may not be distributed under sharing arrangements specified in § 512.500.</w:t>
      </w:r>
    </w:p>
    <w:p>
      <w:pPr>
        <w:keepNext w:val="0"/>
        <w:spacing w:before="120" w:after="0" w:line="260" w:lineRule="atLeast"/>
        <w:ind w:left="1440" w:right="0"/>
        <w:jc w:val="both"/>
      </w:pPr>
      <w:r>
        <w:rPr>
          <w:b/>
        </w:rPr>
        <w:t xml:space="preserve">(e) Exclusion of CR incentive payments when updating quality-adjusted target prices for EPM-CR participants.  </w:t>
      </w:r>
      <w:r>
        <w:rPr>
          <w:rFonts w:ascii="arial" w:eastAsia="arial" w:hAnsi="arial" w:cs="arial"/>
          <w:b w:val="0"/>
          <w:i w:val="0"/>
          <w:strike w:val="0"/>
          <w:noProof w:val="0"/>
          <w:color w:val="000000"/>
          <w:position w:val="0"/>
          <w:sz w:val="20"/>
          <w:u w:val="none"/>
          <w:vertAlign w:val="baseline"/>
        </w:rPr>
        <w:t>CR incentive payments under § 512.710(b) are excluded when updating quality-adjusted target prices for EPM performance years 3 through 5.</w:t>
      </w:r>
    </w:p>
    <w:p>
      <w:pPr>
        <w:keepNext w:val="0"/>
        <w:spacing w:before="120" w:after="0" w:line="260" w:lineRule="atLeast"/>
        <w:ind w:left="1440" w:right="0"/>
        <w:jc w:val="both"/>
      </w:pPr>
      <w:r>
        <w:rPr>
          <w:b/>
        </w:rPr>
        <w:t xml:space="preserve">(f) CR incentive payment report.  </w:t>
      </w:r>
      <w:r>
        <w:rPr>
          <w:rFonts w:ascii="arial" w:eastAsia="arial" w:hAnsi="arial" w:cs="arial"/>
          <w:b w:val="0"/>
          <w:i w:val="0"/>
          <w:strike w:val="0"/>
          <w:noProof w:val="0"/>
          <w:color w:val="000000"/>
          <w:position w:val="0"/>
          <w:sz w:val="20"/>
          <w:u w:val="none"/>
          <w:vertAlign w:val="baseline"/>
        </w:rPr>
        <w:t>At the same time CMS issues the reconciliation report as specified in § 512.305(f) to EPM participants, CMS issues each EPM-CR participant and each FFS-CR participant a CR incentive payment report for the CR performance year. Each report contains the following:</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number of AMI and CABG model episodes or AMI care periods and CABG care periods attributed to the CR participant in which Medicare paid for 11 or fewer CR/ICR services for a beneficiary during the CR performance year, if any.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total number of CR/ICR services Medicare paid for during AMI and CABG model episodes or AMI care periods and CABG care periods identified in paragraph (f)(1) of this section.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amount of the CR incentive payment attributable to the AMI and CABG model episodes or AMI care periods and CABG care periods identified in paragraph (f)(1) of this section.</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number of AMI and CABG model episodes or AMI care periods and CABG care periods attributed to the CR participant in which Medicare paid for 12 or more CR/ICR services for a beneficiary during the CR performance year, if any.</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The total number of CR/ICR services Medicare paid for during AMI and CABG model episodes or AMI care periods and CABG care periods identified in paragraph (f)(4) of this section.</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The amount of the CR incentive payment attributable to the AMI and CABG model episodes or AMI care periods and CABG care periods identified in paragraph (f)(4) of this section.</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The total amount of the CR incentive payment.</w:t>
      </w:r>
    </w:p>
    <w:p>
      <w:pPr>
        <w:keepNext w:val="0"/>
        <w:spacing w:before="120" w:after="0" w:line="260" w:lineRule="atLeast"/>
        <w:ind w:left="1440" w:right="0"/>
        <w:jc w:val="both"/>
      </w:pPr>
      <w:r>
        <w:rPr>
          <w:b/>
        </w:rPr>
        <w:t xml:space="preserve">(g) Timing of CR incentive payments.  </w:t>
      </w:r>
      <w:r>
        <w:rPr>
          <w:rFonts w:ascii="arial" w:eastAsia="arial" w:hAnsi="arial" w:cs="arial"/>
          <w:b w:val="0"/>
          <w:i w:val="0"/>
          <w:strike w:val="0"/>
          <w:noProof w:val="0"/>
          <w:color w:val="000000"/>
          <w:position w:val="0"/>
          <w:sz w:val="20"/>
          <w:u w:val="none"/>
          <w:vertAlign w:val="baseline"/>
        </w:rPr>
        <w:t>CMS makes CR incentive payments on a retrospective basis subject to the following:</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For EPM-CR participants, CMS makes the CR incentive payment, if any, concurrently with EPM reconciliation payments or repayment amounts assessed for a specific EPM and CR performance year, subject to the appeals process for EPM participants in § 512.310.</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For FFS-CR participants, CMS makes the CR incentive payments, if any, at the same time as for EPM-CR participants, subject to the provisions in § 512.720.</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Provisions for FFS-CR Participants</w:t>
      </w:r>
    </w:p>
    <w:p>
      <w:pPr>
        <w:spacing w:before="120" w:line="240" w:lineRule="atLeast"/>
        <w:ind w:left="1080"/>
      </w:pPr>
      <w:r>
        <w:rPr>
          <w:b/>
        </w:rPr>
        <w:t xml:space="preserve">§ 512.715 Access to records and retention for FFS-CR participants.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FFS-CR participants and any other individuals or entities providing items or services to a FFS-CR beneficiary must do all of the following:</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Allow the Government, including CMS, OIG, HHS and the Comptroller General or their designees, scheduled and unscheduled access to all books, contracts, records, documents, and other evidence (including data related to CR/ICR service utilization and payments, billings, and the documentation required under § 512.740(d)) sufficient to enable the audit, evaluation, inspection, or investigation of the following:</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The individual's or entity's compliance with CR incentive payment model requirements. </w:t>
      </w:r>
      <w:r>
        <w:rPr>
          <w:rFonts w:ascii="arial" w:eastAsia="arial" w:hAnsi="arial" w:cs="arial"/>
          <w:b/>
          <w:i w:val="0"/>
          <w:strike w:val="0"/>
          <w:noProof w:val="0"/>
          <w:color w:val="000000"/>
          <w:position w:val="0"/>
          <w:sz w:val="20"/>
          <w:u w:val="none"/>
          <w:vertAlign w:val="baseline"/>
        </w:rPr>
        <w:t> [*649] </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obligation to repay any CR incentive payments owed to CMS.</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Maintain all such books, contracts, records, documents, and other evidence for a period of 10 years from the last day of the FFS-CR participant's participation in the CR incentive payment model or from the date of completion of any audit, evaluation, inspection, or investigation, whichever is later, unless--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CMS determines a particular record or group of records should be retained for a longer period and notifies the FFS-CR participant at least 30 calendar days before the disposition date; or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There has been a dispute or allegation of fraud or similar fault against the FFS-CR participant or any other individual or entity providing items or services to a FFS-CR beneficiary, in which case the records must be maintained for 6 years from the date of any resulting final resolution of the dispute or allegation of fraud or similar fault.</w:t>
      </w:r>
    </w:p>
    <w:p>
      <w:pPr>
        <w:spacing w:before="120" w:line="240" w:lineRule="atLeast"/>
        <w:ind w:left="1080"/>
      </w:pPr>
      <w:r>
        <w:rPr>
          <w:b/>
        </w:rPr>
        <w:t xml:space="preserve">§ 512.720 Appeals process for FFS-CR participants.  </w:t>
      </w:r>
    </w:p>
    <w:p>
      <w:pPr>
        <w:keepNext w:val="0"/>
        <w:spacing w:before="120" w:after="0" w:line="260" w:lineRule="atLeast"/>
        <w:ind w:left="1440" w:right="0"/>
        <w:jc w:val="both"/>
      </w:pPr>
      <w:r>
        <w:rPr>
          <w:b/>
        </w:rPr>
        <w:t xml:space="preserve">(a) Notice of calculation error (first level of appeal).  </w:t>
      </w:r>
      <w:r>
        <w:rPr>
          <w:rFonts w:ascii="arial" w:eastAsia="arial" w:hAnsi="arial" w:cs="arial"/>
          <w:b w:val="0"/>
          <w:i w:val="0"/>
          <w:strike w:val="0"/>
          <w:noProof w:val="0"/>
          <w:color w:val="000000"/>
          <w:position w:val="0"/>
          <w:sz w:val="20"/>
          <w:u w:val="none"/>
          <w:vertAlign w:val="baseline"/>
        </w:rPr>
        <w:t>Subject to the limitations on review in subpart H of this part, if a FFS-CR participant wishes to dispute calculations involving a matter related to a CR incentive payment, the FFS-CR participant is required to provide written notice of the calculation error, in a form and manner specified by CMS.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Unless the FFS-CR participant provides such notice, CMS deems final the applicable CR incentive payment report 45 calendar days after the applicable CR incentive payment report is issued and proceeds with the payment as applicable.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If CMS receives a notice of a calculation error within 45 calendar days of the issuance of the applicable CR incentive payment report, CMS responds in writing within 30 calendar days to either confirm that there was an error in the calculation or verify that the calculation is correct, although CMS reserves the right to an extension upon written notice to the FFS-CR participant.</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Only FFS-CR participants may use notice of calculation error process described in this part.</w:t>
      </w:r>
    </w:p>
    <w:p>
      <w:pPr>
        <w:spacing w:before="120" w:line="240" w:lineRule="atLeast"/>
        <w:ind w:left="1440"/>
      </w:pPr>
      <w:r>
        <w:rPr>
          <w:b/>
        </w:rPr>
        <w:t xml:space="preserve">(b) Dispute resolution process (second level of appeal).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If the FFS-CR participant is dissatisfied with CMS' response to the notice of a calculation error, the FFS-CR participant may request a reconsideration review in a form and manner as specified by CMS.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reconsideration request must provide a detailed explanation of the basis for the dispute and include supporting documentation for the FFS-CR participant's assertion that CMS or its representatives did not accurately calculate the CR incentive payment in accordance with subpart H of this part.</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If CMS does not receive a request for reconsideration from the FFS-CR participant within 10 calendar days of the issue date of CMS' response to the FFS-CR participant's notice of calculation error, then CMS' response to the calculation error is deemed final and CMS proceeds with the applicable processes, as described in subpart H of this part.</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CMS reconsideration official notifies the FFS-CR participant in writing within 15 calendar days of receiving the FFS-CR participant's review request of the following:</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date, time, and location of the review.</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issues in dispute.</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The review procedures.</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The procedures (including format and deadlines) for submission of evidence.</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The CMS reconsideration official takes all reasonable efforts to schedule the review to occur no later than 30 days after the date of receipt of the notification.</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The provisions at § 425.804(b), (c), and (e) of this chapter are applicable to reviews conducted in accordance with the reconsideration review process for the FFS-CR participant.</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The CMS reconsideration official issues a written determination within 30 days of the review. The determination is final and binding.</w:t>
      </w:r>
    </w:p>
    <w:p>
      <w:pPr>
        <w:keepNext w:val="0"/>
        <w:spacing w:before="120" w:after="0" w:line="260" w:lineRule="atLeast"/>
        <w:ind w:left="1800" w:right="0"/>
        <w:jc w:val="both"/>
      </w:pPr>
      <w:r>
        <w:rPr>
          <w:b/>
        </w:rPr>
        <w:t xml:space="preserve">(8)  </w:t>
      </w:r>
      <w:r>
        <w:rPr>
          <w:rFonts w:ascii="arial" w:eastAsia="arial" w:hAnsi="arial" w:cs="arial"/>
          <w:b w:val="0"/>
          <w:i w:val="0"/>
          <w:strike w:val="0"/>
          <w:noProof w:val="0"/>
          <w:color w:val="000000"/>
          <w:position w:val="0"/>
          <w:sz w:val="20"/>
          <w:u w:val="none"/>
          <w:vertAlign w:val="baseline"/>
        </w:rPr>
        <w:t>Only FFS-CR participants may use the dispute resolution process described in this part.</w:t>
      </w:r>
    </w:p>
    <w:p>
      <w:pPr>
        <w:keepNext w:val="0"/>
        <w:spacing w:before="120" w:after="0" w:line="260" w:lineRule="atLeast"/>
        <w:ind w:left="1440" w:right="0"/>
        <w:jc w:val="both"/>
      </w:pPr>
      <w:r>
        <w:rPr>
          <w:b/>
        </w:rPr>
        <w:t xml:space="preserve">(c) Exception to the notice of calculation error process.  </w:t>
      </w:r>
      <w:r>
        <w:rPr>
          <w:rFonts w:ascii="arial" w:eastAsia="arial" w:hAnsi="arial" w:cs="arial"/>
          <w:b w:val="0"/>
          <w:i w:val="0"/>
          <w:strike w:val="0"/>
          <w:noProof w:val="0"/>
          <w:color w:val="000000"/>
          <w:position w:val="0"/>
          <w:sz w:val="20"/>
          <w:u w:val="none"/>
          <w:vertAlign w:val="baseline"/>
        </w:rPr>
        <w:t>If the FFS-CR participant contests a matter that does not involve an issue contained in, or a calculation which contributes to a CR incentive payment report a notice of calculation error is not required. In these instances, if CMS does not receive a request for reconsideration from the FFS-CR participant within 10 calendar days of the notice of the initial determination, the initial determination is deemed final and CMS proceeds with the action indicated in the initial determination. This does not apply to the limitations on review in paragraph (e) of this section.</w:t>
      </w:r>
    </w:p>
    <w:p>
      <w:pPr>
        <w:keepNext w:val="0"/>
        <w:spacing w:before="120" w:after="0" w:line="260" w:lineRule="atLeast"/>
        <w:ind w:left="1440" w:right="0"/>
        <w:jc w:val="both"/>
      </w:pPr>
      <w:r>
        <w:rPr>
          <w:b/>
        </w:rPr>
        <w:t xml:space="preserve">(d) Notice of FFS-CR participant termination from the CR incentive payment model.  </w:t>
      </w:r>
      <w:r>
        <w:rPr>
          <w:rFonts w:ascii="arial" w:eastAsia="arial" w:hAnsi="arial" w:cs="arial"/>
          <w:b w:val="0"/>
          <w:i w:val="0"/>
          <w:strike w:val="0"/>
          <w:noProof w:val="0"/>
          <w:color w:val="000000"/>
          <w:position w:val="0"/>
          <w:sz w:val="20"/>
          <w:u w:val="none"/>
          <w:vertAlign w:val="baseline"/>
        </w:rPr>
        <w:t>If an FFS-CR participant receives notification that it has been terminated from the CR incentive payment model, it must provide a written request for reconsideration to CMS requesting review of the termination within 10 calendar days of the notice. CMS has 30 days to respond to the FFS-CR participant's request for review. If the FFS-CR participant fails to notify CMS, the termination is deemed final.</w:t>
      </w:r>
    </w:p>
    <w:p>
      <w:pPr>
        <w:keepNext w:val="0"/>
        <w:spacing w:before="120" w:after="0" w:line="260" w:lineRule="atLeast"/>
        <w:ind w:left="1440" w:right="0"/>
        <w:jc w:val="both"/>
      </w:pPr>
      <w:r>
        <w:rPr>
          <w:b/>
        </w:rPr>
        <w:t xml:space="preserve">(e) Limitations on review.  </w:t>
      </w:r>
      <w:r>
        <w:rPr>
          <w:rFonts w:ascii="arial" w:eastAsia="arial" w:hAnsi="arial" w:cs="arial"/>
          <w:b w:val="0"/>
          <w:i w:val="0"/>
          <w:strike w:val="0"/>
          <w:noProof w:val="0"/>
          <w:color w:val="000000"/>
          <w:position w:val="0"/>
          <w:sz w:val="20"/>
          <w:u w:val="none"/>
          <w:vertAlign w:val="baseline"/>
        </w:rPr>
        <w:t>In accordance with section 1115A(d)(2) of the Act, there is no administrative or judicial review under sections 1869 or 1878 of the Act or otherwise for the following:</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selection of models for testing or expansion under section 1115A of the Act.</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selection of organizations, sites, or participants to test those models selected.</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elements, parameters, scope, and duration of such models for testing or dissemination.</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Determinations regarding budget neutrality under section 1115A(b)(3) of Act.</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The termination or modification of the design and implementation of a model under section 1115A(b)(3)(B) of Act.</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Decisions to expand the duration and scope of a model under section 1115A(c) of the Act, including the determination that a model is not expected to meet criteria described in paragraph (e)(1) or (2) of this section.</w:t>
      </w:r>
    </w:p>
    <w:p>
      <w:pPr>
        <w:spacing w:before="120" w:line="240" w:lineRule="atLeast"/>
        <w:ind w:left="1080"/>
      </w:pPr>
      <w:r>
        <w:rPr>
          <w:b/>
        </w:rPr>
        <w:t xml:space="preserve">§ 512.725 Data sharing for FFS-CR participants.  </w:t>
      </w:r>
    </w:p>
    <w:p>
      <w:pPr>
        <w:keepNext w:val="0"/>
        <w:spacing w:before="120" w:after="0" w:line="260" w:lineRule="atLeast"/>
        <w:ind w:left="1440" w:right="0"/>
        <w:jc w:val="both"/>
      </w:pPr>
      <w:r>
        <w:rPr>
          <w:b/>
        </w:rPr>
        <w:t xml:space="preserve">(a) General.  </w:t>
      </w:r>
      <w:r>
        <w:rPr>
          <w:rFonts w:ascii="arial" w:eastAsia="arial" w:hAnsi="arial" w:cs="arial"/>
          <w:b w:val="0"/>
          <w:i w:val="0"/>
          <w:strike w:val="0"/>
          <w:noProof w:val="0"/>
          <w:color w:val="000000"/>
          <w:position w:val="0"/>
          <w:sz w:val="20"/>
          <w:u w:val="none"/>
          <w:vertAlign w:val="baseline"/>
        </w:rPr>
        <w:t>CMS makes available to FFS-CR participants, through the most appropriate means, data that CMS determines may be useful to FFS-CR participants to do the following:</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Determine appropriate ways to increase the coordination of care.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Improve quality.</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Enhance efficiencies in the delivery of care.</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Otherwise achieve the goals of the model described in this section.</w:t>
      </w:r>
    </w:p>
    <w:p>
      <w:pPr>
        <w:spacing w:before="120" w:line="240" w:lineRule="atLeast"/>
        <w:ind w:left="1440"/>
      </w:pPr>
      <w:r>
        <w:rPr>
          <w:b/>
        </w:rPr>
        <w:t xml:space="preserve">(b) Beneficiary-identifiable data.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CMS makes beneficiary-identifiable data available to a FFS-CR participant in accordance with applicable privacy and security laws and only in response to the FFS-CR participant's request for such data for a beneficiary who has been furnished a billable service by the FFS-CR participant corresponding to the AMI care period or CABG care period definitions.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The minimum data necessary to achieve the goals of the CR incentive payment test, as determined by CMS, may be provided under this section no less frequently than on a quarterly basis throughout the FFS-CR participant's </w:t>
      </w:r>
      <w:r>
        <w:rPr>
          <w:rFonts w:ascii="arial" w:eastAsia="arial" w:hAnsi="arial" w:cs="arial"/>
          <w:b/>
          <w:i w:val="0"/>
          <w:strike w:val="0"/>
          <w:noProof w:val="0"/>
          <w:color w:val="000000"/>
          <w:position w:val="0"/>
          <w:sz w:val="20"/>
          <w:u w:val="none"/>
          <w:vertAlign w:val="baseline"/>
        </w:rPr>
        <w:t> [*650] </w:t>
      </w:r>
      <w:r>
        <w:rPr>
          <w:rFonts w:ascii="arial" w:eastAsia="arial" w:hAnsi="arial" w:cs="arial"/>
          <w:b w:val="0"/>
          <w:i w:val="0"/>
          <w:strike w:val="0"/>
          <w:noProof w:val="0"/>
          <w:color w:val="000000"/>
          <w:position w:val="0"/>
          <w:sz w:val="20"/>
          <w:u w:val="none"/>
          <w:vertAlign w:val="baseline"/>
        </w:rPr>
        <w:t xml:space="preserve"> participation in the CR incentive payment test.</w:t>
      </w:r>
    </w:p>
    <w:p>
      <w:pPr>
        <w:spacing w:before="120" w:line="240" w:lineRule="atLeast"/>
        <w:ind w:left="1080"/>
      </w:pPr>
      <w:r>
        <w:rPr>
          <w:b/>
        </w:rPr>
        <w:t xml:space="preserve">§ 512.730 Compliance enforcement for FFS-CR participants.  </w:t>
      </w:r>
    </w:p>
    <w:p>
      <w:pPr>
        <w:keepNext w:val="0"/>
        <w:spacing w:before="120" w:after="0" w:line="260" w:lineRule="atLeast"/>
        <w:ind w:left="1440" w:right="0"/>
        <w:jc w:val="both"/>
      </w:pPr>
      <w:r>
        <w:rPr>
          <w:b/>
        </w:rPr>
        <w:t xml:space="preserve">(a) General.  </w:t>
      </w:r>
      <w:r>
        <w:rPr>
          <w:rFonts w:ascii="arial" w:eastAsia="arial" w:hAnsi="arial" w:cs="arial"/>
          <w:b w:val="0"/>
          <w:i w:val="0"/>
          <w:strike w:val="0"/>
          <w:noProof w:val="0"/>
          <w:color w:val="000000"/>
          <w:position w:val="0"/>
          <w:sz w:val="20"/>
          <w:u w:val="none"/>
          <w:vertAlign w:val="baseline"/>
        </w:rPr>
        <w:t xml:space="preserve">FFS-CR participants must comply with all of the requirements outlined in this subpart. Except as specifically noted in this subpart,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this subpart must not be construed to affect the payment, coverage, program integrity, or other requirements (such as those in parts 412 and 482 of this chapter) that apply to providers and suppliers under this chapter.</w:t>
      </w:r>
    </w:p>
    <w:p>
      <w:pPr>
        <w:spacing w:before="120" w:line="240" w:lineRule="atLeast"/>
        <w:ind w:left="1440"/>
      </w:pPr>
      <w:r>
        <w:rPr>
          <w:b/>
        </w:rPr>
        <w:t xml:space="preserve">(b) Failure to comply.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CMS may take one or more of the remedial actions set forth in paragraph (b)(2) of this section if a FFS-CR participant does any of the following:</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Fails to comply with any requirements of this subpart or is identified as noncompliant through monitoring by HHS (including CMS and OIG) of the CR incentive payment model, including but not limited to the following:</w:t>
      </w:r>
    </w:p>
    <w:p>
      <w:pPr>
        <w:keepNext w:val="0"/>
        <w:spacing w:before="120" w:after="0" w:line="260" w:lineRule="atLeast"/>
        <w:ind w:left="2520" w:right="0"/>
        <w:jc w:val="both"/>
      </w:pPr>
      <w:r>
        <w:rPr>
          <w:b/>
        </w:rPr>
        <w:t xml:space="preserve">(A)  </w:t>
      </w:r>
      <w:r>
        <w:rPr>
          <w:rFonts w:ascii="arial" w:eastAsia="arial" w:hAnsi="arial" w:cs="arial"/>
          <w:b w:val="0"/>
          <w:i w:val="0"/>
          <w:strike w:val="0"/>
          <w:noProof w:val="0"/>
          <w:color w:val="000000"/>
          <w:position w:val="0"/>
          <w:sz w:val="20"/>
          <w:u w:val="none"/>
          <w:vertAlign w:val="baseline"/>
        </w:rPr>
        <w:t>Avoiding potentially high-severity patients.</w:t>
      </w:r>
    </w:p>
    <w:p>
      <w:pPr>
        <w:keepNext w:val="0"/>
        <w:spacing w:before="120" w:after="0" w:line="260" w:lineRule="atLeast"/>
        <w:ind w:left="2520" w:right="0"/>
        <w:jc w:val="both"/>
      </w:pPr>
      <w:r>
        <w:rPr>
          <w:b/>
        </w:rPr>
        <w:t xml:space="preserve">(B)  </w:t>
      </w:r>
      <w:r>
        <w:rPr>
          <w:rFonts w:ascii="arial" w:eastAsia="arial" w:hAnsi="arial" w:cs="arial"/>
          <w:b w:val="0"/>
          <w:i w:val="0"/>
          <w:strike w:val="0"/>
          <w:noProof w:val="0"/>
          <w:color w:val="000000"/>
          <w:position w:val="0"/>
          <w:sz w:val="20"/>
          <w:u w:val="none"/>
          <w:vertAlign w:val="baseline"/>
        </w:rPr>
        <w:t>Targeting potentially low-severity patients.</w:t>
      </w:r>
    </w:p>
    <w:p>
      <w:pPr>
        <w:keepNext w:val="0"/>
        <w:spacing w:before="120" w:after="0" w:line="260" w:lineRule="atLeast"/>
        <w:ind w:left="2520" w:right="0"/>
        <w:jc w:val="both"/>
      </w:pPr>
      <w:r>
        <w:rPr>
          <w:b/>
        </w:rPr>
        <w:t xml:space="preserve">(C)  </w:t>
      </w:r>
      <w:r>
        <w:rPr>
          <w:rFonts w:ascii="arial" w:eastAsia="arial" w:hAnsi="arial" w:cs="arial"/>
          <w:b w:val="0"/>
          <w:i w:val="0"/>
          <w:strike w:val="0"/>
          <w:noProof w:val="0"/>
          <w:color w:val="000000"/>
          <w:position w:val="0"/>
          <w:sz w:val="20"/>
          <w:u w:val="none"/>
          <w:vertAlign w:val="baseline"/>
        </w:rPr>
        <w:t>Failing to provide medically appropriate services or systematically engaging in the over or under-delivery of appropriate care.</w:t>
      </w:r>
    </w:p>
    <w:p>
      <w:pPr>
        <w:keepNext w:val="0"/>
        <w:spacing w:before="120" w:after="0" w:line="260" w:lineRule="atLeast"/>
        <w:ind w:left="2520" w:right="0"/>
        <w:jc w:val="both"/>
      </w:pPr>
      <w:r>
        <w:rPr>
          <w:b/>
        </w:rPr>
        <w:t xml:space="preserve">(D)  </w:t>
      </w:r>
      <w:r>
        <w:rPr>
          <w:rFonts w:ascii="arial" w:eastAsia="arial" w:hAnsi="arial" w:cs="arial"/>
          <w:b w:val="0"/>
          <w:i w:val="0"/>
          <w:strike w:val="0"/>
          <w:noProof w:val="0"/>
          <w:color w:val="000000"/>
          <w:position w:val="0"/>
          <w:sz w:val="20"/>
          <w:u w:val="none"/>
          <w:vertAlign w:val="baseline"/>
        </w:rPr>
        <w:t>Failing to provide beneficiaries with complete and accurate information.</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Takes any action that threatens the health or safety of patients.</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Avoids at risk Medicare beneficiaries, as this term is defined in § 425.20 of this chapter.</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Avoids patients on the basis of payer status.</w:t>
      </w:r>
    </w:p>
    <w:p>
      <w:pPr>
        <w:keepNext w:val="0"/>
        <w:spacing w:before="120" w:after="0" w:line="260" w:lineRule="atLeast"/>
        <w:ind w:left="2160" w:right="0"/>
        <w:jc w:val="both"/>
      </w:pPr>
      <w:r>
        <w:rPr>
          <w:b/>
        </w:rPr>
        <w:t xml:space="preserve">(v)  </w:t>
      </w:r>
      <w:r>
        <w:rPr>
          <w:rFonts w:ascii="arial" w:eastAsia="arial" w:hAnsi="arial" w:cs="arial"/>
          <w:b w:val="0"/>
          <w:i w:val="0"/>
          <w:strike w:val="0"/>
          <w:noProof w:val="0"/>
          <w:color w:val="000000"/>
          <w:position w:val="0"/>
          <w:sz w:val="20"/>
          <w:u w:val="none"/>
          <w:vertAlign w:val="baseline"/>
        </w:rPr>
        <w:t>Is subject to sanctions or final actions of an accrediting organization or Federal, state, or local government agency that could lead to the inability to comply with the requirements and provisions of this subpart.</w:t>
      </w:r>
    </w:p>
    <w:p>
      <w:pPr>
        <w:keepNext w:val="0"/>
        <w:spacing w:before="120" w:after="0" w:line="260" w:lineRule="atLeast"/>
        <w:ind w:left="2160" w:right="0"/>
        <w:jc w:val="both"/>
      </w:pPr>
      <w:r>
        <w:rPr>
          <w:b/>
        </w:rPr>
        <w:t xml:space="preserve">(vi)  </w:t>
      </w:r>
      <w:r>
        <w:rPr>
          <w:rFonts w:ascii="arial" w:eastAsia="arial" w:hAnsi="arial" w:cs="arial"/>
          <w:b w:val="0"/>
          <w:i w:val="0"/>
          <w:strike w:val="0"/>
          <w:noProof w:val="0"/>
          <w:color w:val="000000"/>
          <w:position w:val="0"/>
          <w:sz w:val="20"/>
          <w:u w:val="none"/>
          <w:vertAlign w:val="baseline"/>
        </w:rPr>
        <w:t>Takes any action that CMS determines for program integrity reasons is not in the best interests of the CR incentive payment model, or fails to take any action that CMS determines for program integrity reasons should have been taken to further the best interests of the CR incentive payment model.</w:t>
      </w:r>
    </w:p>
    <w:p>
      <w:pPr>
        <w:keepNext w:val="0"/>
        <w:spacing w:before="120" w:after="0" w:line="260" w:lineRule="atLeast"/>
        <w:ind w:left="2160" w:right="0"/>
        <w:jc w:val="both"/>
      </w:pPr>
      <w:r>
        <w:rPr>
          <w:b/>
        </w:rPr>
        <w:t xml:space="preserve">(viii)  </w:t>
      </w:r>
      <w:r>
        <w:rPr>
          <w:rFonts w:ascii="arial" w:eastAsia="arial" w:hAnsi="arial" w:cs="arial"/>
          <w:b w:val="0"/>
          <w:i w:val="0"/>
          <w:strike w:val="0"/>
          <w:noProof w:val="0"/>
          <w:color w:val="000000"/>
          <w:position w:val="0"/>
          <w:sz w:val="20"/>
          <w:u w:val="none"/>
          <w:vertAlign w:val="baseline"/>
        </w:rPr>
        <w:t>Is subject to action by HHS (including OIG and CMS) or the Department of Justice to redress an allegation of fraud or significant misconduct, including intervening in a False Claims Act qui tam matter, issuing a pre demand or demand letter under a civil sanction authority, or similar actions.</w:t>
      </w:r>
    </w:p>
    <w:p>
      <w:pPr>
        <w:keepNext w:val="0"/>
        <w:spacing w:before="120" w:after="0" w:line="260" w:lineRule="atLeast"/>
        <w:ind w:left="2160" w:right="0"/>
        <w:jc w:val="both"/>
      </w:pPr>
      <w:r>
        <w:rPr>
          <w:b/>
        </w:rPr>
        <w:t xml:space="preserve">(ix)  </w:t>
      </w:r>
      <w:r>
        <w:rPr>
          <w:rFonts w:ascii="arial" w:eastAsia="arial" w:hAnsi="arial" w:cs="arial"/>
          <w:b w:val="0"/>
          <w:i w:val="0"/>
          <w:strike w:val="0"/>
          <w:noProof w:val="0"/>
          <w:color w:val="000000"/>
          <w:position w:val="0"/>
          <w:sz w:val="20"/>
          <w:u w:val="none"/>
          <w:vertAlign w:val="baseline"/>
        </w:rPr>
        <w:t xml:space="preserve">Is subject to action involving violations of the physician self-referral law, civil monetary penalties law, Federal anti-kickback statute,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or any other applicable Medicare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relevant to the CR incentive payment model.</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Remedial actions include the following:</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Issuing a warning letter to the FFS-CR participant.</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Requiring the FFS-CR participant to develop a corrective action plan, commonly referred to as a CAP.</w:t>
      </w:r>
    </w:p>
    <w:p>
      <w:pPr>
        <w:keepNext w:val="0"/>
        <w:spacing w:before="120" w:after="0" w:line="260" w:lineRule="atLeast"/>
        <w:ind w:left="2160" w:right="0"/>
        <w:jc w:val="both"/>
      </w:pPr>
      <w:r>
        <w:rPr>
          <w:b/>
        </w:rPr>
        <w:t xml:space="preserve">(iii)  </w:t>
      </w:r>
      <w:r>
        <w:rPr>
          <w:rFonts w:ascii="arial" w:eastAsia="arial" w:hAnsi="arial" w:cs="arial"/>
          <w:b w:val="0"/>
          <w:i w:val="0"/>
          <w:strike w:val="0"/>
          <w:noProof w:val="0"/>
          <w:color w:val="000000"/>
          <w:position w:val="0"/>
          <w:sz w:val="20"/>
          <w:u w:val="none"/>
          <w:vertAlign w:val="baseline"/>
        </w:rPr>
        <w:t>Reducing or eliminating the FFS-CR participant's CR incentive payment.</w:t>
      </w:r>
    </w:p>
    <w:p>
      <w:pPr>
        <w:keepNext w:val="0"/>
        <w:spacing w:before="120" w:after="0" w:line="260" w:lineRule="atLeast"/>
        <w:ind w:left="2160" w:right="0"/>
        <w:jc w:val="both"/>
      </w:pPr>
      <w:r>
        <w:rPr>
          <w:b/>
        </w:rPr>
        <w:t xml:space="preserve">(iv)  </w:t>
      </w:r>
      <w:r>
        <w:rPr>
          <w:rFonts w:ascii="arial" w:eastAsia="arial" w:hAnsi="arial" w:cs="arial"/>
          <w:b w:val="0"/>
          <w:i w:val="0"/>
          <w:strike w:val="0"/>
          <w:noProof w:val="0"/>
          <w:color w:val="000000"/>
          <w:position w:val="0"/>
          <w:sz w:val="20"/>
          <w:u w:val="none"/>
          <w:vertAlign w:val="baseline"/>
        </w:rPr>
        <w:t>Terminating the FFS-CR participant from the CR incentive payment model.</w:t>
      </w:r>
    </w:p>
    <w:p>
      <w:pPr>
        <w:spacing w:before="120" w:line="240" w:lineRule="atLeast"/>
        <w:ind w:left="1080"/>
      </w:pPr>
      <w:r>
        <w:rPr>
          <w:b/>
        </w:rPr>
        <w:t xml:space="preserve">§ 512.735 Enforcement authority for FFS-CR participants.  </w:t>
      </w:r>
    </w:p>
    <w:p>
      <w:pPr>
        <w:keepNext w:val="0"/>
        <w:spacing w:before="120" w:after="0" w:line="260" w:lineRule="atLeast"/>
        <w:ind w:left="1440" w:right="0"/>
        <w:jc w:val="both"/>
      </w:pPr>
      <w:r>
        <w:rPr>
          <w:b/>
        </w:rPr>
        <w:t xml:space="preserve">(a) OIG authority.  </w:t>
      </w:r>
      <w:r>
        <w:rPr>
          <w:rFonts w:ascii="arial" w:eastAsia="arial" w:hAnsi="arial" w:cs="arial"/>
          <w:b w:val="0"/>
          <w:i w:val="0"/>
          <w:strike w:val="0"/>
          <w:noProof w:val="0"/>
          <w:color w:val="000000"/>
          <w:position w:val="0"/>
          <w:sz w:val="20"/>
          <w:u w:val="none"/>
          <w:vertAlign w:val="baseline"/>
        </w:rPr>
        <w:t>OIG authority is not limited or restricted by the provisions of the CR incentive payment model, including the authority to audit, evaluate, investigate, or inspect the FFS-CR participant, or any other person or entity or their records, data, or information, without limitation.</w:t>
      </w:r>
    </w:p>
    <w:p>
      <w:pPr>
        <w:keepNext w:val="0"/>
        <w:spacing w:before="120" w:after="0" w:line="260" w:lineRule="atLeast"/>
        <w:ind w:left="1440" w:right="0"/>
        <w:jc w:val="both"/>
      </w:pPr>
      <w:r>
        <w:rPr>
          <w:b/>
        </w:rPr>
        <w:t xml:space="preserve">(b) Other authorities.  </w:t>
      </w:r>
      <w:r>
        <w:rPr>
          <w:rFonts w:ascii="arial" w:eastAsia="arial" w:hAnsi="arial" w:cs="arial"/>
          <w:b w:val="0"/>
          <w:i w:val="0"/>
          <w:strike w:val="0"/>
          <w:noProof w:val="0"/>
          <w:color w:val="000000"/>
          <w:position w:val="0"/>
          <w:sz w:val="20"/>
          <w:u w:val="none"/>
          <w:vertAlign w:val="baseline"/>
        </w:rPr>
        <w:t>None of the provisions of the CR incentive payment model limits or restricts the authority of any other government agency permitted by law to audit, evaluate, investigate, or inspect the FFS-CR participant or any other person or entity or their records, data, or information, without limitation.</w:t>
      </w:r>
    </w:p>
    <w:p>
      <w:pPr>
        <w:spacing w:before="120" w:line="240" w:lineRule="atLeast"/>
        <w:ind w:left="1080"/>
      </w:pPr>
      <w:r>
        <w:rPr>
          <w:b/>
        </w:rPr>
        <w:t xml:space="preserve">§ 512.740 Beneficiary engagement incentives for FFS-CR participant use.  </w:t>
      </w:r>
    </w:p>
    <w:p>
      <w:pPr>
        <w:keepNext w:val="0"/>
        <w:spacing w:before="120" w:after="0" w:line="260" w:lineRule="atLeast"/>
        <w:ind w:left="1440" w:right="0"/>
        <w:jc w:val="both"/>
      </w:pPr>
      <w:r>
        <w:rPr>
          <w:b/>
        </w:rPr>
        <w:t xml:space="preserve">(a) General.  </w:t>
      </w:r>
      <w:r>
        <w:rPr>
          <w:rFonts w:ascii="arial" w:eastAsia="arial" w:hAnsi="arial" w:cs="arial"/>
          <w:b w:val="0"/>
          <w:i w:val="0"/>
          <w:strike w:val="0"/>
          <w:noProof w:val="0"/>
          <w:color w:val="000000"/>
          <w:position w:val="0"/>
          <w:sz w:val="20"/>
          <w:u w:val="none"/>
          <w:vertAlign w:val="baseline"/>
        </w:rPr>
        <w:t>FFS-CR participants may choose to provide in-kind patient engagement incentives to beneficiaries in an AMI care period or CABG care period, subject to the following conditions: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incentive must be provided directly by the FFS-CR participant or by an agent of the FFS-CR participant under the FFS-CR participant's direction and control to the FFS-CR beneficiary during an AMI care period or CABG care period.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item or service provided must be reasonably connected to medical care provided to a FFS-CR beneficiary during an AMI care period or CABG care period.</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item or service must be a preventive care item or service or an item or service that advances a clinical goal, as listed in paragraph (c) of this section, for a beneficiary during an AMI care period or CABG care by engaging the beneficiary in better managing his or her own health.</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item or service must not be tied to the receipt of items or services outside the AMI care period or CABG care period.</w:t>
      </w:r>
    </w:p>
    <w:p>
      <w:pPr>
        <w:keepNext w:val="0"/>
        <w:spacing w:before="120" w:after="0" w:line="260" w:lineRule="atLeast"/>
        <w:ind w:left="1800" w:right="0"/>
        <w:jc w:val="both"/>
      </w:pPr>
      <w:r>
        <w:rPr>
          <w:b/>
        </w:rPr>
        <w:t xml:space="preserve">(5)  </w:t>
      </w:r>
      <w:r>
        <w:rPr>
          <w:rFonts w:ascii="arial" w:eastAsia="arial" w:hAnsi="arial" w:cs="arial"/>
          <w:b w:val="0"/>
          <w:i w:val="0"/>
          <w:strike w:val="0"/>
          <w:noProof w:val="0"/>
          <w:color w:val="000000"/>
          <w:position w:val="0"/>
          <w:sz w:val="20"/>
          <w:u w:val="none"/>
          <w:vertAlign w:val="baseline"/>
        </w:rPr>
        <w:t>The item or service must not be tied to the receipt of items or services from a particular provider or supplier.</w:t>
      </w:r>
    </w:p>
    <w:p>
      <w:pPr>
        <w:keepNext w:val="0"/>
        <w:spacing w:before="120" w:after="0" w:line="260" w:lineRule="atLeast"/>
        <w:ind w:left="1800" w:right="0"/>
        <w:jc w:val="both"/>
      </w:pPr>
      <w:r>
        <w:rPr>
          <w:b/>
        </w:rPr>
        <w:t xml:space="preserve">(6)  </w:t>
      </w:r>
      <w:r>
        <w:rPr>
          <w:rFonts w:ascii="arial" w:eastAsia="arial" w:hAnsi="arial" w:cs="arial"/>
          <w:b w:val="0"/>
          <w:i w:val="0"/>
          <w:strike w:val="0"/>
          <w:noProof w:val="0"/>
          <w:color w:val="000000"/>
          <w:position w:val="0"/>
          <w:sz w:val="20"/>
          <w:u w:val="none"/>
          <w:vertAlign w:val="baseline"/>
        </w:rPr>
        <w:t>The availability of items or services must not be advertised or promoted except that a beneficiary may be made aware of the availability of items or services at the time the beneficiary could reasonably benefit from them.</w:t>
      </w:r>
    </w:p>
    <w:p>
      <w:pPr>
        <w:keepNext w:val="0"/>
        <w:spacing w:before="120" w:after="0" w:line="260" w:lineRule="atLeast"/>
        <w:ind w:left="1800" w:right="0"/>
        <w:jc w:val="both"/>
      </w:pPr>
      <w:r>
        <w:rPr>
          <w:b/>
        </w:rPr>
        <w:t xml:space="preserve">(7)  </w:t>
      </w:r>
      <w:r>
        <w:rPr>
          <w:rFonts w:ascii="arial" w:eastAsia="arial" w:hAnsi="arial" w:cs="arial"/>
          <w:b w:val="0"/>
          <w:i w:val="0"/>
          <w:strike w:val="0"/>
          <w:noProof w:val="0"/>
          <w:color w:val="000000"/>
          <w:position w:val="0"/>
          <w:sz w:val="20"/>
          <w:u w:val="none"/>
          <w:vertAlign w:val="baseline"/>
        </w:rPr>
        <w:t>The cost of the item or service must not be shifted to another federal health care program, as defined at section 1128B(f) of the Act.</w:t>
      </w:r>
    </w:p>
    <w:p>
      <w:pPr>
        <w:keepNext w:val="0"/>
        <w:spacing w:before="120" w:after="0" w:line="260" w:lineRule="atLeast"/>
        <w:ind w:left="1440" w:right="0"/>
        <w:jc w:val="both"/>
      </w:pPr>
      <w:r>
        <w:rPr>
          <w:b/>
        </w:rPr>
        <w:t xml:space="preserve">(b) Technology provided to an FFS-CR beneficiary.  </w:t>
      </w:r>
      <w:r>
        <w:rPr>
          <w:rFonts w:ascii="arial" w:eastAsia="arial" w:hAnsi="arial" w:cs="arial"/>
          <w:b w:val="0"/>
          <w:i w:val="0"/>
          <w:strike w:val="0"/>
          <w:noProof w:val="0"/>
          <w:color w:val="000000"/>
          <w:position w:val="0"/>
          <w:sz w:val="20"/>
          <w:u w:val="none"/>
          <w:vertAlign w:val="baseline"/>
        </w:rPr>
        <w:t>Beneficiary engagement incentives involving technology are subject to the following additional conditions: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Items or services involving technology provided to a beneficiary may not exceed $ 1,000 in retail value for any one beneficiary in any one AMI care period or CABG care period.</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Items or services involving technology provided to a beneficiary must be the minimum necessary to advance a clinical goal, as listed in paragraph (c) of this section, for a beneficiary in an AMI care period or CABG care period.</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Items of technology exceeding $ 100 in retail value must--</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Remain the property of the FFS-CR participant; and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Be retrieved from the beneficiary at the end of the AMI care period or CABG care period. The FFS-CR participant must document all retrieval attempts, including the ultimate date of retrieval. Documented, diligent, good faith attempts to retrieve items of technology will be deemed to meet the retrieval requirement.</w:t>
      </w:r>
    </w:p>
    <w:p>
      <w:pPr>
        <w:keepNext w:val="0"/>
        <w:spacing w:before="120" w:after="0" w:line="260" w:lineRule="atLeast"/>
        <w:ind w:left="1440" w:right="0"/>
        <w:jc w:val="both"/>
      </w:pPr>
      <w:r>
        <w:rPr>
          <w:b/>
        </w:rPr>
        <w:t xml:space="preserve">(c) Clinical goals of the CR incentive payment model.  </w:t>
      </w:r>
      <w:r>
        <w:rPr>
          <w:rFonts w:ascii="arial" w:eastAsia="arial" w:hAnsi="arial" w:cs="arial"/>
          <w:b w:val="0"/>
          <w:i w:val="0"/>
          <w:strike w:val="0"/>
          <w:noProof w:val="0"/>
          <w:color w:val="000000"/>
          <w:position w:val="0"/>
          <w:sz w:val="20"/>
          <w:u w:val="none"/>
          <w:vertAlign w:val="baseline"/>
        </w:rPr>
        <w:t>The following are the clinical goals of the CR incentive payment model, which may be advanced through beneficiary incentives:</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Beneficiary adherence to drug regimens.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Beneficiary adherence to a care plan.</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Reduction of readmissions and complications resulting from treatment for AMI or CABG.</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Management of chronic diseases and conditions that may be affected by treatment for AMI or CABG.</w:t>
      </w:r>
    </w:p>
    <w:p>
      <w:pPr>
        <w:spacing w:before="120" w:line="240" w:lineRule="atLeast"/>
        <w:ind w:left="1440"/>
      </w:pPr>
      <w:r>
        <w:rPr>
          <w:b/>
        </w:rPr>
        <w:t xml:space="preserve">(d) Documentation of beneficiary engagement incentives.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FFS-CR participants must maintain documentation of items and services furnished as a beneficiary engagement incentive that exceed $ 25 in retail value.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 xml:space="preserve">The documentation established contemporaneously with the provision </w:t>
      </w:r>
      <w:r>
        <w:rPr>
          <w:rFonts w:ascii="arial" w:eastAsia="arial" w:hAnsi="arial" w:cs="arial"/>
          <w:b/>
          <w:i w:val="0"/>
          <w:strike w:val="0"/>
          <w:noProof w:val="0"/>
          <w:color w:val="000000"/>
          <w:position w:val="0"/>
          <w:sz w:val="20"/>
          <w:u w:val="none"/>
          <w:vertAlign w:val="baseline"/>
        </w:rPr>
        <w:t> [*651] </w:t>
      </w:r>
      <w:r>
        <w:rPr>
          <w:rFonts w:ascii="arial" w:eastAsia="arial" w:hAnsi="arial" w:cs="arial"/>
          <w:b w:val="0"/>
          <w:i w:val="0"/>
          <w:strike w:val="0"/>
          <w:noProof w:val="0"/>
          <w:color w:val="000000"/>
          <w:position w:val="0"/>
          <w:sz w:val="20"/>
          <w:u w:val="none"/>
          <w:vertAlign w:val="baseline"/>
        </w:rPr>
        <w:t xml:space="preserve"> of the items and services must include at least the following:</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date the incentive is provided.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identity of the beneficiary to whom the item or service was provided.</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documentation regarding items of technology exceeding $ 100 in retail must also include contemporaneous documentation of any attempt to retrieve technology at the end of an AMI care period or CABG care period as described in paragraph (b)(3) of this section.</w:t>
      </w:r>
    </w:p>
    <w:p>
      <w:pPr>
        <w:keepNext w:val="0"/>
        <w:spacing w:before="120" w:after="0" w:line="260" w:lineRule="atLeast"/>
        <w:ind w:left="1800" w:right="0"/>
        <w:jc w:val="both"/>
      </w:pPr>
      <w:r>
        <w:rPr>
          <w:b/>
        </w:rPr>
        <w:t xml:space="preserve">(4)  </w:t>
      </w:r>
      <w:r>
        <w:rPr>
          <w:rFonts w:ascii="arial" w:eastAsia="arial" w:hAnsi="arial" w:cs="arial"/>
          <w:b w:val="0"/>
          <w:i w:val="0"/>
          <w:strike w:val="0"/>
          <w:noProof w:val="0"/>
          <w:color w:val="000000"/>
          <w:position w:val="0"/>
          <w:sz w:val="20"/>
          <w:u w:val="none"/>
          <w:vertAlign w:val="baseline"/>
        </w:rPr>
        <w:t>The FFS-CR participant must retain and provide access to the required documentation in accordance with § 512.715.</w:t>
      </w:r>
    </w:p>
    <w:p>
      <w:pPr>
        <w:spacing w:before="120" w:line="240" w:lineRule="atLeast"/>
        <w:ind w:left="1080"/>
      </w:pPr>
      <w:r>
        <w:rPr>
          <w:b/>
        </w:rPr>
        <w:t xml:space="preserve">§ 512.745 Waiver of physician definition for furnishing CR and ICR services to a FFS-CR beneficiary.  </w:t>
      </w:r>
    </w:p>
    <w:p>
      <w:pPr>
        <w:keepNext w:val="0"/>
        <w:spacing w:before="120" w:after="0" w:line="260" w:lineRule="atLeast"/>
        <w:ind w:left="1440" w:right="0"/>
        <w:jc w:val="both"/>
      </w:pPr>
      <w:r>
        <w:rPr>
          <w:b/>
        </w:rPr>
        <w:t xml:space="preserve">(a) General.  </w:t>
      </w:r>
      <w:r>
        <w:rPr>
          <w:rFonts w:ascii="arial" w:eastAsia="arial" w:hAnsi="arial" w:cs="arial"/>
          <w:b w:val="0"/>
          <w:i w:val="0"/>
          <w:strike w:val="0"/>
          <w:noProof w:val="0"/>
          <w:color w:val="000000"/>
          <w:position w:val="0"/>
          <w:sz w:val="20"/>
          <w:u w:val="none"/>
          <w:vertAlign w:val="baseline"/>
        </w:rPr>
        <w:t>Section 410.49 of this chapter requires cardiac rehabilitation and intensive cardiac rehabilitation services to be furnished under the direction of a physician as defined in § 410.49(a) of this chapter.</w:t>
      </w:r>
    </w:p>
    <w:p>
      <w:pPr>
        <w:keepNext w:val="0"/>
        <w:spacing w:before="120" w:after="0" w:line="260" w:lineRule="atLeast"/>
        <w:ind w:left="1440" w:right="0"/>
        <w:jc w:val="both"/>
      </w:pPr>
      <w:r>
        <w:rPr>
          <w:b/>
        </w:rPr>
        <w:t xml:space="preserve">(b) Waiver of the physician definition.  </w:t>
      </w:r>
      <w:r>
        <w:rPr>
          <w:rFonts w:ascii="arial" w:eastAsia="arial" w:hAnsi="arial" w:cs="arial"/>
          <w:b w:val="0"/>
          <w:i w:val="0"/>
          <w:strike w:val="0"/>
          <w:noProof w:val="0"/>
          <w:color w:val="000000"/>
          <w:position w:val="0"/>
          <w:sz w:val="20"/>
          <w:u w:val="none"/>
          <w:vertAlign w:val="baseline"/>
        </w:rPr>
        <w:t>For a provider or supplier of CR or ICR services to a FFS-CR beneficiary during an AMI care period or CABG care period, as defined in § 512.2. CMS waives the physician definition to allow the functions of supervising physician, prescribing exercise, and establishing, reviewing, and signing an individualized treatment plan for CR or ICR services to be furnished under the direction of--</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 physician, as defined in section 1861(r)(1) of the Act; or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 qualified nonphysician practitioner, as defined by CMS.</w:t>
      </w:r>
    </w:p>
    <w:p>
      <w:pPr>
        <w:keepNext w:val="0"/>
        <w:spacing w:before="120" w:after="0" w:line="260" w:lineRule="atLeast"/>
        <w:ind w:left="1440" w:right="0"/>
        <w:jc w:val="both"/>
      </w:pPr>
      <w:r>
        <w:rPr>
          <w:b/>
        </w:rPr>
        <w:t xml:space="preserve">(c) Other definitions and requirements.  </w:t>
      </w:r>
      <w:r>
        <w:rPr>
          <w:rFonts w:ascii="arial" w:eastAsia="arial" w:hAnsi="arial" w:cs="arial"/>
          <w:b w:val="0"/>
          <w:i w:val="0"/>
          <w:strike w:val="0"/>
          <w:noProof w:val="0"/>
          <w:color w:val="000000"/>
          <w:position w:val="0"/>
          <w:sz w:val="20"/>
          <w:u w:val="none"/>
          <w:vertAlign w:val="baseline"/>
        </w:rPr>
        <w:t>All other definitions and requirements in § 410.49 of this chapter related to a physician or supervising physician continue to apply.</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Subparts I-J [Reserved]</w:t>
      </w:r>
    </w:p>
    <w:p>
      <w:pPr>
        <w:spacing w:before="120" w:line="240" w:lineRule="atLeast"/>
        <w:ind w:left="1080"/>
      </w:pPr>
      <w:r>
        <w:rPr>
          <w:b/>
        </w:rPr>
        <w:t xml:space="preserve">Subpart K-- Model Termination  </w:t>
      </w:r>
    </w:p>
    <w:p>
      <w:pPr>
        <w:spacing w:before="120" w:line="240" w:lineRule="atLeast"/>
        <w:ind w:left="1080"/>
      </w:pPr>
      <w:r>
        <w:rPr>
          <w:b/>
        </w:rPr>
        <w:t xml:space="preserve">§ 512.900 Termination of an episode payment model.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CMS may terminate any EPM for reasons including but not limited to:</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CMS no longer has the funds to support the EPM; or</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CMS terminates the EPM in accordance with section 1115A(b)(3)(B) of the Act. As provided by section 1115A(d)(2) of the Act, termination of the model is not subject to administrative or judicial review.</w:t>
      </w:r>
    </w:p>
    <w:p>
      <w:pPr>
        <w:spacing w:before="120" w:line="240" w:lineRule="atLeast"/>
        <w:ind w:left="1080"/>
      </w:pPr>
      <w:r>
        <w:rPr>
          <w:b/>
        </w:rPr>
        <w:t xml:space="preserve">§ 512.905 Termination of the CR incentive payment model.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CMS may terminate the CR incentive payment model for reasons including, but not limited to, one of the following:</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CMS no longer has the funds to support the CR incentive payment model.</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CMS terminates the CR incentive payment model in accordance with section 1115A(b)(3)(B) of the Act. As provided by section 1115A(d)(2) of the Act, termination of the model is not subject to administrative or judicial review.</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December 13, 2016.</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Andrew M. Slavitt,</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Acting Administrator, Centers for Medicare &amp; Medicaid Services.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December 15, 2016.</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Sylvia M. Burwell,</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Secretary, Department of Health and Human Services.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2016-30746 Filed 12-20-16; 4:15 pm]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4120-01-P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47"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Effective dates:</w:t>
      </w:r>
      <w:r>
        <w:rPr>
          <w:rFonts w:ascii="arial" w:eastAsia="arial" w:hAnsi="arial" w:cs="arial"/>
          <w:b w:val="0"/>
          <w:i w:val="0"/>
          <w:strike w:val="0"/>
          <w:noProof w:val="0"/>
          <w:color w:val="000000"/>
          <w:position w:val="0"/>
          <w:sz w:val="20"/>
          <w:u w:val="none"/>
          <w:vertAlign w:val="baseline"/>
        </w:rPr>
        <w:t xml:space="preserve"> This rule is effective February 18, 2017, except for the following amendatory instructions: number 3 amending 42 CFR 510.2; number 4 adding 42 CFR 510.110; number 6 amending 42 CFR 510.120; number 14 amending 42 CFR 510.405; number 15 42 CFR 510.410; number 16 revising 42 CFR 510.500; number 17 revising 42 CFR 510.505; number 18 adding 42 CFR 510.506; and number 19 amending 42 CFR 510.515, which are effective July 1, 2017.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Applicability date: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42 CFR part 512 are applicable July 1, 2017.</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48" style="position:absolute;z-index:251664384" from="0,2pt" to="512pt,2pt" strokecolor="#009ddb" strokeweight="2pt">
            <v:stroke linestyle="single"/>
            <w10:wrap type="topAndBottom"/>
          </v:line>
        </w:pict>
      </w:r>
    </w:p>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For questions related to the EPMs: </w:t>
      </w:r>
      <w:hyperlink r:id="rId148" w:history="1">
        <w:r>
          <w:rPr>
            <w:rFonts w:ascii="arial" w:eastAsia="arial" w:hAnsi="arial" w:cs="arial"/>
            <w:b w:val="0"/>
            <w:i/>
            <w:strike w:val="0"/>
            <w:noProof w:val="0"/>
            <w:color w:val="0077CC"/>
            <w:position w:val="0"/>
            <w:sz w:val="20"/>
            <w:u w:val="single"/>
            <w:vertAlign w:val="baseline"/>
          </w:rPr>
          <w:t>EPMRULE@cms.hhs.gov</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questions related to the CJR model: </w:t>
      </w:r>
      <w:hyperlink r:id="rId99" w:history="1">
        <w:r>
          <w:rPr>
            <w:rFonts w:ascii="arial" w:eastAsia="arial" w:hAnsi="arial" w:cs="arial"/>
            <w:b w:val="0"/>
            <w:i/>
            <w:strike w:val="0"/>
            <w:noProof w:val="0"/>
            <w:color w:val="0077CC"/>
            <w:position w:val="0"/>
            <w:sz w:val="20"/>
            <w:u w:val="single"/>
            <w:vertAlign w:val="baseline"/>
          </w:rPr>
          <w:t>CJR@cms.hhs.gov</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49"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82 FR 180</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00000C3"/>
    <w:multiLevelType w:val="multilevel"/>
    <w:tmpl w:val="000000C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00000C4"/>
    <w:multiLevelType w:val="multilevel"/>
    <w:tmpl w:val="000000C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00000C5"/>
    <w:multiLevelType w:val="multilevel"/>
    <w:tmpl w:val="000000C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00000C6"/>
    <w:multiLevelType w:val="multilevel"/>
    <w:tmpl w:val="000000C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00000C7"/>
    <w:multiLevelType w:val="multilevel"/>
    <w:tmpl w:val="000000C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00000C8"/>
    <w:multiLevelType w:val="multilevel"/>
    <w:tmpl w:val="000000C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00000C9"/>
    <w:multiLevelType w:val="multilevel"/>
    <w:tmpl w:val="000000C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00000CA"/>
    <w:multiLevelType w:val="multilevel"/>
    <w:tmpl w:val="000000C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00000CB"/>
    <w:multiLevelType w:val="multilevel"/>
    <w:tmpl w:val="000000C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00000CC"/>
    <w:multiLevelType w:val="multilevel"/>
    <w:tmpl w:val="000000C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00000CD"/>
    <w:multiLevelType w:val="multilevel"/>
    <w:tmpl w:val="000000C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00000CE"/>
    <w:multiLevelType w:val="multilevel"/>
    <w:tmpl w:val="000000C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00000CF"/>
    <w:multiLevelType w:val="multilevel"/>
    <w:tmpl w:val="000000C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00000D0"/>
    <w:multiLevelType w:val="multilevel"/>
    <w:tmpl w:val="000000D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00000D1"/>
    <w:multiLevelType w:val="multilevel"/>
    <w:tmpl w:val="000000D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00000D2"/>
    <w:multiLevelType w:val="multilevel"/>
    <w:tmpl w:val="000000D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00000D3"/>
    <w:multiLevelType w:val="multilevel"/>
    <w:tmpl w:val="000000D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00000D4"/>
    <w:multiLevelType w:val="multilevel"/>
    <w:tmpl w:val="000000D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00000D5"/>
    <w:multiLevelType w:val="multilevel"/>
    <w:tmpl w:val="000000D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00000D6"/>
    <w:multiLevelType w:val="multilevel"/>
    <w:tmpl w:val="000000D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00000D7"/>
    <w:multiLevelType w:val="multilevel"/>
    <w:tmpl w:val="000000D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00000D8"/>
    <w:multiLevelType w:val="multilevel"/>
    <w:tmpl w:val="000000D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00000D9"/>
    <w:multiLevelType w:val="multilevel"/>
    <w:tmpl w:val="000000D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00000DA"/>
    <w:multiLevelType w:val="multilevel"/>
    <w:tmpl w:val="000000D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00000DB"/>
    <w:multiLevelType w:val="multilevel"/>
    <w:tmpl w:val="000000D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00000DC"/>
    <w:multiLevelType w:val="multilevel"/>
    <w:tmpl w:val="000000D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00000DD"/>
    <w:multiLevelType w:val="multilevel"/>
    <w:tmpl w:val="000000D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00000DE"/>
    <w:multiLevelType w:val="multilevel"/>
    <w:tmpl w:val="000000D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00000DF"/>
    <w:multiLevelType w:val="multilevel"/>
    <w:tmpl w:val="000000D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00000E0"/>
    <w:multiLevelType w:val="multilevel"/>
    <w:tmpl w:val="000000E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00000E1"/>
    <w:multiLevelType w:val="multilevel"/>
    <w:tmpl w:val="000000E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00000E2"/>
    <w:multiLevelType w:val="multilevel"/>
    <w:tmpl w:val="000000E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00000E3"/>
    <w:multiLevelType w:val="multilevel"/>
    <w:tmpl w:val="000000E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00000E4"/>
    <w:multiLevelType w:val="multilevel"/>
    <w:tmpl w:val="000000E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00000E5"/>
    <w:multiLevelType w:val="multilevel"/>
    <w:tmpl w:val="000000E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00000E6"/>
    <w:multiLevelType w:val="multilevel"/>
    <w:tmpl w:val="000000E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00000E7"/>
    <w:multiLevelType w:val="multilevel"/>
    <w:tmpl w:val="000000E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00000E8"/>
    <w:multiLevelType w:val="multilevel"/>
    <w:tmpl w:val="000000E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2">
    <w:nsid w:val="000000E9"/>
    <w:multiLevelType w:val="multilevel"/>
    <w:tmpl w:val="000000E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3">
    <w:nsid w:val="000000EA"/>
    <w:multiLevelType w:val="multilevel"/>
    <w:tmpl w:val="000000E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4">
    <w:nsid w:val="000000EB"/>
    <w:multiLevelType w:val="multilevel"/>
    <w:tmpl w:val="000000E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nsid w:val="000000EC"/>
    <w:multiLevelType w:val="multilevel"/>
    <w:tmpl w:val="000000E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6">
    <w:nsid w:val="000000ED"/>
    <w:multiLevelType w:val="multilevel"/>
    <w:tmpl w:val="000000E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7">
    <w:nsid w:val="000000EE"/>
    <w:multiLevelType w:val="multilevel"/>
    <w:tmpl w:val="000000E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8">
    <w:nsid w:val="000000EF"/>
    <w:multiLevelType w:val="multilevel"/>
    <w:tmpl w:val="000000E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9">
    <w:nsid w:val="000000F0"/>
    <w:multiLevelType w:val="multilevel"/>
    <w:tmpl w:val="000000F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0">
    <w:nsid w:val="000000F1"/>
    <w:multiLevelType w:val="multilevel"/>
    <w:tmpl w:val="000000F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1">
    <w:nsid w:val="000000F2"/>
    <w:multiLevelType w:val="multilevel"/>
    <w:tmpl w:val="000000F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nsid w:val="000000F3"/>
    <w:multiLevelType w:val="multilevel"/>
    <w:tmpl w:val="000000F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3">
    <w:nsid w:val="000000F4"/>
    <w:multiLevelType w:val="multilevel"/>
    <w:tmpl w:val="000000F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4">
    <w:nsid w:val="000000F5"/>
    <w:multiLevelType w:val="multilevel"/>
    <w:tmpl w:val="000000F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5">
    <w:nsid w:val="000000F6"/>
    <w:multiLevelType w:val="multilevel"/>
    <w:tmpl w:val="000000F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6">
    <w:nsid w:val="000000F7"/>
    <w:multiLevelType w:val="multilevel"/>
    <w:tmpl w:val="000000F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7">
    <w:nsid w:val="000000F8"/>
    <w:multiLevelType w:val="multilevel"/>
    <w:tmpl w:val="000000F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8">
    <w:nsid w:val="000000F9"/>
    <w:multiLevelType w:val="multilevel"/>
    <w:tmpl w:val="000000F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nsid w:val="000000FA"/>
    <w:multiLevelType w:val="multilevel"/>
    <w:tmpl w:val="000000F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0">
    <w:nsid w:val="000000FB"/>
    <w:multiLevelType w:val="multilevel"/>
    <w:tmpl w:val="000000F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1">
    <w:nsid w:val="000000FC"/>
    <w:multiLevelType w:val="multilevel"/>
    <w:tmpl w:val="000000F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nsid w:val="000000FD"/>
    <w:multiLevelType w:val="multilevel"/>
    <w:tmpl w:val="000000F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3">
    <w:nsid w:val="000000FE"/>
    <w:multiLevelType w:val="multilevel"/>
    <w:tmpl w:val="000000F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4">
    <w:nsid w:val="000000FF"/>
    <w:multiLevelType w:val="multilevel"/>
    <w:tmpl w:val="000000F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5">
    <w:nsid w:val="00000100"/>
    <w:multiLevelType w:val="multilevel"/>
    <w:tmpl w:val="0000010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6">
    <w:nsid w:val="00000101"/>
    <w:multiLevelType w:val="multilevel"/>
    <w:tmpl w:val="0000010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7">
    <w:nsid w:val="00000102"/>
    <w:multiLevelType w:val="multilevel"/>
    <w:tmpl w:val="000001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8">
    <w:nsid w:val="00000103"/>
    <w:multiLevelType w:val="multilevel"/>
    <w:tmpl w:val="000001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9">
    <w:nsid w:val="00000104"/>
    <w:multiLevelType w:val="multilevel"/>
    <w:tmpl w:val="000001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0">
    <w:nsid w:val="00000105"/>
    <w:multiLevelType w:val="multilevel"/>
    <w:tmpl w:val="000001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1">
    <w:nsid w:val="00000106"/>
    <w:multiLevelType w:val="multilevel"/>
    <w:tmpl w:val="000001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00000107"/>
    <w:multiLevelType w:val="multilevel"/>
    <w:tmpl w:val="000001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00000108"/>
    <w:multiLevelType w:val="multilevel"/>
    <w:tmpl w:val="000001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4">
    <w:nsid w:val="00000109"/>
    <w:multiLevelType w:val="multilevel"/>
    <w:tmpl w:val="000001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5">
    <w:nsid w:val="0000010A"/>
    <w:multiLevelType w:val="multilevel"/>
    <w:tmpl w:val="000001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6">
    <w:nsid w:val="0000010B"/>
    <w:multiLevelType w:val="multilevel"/>
    <w:tmpl w:val="000001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7">
    <w:nsid w:val="0000010C"/>
    <w:multiLevelType w:val="multilevel"/>
    <w:tmpl w:val="000001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8">
    <w:nsid w:val="0000010D"/>
    <w:multiLevelType w:val="multilevel"/>
    <w:tmpl w:val="000001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9">
    <w:nsid w:val="0000010E"/>
    <w:multiLevelType w:val="multilevel"/>
    <w:tmpl w:val="0000010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0">
    <w:nsid w:val="0000010F"/>
    <w:multiLevelType w:val="multilevel"/>
    <w:tmpl w:val="000001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1">
    <w:nsid w:val="00000110"/>
    <w:multiLevelType w:val="multilevel"/>
    <w:tmpl w:val="000001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nsid w:val="00000111"/>
    <w:multiLevelType w:val="multilevel"/>
    <w:tmpl w:val="000001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nsid w:val="00000112"/>
    <w:multiLevelType w:val="multilevel"/>
    <w:tmpl w:val="000001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4">
    <w:nsid w:val="00000113"/>
    <w:multiLevelType w:val="multilevel"/>
    <w:tmpl w:val="000001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5">
    <w:nsid w:val="00000114"/>
    <w:multiLevelType w:val="multilevel"/>
    <w:tmpl w:val="000001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6">
    <w:nsid w:val="00000115"/>
    <w:multiLevelType w:val="multilevel"/>
    <w:tmpl w:val="000001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7">
    <w:nsid w:val="00000116"/>
    <w:multiLevelType w:val="multilevel"/>
    <w:tmpl w:val="000001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8">
    <w:nsid w:val="00000117"/>
    <w:multiLevelType w:val="multilevel"/>
    <w:tmpl w:val="000001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9">
    <w:nsid w:val="00000118"/>
    <w:multiLevelType w:val="multilevel"/>
    <w:tmpl w:val="000001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0">
    <w:nsid w:val="00000119"/>
    <w:multiLevelType w:val="multilevel"/>
    <w:tmpl w:val="000001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1">
    <w:nsid w:val="0000011A"/>
    <w:multiLevelType w:val="multilevel"/>
    <w:tmpl w:val="0000011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2">
    <w:nsid w:val="0000011B"/>
    <w:multiLevelType w:val="multilevel"/>
    <w:tmpl w:val="000001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3">
    <w:nsid w:val="0000011C"/>
    <w:multiLevelType w:val="multilevel"/>
    <w:tmpl w:val="0000011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nsid w:val="0000011D"/>
    <w:multiLevelType w:val="multilevel"/>
    <w:tmpl w:val="000001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5">
    <w:nsid w:val="0000011E"/>
    <w:multiLevelType w:val="multilevel"/>
    <w:tmpl w:val="000001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6">
    <w:nsid w:val="0000011F"/>
    <w:multiLevelType w:val="multilevel"/>
    <w:tmpl w:val="000001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7">
    <w:nsid w:val="00000120"/>
    <w:multiLevelType w:val="multilevel"/>
    <w:tmpl w:val="0000012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8">
    <w:nsid w:val="00000121"/>
    <w:multiLevelType w:val="multilevel"/>
    <w:tmpl w:val="000001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9">
    <w:nsid w:val="00000122"/>
    <w:multiLevelType w:val="multilevel"/>
    <w:tmpl w:val="0000012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0">
    <w:nsid w:val="00000123"/>
    <w:multiLevelType w:val="multilevel"/>
    <w:tmpl w:val="000001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1">
    <w:nsid w:val="00000124"/>
    <w:multiLevelType w:val="multilevel"/>
    <w:tmpl w:val="000001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2">
    <w:nsid w:val="00000125"/>
    <w:multiLevelType w:val="multilevel"/>
    <w:tmpl w:val="000001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3">
    <w:nsid w:val="00000126"/>
    <w:multiLevelType w:val="multilevel"/>
    <w:tmpl w:val="0000012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4">
    <w:nsid w:val="00000127"/>
    <w:multiLevelType w:val="multilevel"/>
    <w:tmpl w:val="000001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5">
    <w:nsid w:val="00000128"/>
    <w:multiLevelType w:val="multilevel"/>
    <w:tmpl w:val="000001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6">
    <w:nsid w:val="00000129"/>
    <w:multiLevelType w:val="multilevel"/>
    <w:tmpl w:val="000001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7">
    <w:nsid w:val="0000012A"/>
    <w:multiLevelType w:val="multilevel"/>
    <w:tmpl w:val="0000012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nsid w:val="0000012B"/>
    <w:multiLevelType w:val="multilevel"/>
    <w:tmpl w:val="000001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9">
    <w:nsid w:val="0000012C"/>
    <w:multiLevelType w:val="multilevel"/>
    <w:tmpl w:val="000001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0">
    <w:nsid w:val="0000012D"/>
    <w:multiLevelType w:val="multilevel"/>
    <w:tmpl w:val="0000012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1">
    <w:nsid w:val="0000012E"/>
    <w:multiLevelType w:val="multilevel"/>
    <w:tmpl w:val="000001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nsid w:val="0000012F"/>
    <w:multiLevelType w:val="multilevel"/>
    <w:tmpl w:val="0000012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3">
    <w:nsid w:val="00000130"/>
    <w:multiLevelType w:val="multilevel"/>
    <w:tmpl w:val="0000013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nsid w:val="00000131"/>
    <w:multiLevelType w:val="multilevel"/>
    <w:tmpl w:val="000001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5">
    <w:nsid w:val="00000132"/>
    <w:multiLevelType w:val="multilevel"/>
    <w:tmpl w:val="0000013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6">
    <w:nsid w:val="00000133"/>
    <w:multiLevelType w:val="multilevel"/>
    <w:tmpl w:val="000001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7">
    <w:nsid w:val="00000134"/>
    <w:multiLevelType w:val="multilevel"/>
    <w:tmpl w:val="000001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8">
    <w:nsid w:val="00000135"/>
    <w:multiLevelType w:val="multilevel"/>
    <w:tmpl w:val="000001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9">
    <w:nsid w:val="00000136"/>
    <w:multiLevelType w:val="multilevel"/>
    <w:tmpl w:val="0000013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0">
    <w:nsid w:val="00000137"/>
    <w:multiLevelType w:val="multilevel"/>
    <w:tmpl w:val="000001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1">
    <w:nsid w:val="00000138"/>
    <w:multiLevelType w:val="multilevel"/>
    <w:tmpl w:val="000001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2">
    <w:nsid w:val="00000139"/>
    <w:multiLevelType w:val="multilevel"/>
    <w:tmpl w:val="0000013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3">
    <w:nsid w:val="0000013A"/>
    <w:multiLevelType w:val="multilevel"/>
    <w:tmpl w:val="000001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4">
    <w:nsid w:val="0000013B"/>
    <w:multiLevelType w:val="multilevel"/>
    <w:tmpl w:val="000001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5">
    <w:nsid w:val="0000013C"/>
    <w:multiLevelType w:val="multilevel"/>
    <w:tmpl w:val="000001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6">
    <w:nsid w:val="0000013D"/>
    <w:multiLevelType w:val="multilevel"/>
    <w:tmpl w:val="0000013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7">
    <w:nsid w:val="0000013E"/>
    <w:multiLevelType w:val="multilevel"/>
    <w:tmpl w:val="000001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8">
    <w:nsid w:val="0000013F"/>
    <w:multiLevelType w:val="multilevel"/>
    <w:tmpl w:val="000001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9">
    <w:nsid w:val="00000140"/>
    <w:multiLevelType w:val="multilevel"/>
    <w:tmpl w:val="0000014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0">
    <w:nsid w:val="00000141"/>
    <w:multiLevelType w:val="multilevel"/>
    <w:tmpl w:val="0000014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nsid w:val="00000142"/>
    <w:multiLevelType w:val="multilevel"/>
    <w:tmpl w:val="0000014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2">
    <w:nsid w:val="00000143"/>
    <w:multiLevelType w:val="multilevel"/>
    <w:tmpl w:val="0000014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nsid w:val="00000144"/>
    <w:multiLevelType w:val="multilevel"/>
    <w:tmpl w:val="0000014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4">
    <w:nsid w:val="00000145"/>
    <w:multiLevelType w:val="multilevel"/>
    <w:tmpl w:val="000001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5">
    <w:nsid w:val="00000146"/>
    <w:multiLevelType w:val="multilevel"/>
    <w:tmpl w:val="0000014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6">
    <w:nsid w:val="00000147"/>
    <w:multiLevelType w:val="multilevel"/>
    <w:tmpl w:val="0000014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7">
    <w:nsid w:val="00000148"/>
    <w:multiLevelType w:val="multilevel"/>
    <w:tmpl w:val="000001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8">
    <w:nsid w:val="00000149"/>
    <w:multiLevelType w:val="multilevel"/>
    <w:tmpl w:val="0000014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9">
    <w:nsid w:val="0000014A"/>
    <w:multiLevelType w:val="multilevel"/>
    <w:tmpl w:val="0000014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nsid w:val="0000014B"/>
    <w:multiLevelType w:val="multilevel"/>
    <w:tmpl w:val="000001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1">
    <w:nsid w:val="0000014C"/>
    <w:multiLevelType w:val="multilevel"/>
    <w:tmpl w:val="0000014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nsid w:val="0000014D"/>
    <w:multiLevelType w:val="multilevel"/>
    <w:tmpl w:val="000001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3">
    <w:nsid w:val="0000014E"/>
    <w:multiLevelType w:val="multilevel"/>
    <w:tmpl w:val="000001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4">
    <w:nsid w:val="0000014F"/>
    <w:multiLevelType w:val="multilevel"/>
    <w:tmpl w:val="000001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5">
    <w:nsid w:val="00000150"/>
    <w:multiLevelType w:val="multilevel"/>
    <w:tmpl w:val="000001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6">
    <w:nsid w:val="00000151"/>
    <w:multiLevelType w:val="multilevel"/>
    <w:tmpl w:val="0000015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7">
    <w:nsid w:val="00000152"/>
    <w:multiLevelType w:val="multilevel"/>
    <w:tmpl w:val="000001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8">
    <w:nsid w:val="00000153"/>
    <w:multiLevelType w:val="multilevel"/>
    <w:tmpl w:val="000001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9">
    <w:nsid w:val="00000154"/>
    <w:multiLevelType w:val="multilevel"/>
    <w:tmpl w:val="0000015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0">
    <w:nsid w:val="00000155"/>
    <w:multiLevelType w:val="multilevel"/>
    <w:tmpl w:val="0000015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1">
    <w:nsid w:val="00000156"/>
    <w:multiLevelType w:val="multilevel"/>
    <w:tmpl w:val="0000015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2">
    <w:nsid w:val="00000157"/>
    <w:multiLevelType w:val="multilevel"/>
    <w:tmpl w:val="000001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3">
    <w:nsid w:val="00000158"/>
    <w:multiLevelType w:val="multilevel"/>
    <w:tmpl w:val="0000015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4">
    <w:nsid w:val="00000159"/>
    <w:multiLevelType w:val="multilevel"/>
    <w:tmpl w:val="0000015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5">
    <w:nsid w:val="0000015A"/>
    <w:multiLevelType w:val="multilevel"/>
    <w:tmpl w:val="000001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6">
    <w:nsid w:val="0000015B"/>
    <w:multiLevelType w:val="multilevel"/>
    <w:tmpl w:val="0000015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nsid w:val="0000015C"/>
    <w:multiLevelType w:val="multilevel"/>
    <w:tmpl w:val="0000015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8">
    <w:nsid w:val="0000015D"/>
    <w:multiLevelType w:val="multilevel"/>
    <w:tmpl w:val="0000015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nsid w:val="0000015E"/>
    <w:multiLevelType w:val="multilevel"/>
    <w:tmpl w:val="0000015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0">
    <w:nsid w:val="0000015F"/>
    <w:multiLevelType w:val="multilevel"/>
    <w:tmpl w:val="0000015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1">
    <w:nsid w:val="00000160"/>
    <w:multiLevelType w:val="multilevel"/>
    <w:tmpl w:val="0000016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nsid w:val="00000161"/>
    <w:multiLevelType w:val="multilevel"/>
    <w:tmpl w:val="0000016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3">
    <w:nsid w:val="00000162"/>
    <w:multiLevelType w:val="multilevel"/>
    <w:tmpl w:val="0000016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4">
    <w:nsid w:val="00000163"/>
    <w:multiLevelType w:val="multilevel"/>
    <w:tmpl w:val="0000016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5">
    <w:nsid w:val="00000164"/>
    <w:multiLevelType w:val="multilevel"/>
    <w:tmpl w:val="0000016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6">
    <w:nsid w:val="00000165"/>
    <w:multiLevelType w:val="multilevel"/>
    <w:tmpl w:val="0000016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7">
    <w:nsid w:val="00000166"/>
    <w:multiLevelType w:val="multilevel"/>
    <w:tmpl w:val="0000016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8">
    <w:nsid w:val="00000167"/>
    <w:multiLevelType w:val="multilevel"/>
    <w:tmpl w:val="0000016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9">
    <w:nsid w:val="00000168"/>
    <w:multiLevelType w:val="multilevel"/>
    <w:tmpl w:val="0000016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0">
    <w:nsid w:val="00000169"/>
    <w:multiLevelType w:val="multilevel"/>
    <w:tmpl w:val="0000016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1">
    <w:nsid w:val="0000016A"/>
    <w:multiLevelType w:val="multilevel"/>
    <w:tmpl w:val="0000016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2">
    <w:nsid w:val="0000016B"/>
    <w:multiLevelType w:val="multilevel"/>
    <w:tmpl w:val="0000016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nsid w:val="0000016C"/>
    <w:multiLevelType w:val="multilevel"/>
    <w:tmpl w:val="0000016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4">
    <w:nsid w:val="0000016D"/>
    <w:multiLevelType w:val="multilevel"/>
    <w:tmpl w:val="0000016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5">
    <w:nsid w:val="0000016E"/>
    <w:multiLevelType w:val="multilevel"/>
    <w:tmpl w:val="0000016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nsid w:val="0000016F"/>
    <w:multiLevelType w:val="multilevel"/>
    <w:tmpl w:val="0000016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7">
    <w:nsid w:val="00000170"/>
    <w:multiLevelType w:val="multilevel"/>
    <w:tmpl w:val="0000017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8">
    <w:nsid w:val="00000171"/>
    <w:multiLevelType w:val="multilevel"/>
    <w:tmpl w:val="0000017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9">
    <w:nsid w:val="00000172"/>
    <w:multiLevelType w:val="multilevel"/>
    <w:tmpl w:val="0000017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0">
    <w:nsid w:val="00000173"/>
    <w:multiLevelType w:val="multilevel"/>
    <w:tmpl w:val="0000017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1">
    <w:nsid w:val="00000174"/>
    <w:multiLevelType w:val="multilevel"/>
    <w:tmpl w:val="0000017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2">
    <w:nsid w:val="00000175"/>
    <w:multiLevelType w:val="multilevel"/>
    <w:tmpl w:val="0000017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3">
    <w:nsid w:val="00000176"/>
    <w:multiLevelType w:val="multilevel"/>
    <w:tmpl w:val="0000017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4">
    <w:nsid w:val="00000177"/>
    <w:multiLevelType w:val="multilevel"/>
    <w:tmpl w:val="0000017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5">
    <w:nsid w:val="00000178"/>
    <w:multiLevelType w:val="multilevel"/>
    <w:tmpl w:val="0000017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6">
    <w:nsid w:val="00000179"/>
    <w:multiLevelType w:val="multilevel"/>
    <w:tmpl w:val="0000017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nsid w:val="0000017A"/>
    <w:multiLevelType w:val="multilevel"/>
    <w:tmpl w:val="0000017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8">
    <w:nsid w:val="0000017B"/>
    <w:multiLevelType w:val="multilevel"/>
    <w:tmpl w:val="0000017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9">
    <w:nsid w:val="0000017C"/>
    <w:multiLevelType w:val="multilevel"/>
    <w:tmpl w:val="0000017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nsid w:val="0000017D"/>
    <w:multiLevelType w:val="multilevel"/>
    <w:tmpl w:val="0000017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1">
    <w:nsid w:val="0000017E"/>
    <w:multiLevelType w:val="multilevel"/>
    <w:tmpl w:val="0000017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2">
    <w:nsid w:val="0000017F"/>
    <w:multiLevelType w:val="multilevel"/>
    <w:tmpl w:val="0000017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3">
    <w:nsid w:val="00000180"/>
    <w:multiLevelType w:val="multilevel"/>
    <w:tmpl w:val="0000018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4">
    <w:nsid w:val="00000181"/>
    <w:multiLevelType w:val="multilevel"/>
    <w:tmpl w:val="0000018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5">
    <w:nsid w:val="00000182"/>
    <w:multiLevelType w:val="multilevel"/>
    <w:tmpl w:val="0000018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nsid w:val="00000183"/>
    <w:multiLevelType w:val="multilevel"/>
    <w:tmpl w:val="0000018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7">
    <w:nsid w:val="00000184"/>
    <w:multiLevelType w:val="multilevel"/>
    <w:tmpl w:val="0000018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8">
    <w:nsid w:val="00000185"/>
    <w:multiLevelType w:val="multilevel"/>
    <w:tmpl w:val="0000018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9">
    <w:nsid w:val="00000186"/>
    <w:multiLevelType w:val="multilevel"/>
    <w:tmpl w:val="0000018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0">
    <w:nsid w:val="00000187"/>
    <w:multiLevelType w:val="multilevel"/>
    <w:tmpl w:val="0000018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1">
    <w:nsid w:val="00000188"/>
    <w:multiLevelType w:val="multilevel"/>
    <w:tmpl w:val="0000018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2">
    <w:nsid w:val="00000189"/>
    <w:multiLevelType w:val="multilevel"/>
    <w:tmpl w:val="0000018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3">
    <w:nsid w:val="0000018A"/>
    <w:multiLevelType w:val="multilevel"/>
    <w:tmpl w:val="0000018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4">
    <w:nsid w:val="0000018B"/>
    <w:multiLevelType w:val="multilevel"/>
    <w:tmpl w:val="0000018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5">
    <w:nsid w:val="0000018C"/>
    <w:multiLevelType w:val="multilevel"/>
    <w:tmpl w:val="0000018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6">
    <w:nsid w:val="0000018D"/>
    <w:multiLevelType w:val="multilevel"/>
    <w:tmpl w:val="0000018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7">
    <w:nsid w:val="0000018E"/>
    <w:multiLevelType w:val="multilevel"/>
    <w:tmpl w:val="0000018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nsid w:val="0000018F"/>
    <w:multiLevelType w:val="multilevel"/>
    <w:tmpl w:val="0000018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nsid w:val="00000190"/>
    <w:multiLevelType w:val="multilevel"/>
    <w:tmpl w:val="0000019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nsid w:val="00000191"/>
    <w:multiLevelType w:val="multilevel"/>
    <w:tmpl w:val="0000019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nsid w:val="00000192"/>
    <w:multiLevelType w:val="multilevel"/>
    <w:tmpl w:val="0000019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nsid w:val="00000193"/>
    <w:multiLevelType w:val="multilevel"/>
    <w:tmpl w:val="0000019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nsid w:val="00000194"/>
    <w:multiLevelType w:val="multilevel"/>
    <w:tmpl w:val="0000019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nsid w:val="00000195"/>
    <w:multiLevelType w:val="multilevel"/>
    <w:tmpl w:val="0000019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5">
    <w:nsid w:val="00000196"/>
    <w:multiLevelType w:val="multilevel"/>
    <w:tmpl w:val="0000019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6">
    <w:nsid w:val="00000197"/>
    <w:multiLevelType w:val="multilevel"/>
    <w:tmpl w:val="0000019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nsid w:val="00000198"/>
    <w:multiLevelType w:val="multilevel"/>
    <w:tmpl w:val="0000019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nsid w:val="00000199"/>
    <w:multiLevelType w:val="multilevel"/>
    <w:tmpl w:val="0000019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9">
    <w:nsid w:val="0000019A"/>
    <w:multiLevelType w:val="multilevel"/>
    <w:tmpl w:val="0000019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0">
    <w:nsid w:val="0000019B"/>
    <w:multiLevelType w:val="multilevel"/>
    <w:tmpl w:val="0000019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1">
    <w:nsid w:val="0000019C"/>
    <w:multiLevelType w:val="multilevel"/>
    <w:tmpl w:val="0000019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2">
    <w:nsid w:val="0000019D"/>
    <w:multiLevelType w:val="multilevel"/>
    <w:tmpl w:val="0000019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3">
    <w:nsid w:val="0000019E"/>
    <w:multiLevelType w:val="multilevel"/>
    <w:tmpl w:val="0000019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4">
    <w:nsid w:val="0000019F"/>
    <w:multiLevelType w:val="multilevel"/>
    <w:tmpl w:val="0000019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5">
    <w:nsid w:val="000001A0"/>
    <w:multiLevelType w:val="multilevel"/>
    <w:tmpl w:val="000001A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6">
    <w:nsid w:val="000001A1"/>
    <w:multiLevelType w:val="multilevel"/>
    <w:tmpl w:val="000001A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7">
    <w:nsid w:val="000001A2"/>
    <w:multiLevelType w:val="multilevel"/>
    <w:tmpl w:val="000001A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000001A3"/>
    <w:multiLevelType w:val="multilevel"/>
    <w:tmpl w:val="000001A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nsid w:val="000001A4"/>
    <w:multiLevelType w:val="multilevel"/>
    <w:tmpl w:val="000001A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0">
    <w:nsid w:val="000001A5"/>
    <w:multiLevelType w:val="multilevel"/>
    <w:tmpl w:val="000001A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1">
    <w:nsid w:val="000001A6"/>
    <w:multiLevelType w:val="multilevel"/>
    <w:tmpl w:val="000001A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2">
    <w:nsid w:val="000001A7"/>
    <w:multiLevelType w:val="multilevel"/>
    <w:tmpl w:val="000001A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3">
    <w:nsid w:val="000001A8"/>
    <w:multiLevelType w:val="multilevel"/>
    <w:tmpl w:val="000001A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4">
    <w:nsid w:val="000001A9"/>
    <w:multiLevelType w:val="multilevel"/>
    <w:tmpl w:val="000001A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5">
    <w:nsid w:val="000001AA"/>
    <w:multiLevelType w:val="multilevel"/>
    <w:tmpl w:val="000001A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nsid w:val="000001AB"/>
    <w:multiLevelType w:val="multilevel"/>
    <w:tmpl w:val="000001A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nsid w:val="000001AC"/>
    <w:multiLevelType w:val="multilevel"/>
    <w:tmpl w:val="000001A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8">
    <w:nsid w:val="000001AD"/>
    <w:multiLevelType w:val="multilevel"/>
    <w:tmpl w:val="000001A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9">
    <w:nsid w:val="000001AE"/>
    <w:multiLevelType w:val="multilevel"/>
    <w:tmpl w:val="000001A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nsid w:val="000001AF"/>
    <w:multiLevelType w:val="multilevel"/>
    <w:tmpl w:val="000001A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nsid w:val="000001B0"/>
    <w:multiLevelType w:val="multilevel"/>
    <w:tmpl w:val="000001B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nsid w:val="000001B1"/>
    <w:multiLevelType w:val="multilevel"/>
    <w:tmpl w:val="000001B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nsid w:val="000001B2"/>
    <w:multiLevelType w:val="multilevel"/>
    <w:tmpl w:val="000001B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4">
    <w:nsid w:val="000001B3"/>
    <w:multiLevelType w:val="multilevel"/>
    <w:tmpl w:val="000001B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nsid w:val="000001B4"/>
    <w:multiLevelType w:val="multilevel"/>
    <w:tmpl w:val="000001B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nsid w:val="000001B5"/>
    <w:multiLevelType w:val="multilevel"/>
    <w:tmpl w:val="000001B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7">
    <w:nsid w:val="000001B6"/>
    <w:multiLevelType w:val="multilevel"/>
    <w:tmpl w:val="000001B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8">
    <w:nsid w:val="000001B7"/>
    <w:multiLevelType w:val="multilevel"/>
    <w:tmpl w:val="000001B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9">
    <w:nsid w:val="000001B8"/>
    <w:multiLevelType w:val="multilevel"/>
    <w:tmpl w:val="000001B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0">
    <w:nsid w:val="000001B9"/>
    <w:multiLevelType w:val="multilevel"/>
    <w:tmpl w:val="000001B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1">
    <w:nsid w:val="000001BA"/>
    <w:multiLevelType w:val="multilevel"/>
    <w:tmpl w:val="000001B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2">
    <w:nsid w:val="000001BB"/>
    <w:multiLevelType w:val="multilevel"/>
    <w:tmpl w:val="000001B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3">
    <w:nsid w:val="000001BC"/>
    <w:multiLevelType w:val="multilevel"/>
    <w:tmpl w:val="000001B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4">
    <w:nsid w:val="000001BD"/>
    <w:multiLevelType w:val="multilevel"/>
    <w:tmpl w:val="000001B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5">
    <w:nsid w:val="000001BE"/>
    <w:multiLevelType w:val="multilevel"/>
    <w:tmpl w:val="000001B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6">
    <w:nsid w:val="000001BF"/>
    <w:multiLevelType w:val="multilevel"/>
    <w:tmpl w:val="000001B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7">
    <w:nsid w:val="000001C0"/>
    <w:multiLevelType w:val="multilevel"/>
    <w:tmpl w:val="000001C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000001C1"/>
    <w:multiLevelType w:val="multilevel"/>
    <w:tmpl w:val="000001C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9">
    <w:nsid w:val="000001C2"/>
    <w:multiLevelType w:val="multilevel"/>
    <w:tmpl w:val="000001C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0">
    <w:nsid w:val="000001C3"/>
    <w:multiLevelType w:val="multilevel"/>
    <w:tmpl w:val="000001C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1">
    <w:nsid w:val="000001C4"/>
    <w:multiLevelType w:val="multilevel"/>
    <w:tmpl w:val="000001C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nsid w:val="000001C5"/>
    <w:multiLevelType w:val="multilevel"/>
    <w:tmpl w:val="000001C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nsid w:val="000001C6"/>
    <w:multiLevelType w:val="multilevel"/>
    <w:tmpl w:val="000001C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4">
    <w:nsid w:val="000001C7"/>
    <w:multiLevelType w:val="multilevel"/>
    <w:tmpl w:val="000001C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5">
    <w:nsid w:val="000001C8"/>
    <w:multiLevelType w:val="multilevel"/>
    <w:tmpl w:val="000001C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6">
    <w:nsid w:val="000001C9"/>
    <w:multiLevelType w:val="multilevel"/>
    <w:tmpl w:val="000001C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7">
    <w:nsid w:val="000001CA"/>
    <w:multiLevelType w:val="multilevel"/>
    <w:tmpl w:val="000001C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8">
    <w:nsid w:val="000001CB"/>
    <w:multiLevelType w:val="multilevel"/>
    <w:tmpl w:val="000001C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9">
    <w:nsid w:val="000001CC"/>
    <w:multiLevelType w:val="multilevel"/>
    <w:tmpl w:val="000001C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0">
    <w:nsid w:val="000001CD"/>
    <w:multiLevelType w:val="multilevel"/>
    <w:tmpl w:val="000001C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1">
    <w:nsid w:val="000001CE"/>
    <w:multiLevelType w:val="multilevel"/>
    <w:tmpl w:val="000001C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2">
    <w:nsid w:val="000001CF"/>
    <w:multiLevelType w:val="multilevel"/>
    <w:tmpl w:val="000001C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3">
    <w:nsid w:val="000001D0"/>
    <w:multiLevelType w:val="multilevel"/>
    <w:tmpl w:val="000001D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nsid w:val="000001D1"/>
    <w:multiLevelType w:val="multilevel"/>
    <w:tmpl w:val="000001D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nsid w:val="000001D2"/>
    <w:multiLevelType w:val="multilevel"/>
    <w:tmpl w:val="000001D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nsid w:val="000001D3"/>
    <w:multiLevelType w:val="multilevel"/>
    <w:tmpl w:val="000001D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7">
    <w:nsid w:val="000001D4"/>
    <w:multiLevelType w:val="multilevel"/>
    <w:tmpl w:val="000001D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8">
    <w:nsid w:val="000001D5"/>
    <w:multiLevelType w:val="multilevel"/>
    <w:tmpl w:val="000001D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9">
    <w:nsid w:val="000001D6"/>
    <w:multiLevelType w:val="multilevel"/>
    <w:tmpl w:val="000001D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0">
    <w:nsid w:val="000001D7"/>
    <w:multiLevelType w:val="multilevel"/>
    <w:tmpl w:val="000001D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1">
    <w:nsid w:val="000001D8"/>
    <w:multiLevelType w:val="multilevel"/>
    <w:tmpl w:val="000001D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2">
    <w:nsid w:val="000001D9"/>
    <w:multiLevelType w:val="multilevel"/>
    <w:tmpl w:val="000001D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3">
    <w:nsid w:val="000001DA"/>
    <w:multiLevelType w:val="multilevel"/>
    <w:tmpl w:val="000001D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4">
    <w:nsid w:val="000001DB"/>
    <w:multiLevelType w:val="multilevel"/>
    <w:tmpl w:val="000001D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5">
    <w:nsid w:val="000001DC"/>
    <w:multiLevelType w:val="multilevel"/>
    <w:tmpl w:val="000001D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6">
    <w:nsid w:val="000001DD"/>
    <w:multiLevelType w:val="multilevel"/>
    <w:tmpl w:val="000001D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nsid w:val="000001DE"/>
    <w:multiLevelType w:val="multilevel"/>
    <w:tmpl w:val="000001D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nsid w:val="000001DF"/>
    <w:multiLevelType w:val="multilevel"/>
    <w:tmpl w:val="000001D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9">
    <w:nsid w:val="000001E0"/>
    <w:multiLevelType w:val="multilevel"/>
    <w:tmpl w:val="000001E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0">
    <w:nsid w:val="000001E1"/>
    <w:multiLevelType w:val="multilevel"/>
    <w:tmpl w:val="000001E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1">
    <w:nsid w:val="000001E2"/>
    <w:multiLevelType w:val="multilevel"/>
    <w:tmpl w:val="000001E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2">
    <w:nsid w:val="000001E3"/>
    <w:multiLevelType w:val="multilevel"/>
    <w:tmpl w:val="000001E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3">
    <w:nsid w:val="000001E4"/>
    <w:multiLevelType w:val="multilevel"/>
    <w:tmpl w:val="000001E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4">
    <w:nsid w:val="000001E5"/>
    <w:multiLevelType w:val="multilevel"/>
    <w:tmpl w:val="000001E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5">
    <w:nsid w:val="000001E6"/>
    <w:multiLevelType w:val="multilevel"/>
    <w:tmpl w:val="000001E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6">
    <w:nsid w:val="000001E7"/>
    <w:multiLevelType w:val="multilevel"/>
    <w:tmpl w:val="000001E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7">
    <w:nsid w:val="000001E8"/>
    <w:multiLevelType w:val="multilevel"/>
    <w:tmpl w:val="000001E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8">
    <w:nsid w:val="000001E9"/>
    <w:multiLevelType w:val="multilevel"/>
    <w:tmpl w:val="000001E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nsid w:val="000001EA"/>
    <w:multiLevelType w:val="multilevel"/>
    <w:tmpl w:val="000001E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nsid w:val="000001EB"/>
    <w:multiLevelType w:val="multilevel"/>
    <w:tmpl w:val="000001E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nsid w:val="000001EC"/>
    <w:multiLevelType w:val="multilevel"/>
    <w:tmpl w:val="000001E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2">
    <w:nsid w:val="000001ED"/>
    <w:multiLevelType w:val="multilevel"/>
    <w:tmpl w:val="000001E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3">
    <w:nsid w:val="000001EE"/>
    <w:multiLevelType w:val="multilevel"/>
    <w:tmpl w:val="000001E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4">
    <w:nsid w:val="000001EF"/>
    <w:multiLevelType w:val="multilevel"/>
    <w:tmpl w:val="000001E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5">
    <w:nsid w:val="000001F0"/>
    <w:multiLevelType w:val="multilevel"/>
    <w:tmpl w:val="000001F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6">
    <w:nsid w:val="000001F1"/>
    <w:multiLevelType w:val="multilevel"/>
    <w:tmpl w:val="000001F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7">
    <w:nsid w:val="000001F2"/>
    <w:multiLevelType w:val="multilevel"/>
    <w:tmpl w:val="000001F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8">
    <w:nsid w:val="000001F3"/>
    <w:multiLevelType w:val="multilevel"/>
    <w:tmpl w:val="000001F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9">
    <w:nsid w:val="000001F4"/>
    <w:multiLevelType w:val="multilevel"/>
    <w:tmpl w:val="000001F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nsid w:val="000001F5"/>
    <w:multiLevelType w:val="multilevel"/>
    <w:tmpl w:val="000001F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nsid w:val="000001F6"/>
    <w:multiLevelType w:val="multilevel"/>
    <w:tmpl w:val="000001F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2">
    <w:nsid w:val="000001F7"/>
    <w:multiLevelType w:val="multilevel"/>
    <w:tmpl w:val="000001F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3">
    <w:nsid w:val="000001F8"/>
    <w:multiLevelType w:val="multilevel"/>
    <w:tmpl w:val="000001F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4">
    <w:nsid w:val="000001F9"/>
    <w:multiLevelType w:val="multilevel"/>
    <w:tmpl w:val="000001F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5">
    <w:nsid w:val="000001FA"/>
    <w:multiLevelType w:val="multilevel"/>
    <w:tmpl w:val="000001F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nsid w:val="000001FB"/>
    <w:multiLevelType w:val="multilevel"/>
    <w:tmpl w:val="000001F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nsid w:val="000001FC"/>
    <w:multiLevelType w:val="multilevel"/>
    <w:tmpl w:val="000001F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8">
    <w:nsid w:val="000001FD"/>
    <w:multiLevelType w:val="multilevel"/>
    <w:tmpl w:val="000001F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9">
    <w:nsid w:val="000001FE"/>
    <w:multiLevelType w:val="multilevel"/>
    <w:tmpl w:val="000001F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0">
    <w:nsid w:val="000001FF"/>
    <w:multiLevelType w:val="multilevel"/>
    <w:tmpl w:val="000001F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1">
    <w:nsid w:val="00000200"/>
    <w:multiLevelType w:val="multilevel"/>
    <w:tmpl w:val="0000020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2">
    <w:nsid w:val="00000201"/>
    <w:multiLevelType w:val="multilevel"/>
    <w:tmpl w:val="000002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3">
    <w:nsid w:val="00000202"/>
    <w:multiLevelType w:val="multilevel"/>
    <w:tmpl w:val="000002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4">
    <w:nsid w:val="00000203"/>
    <w:multiLevelType w:val="multilevel"/>
    <w:tmpl w:val="000002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5">
    <w:nsid w:val="00000204"/>
    <w:multiLevelType w:val="multilevel"/>
    <w:tmpl w:val="000002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nsid w:val="00000205"/>
    <w:multiLevelType w:val="multilevel"/>
    <w:tmpl w:val="000002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nsid w:val="00000206"/>
    <w:multiLevelType w:val="multilevel"/>
    <w:tmpl w:val="000002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8">
    <w:nsid w:val="00000207"/>
    <w:multiLevelType w:val="multilevel"/>
    <w:tmpl w:val="000002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9">
    <w:nsid w:val="00000208"/>
    <w:multiLevelType w:val="multilevel"/>
    <w:tmpl w:val="000002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nsid w:val="00000209"/>
    <w:multiLevelType w:val="multilevel"/>
    <w:tmpl w:val="000002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nsid w:val="0000020A"/>
    <w:multiLevelType w:val="multilevel"/>
    <w:tmpl w:val="000002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2">
    <w:nsid w:val="0000020B"/>
    <w:multiLevelType w:val="multilevel"/>
    <w:tmpl w:val="000002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3">
    <w:nsid w:val="0000020C"/>
    <w:multiLevelType w:val="multilevel"/>
    <w:tmpl w:val="000002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4">
    <w:nsid w:val="0000020D"/>
    <w:multiLevelType w:val="multilevel"/>
    <w:tmpl w:val="000002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5">
    <w:nsid w:val="0000020E"/>
    <w:multiLevelType w:val="multilevel"/>
    <w:tmpl w:val="0000020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6">
    <w:nsid w:val="0000020F"/>
    <w:multiLevelType w:val="multilevel"/>
    <w:tmpl w:val="000002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7">
    <w:nsid w:val="00000210"/>
    <w:multiLevelType w:val="multilevel"/>
    <w:tmpl w:val="000002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8">
    <w:nsid w:val="00000211"/>
    <w:multiLevelType w:val="multilevel"/>
    <w:tmpl w:val="000002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9">
    <w:nsid w:val="00000212"/>
    <w:multiLevelType w:val="multilevel"/>
    <w:tmpl w:val="000002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0">
    <w:nsid w:val="00000213"/>
    <w:multiLevelType w:val="multilevel"/>
    <w:tmpl w:val="000002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1">
    <w:nsid w:val="00000214"/>
    <w:multiLevelType w:val="multilevel"/>
    <w:tmpl w:val="000002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nsid w:val="00000215"/>
    <w:multiLevelType w:val="multilevel"/>
    <w:tmpl w:val="000002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3">
    <w:nsid w:val="00000216"/>
    <w:multiLevelType w:val="multilevel"/>
    <w:tmpl w:val="000002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nsid w:val="00000217"/>
    <w:multiLevelType w:val="multilevel"/>
    <w:tmpl w:val="000002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5">
    <w:nsid w:val="00000218"/>
    <w:multiLevelType w:val="multilevel"/>
    <w:tmpl w:val="000002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nsid w:val="00000219"/>
    <w:multiLevelType w:val="multilevel"/>
    <w:tmpl w:val="000002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7">
    <w:nsid w:val="0000021A"/>
    <w:multiLevelType w:val="multilevel"/>
    <w:tmpl w:val="000002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8">
    <w:nsid w:val="0000021B"/>
    <w:multiLevelType w:val="multilevel"/>
    <w:tmpl w:val="000002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9">
    <w:nsid w:val="0000021C"/>
    <w:multiLevelType w:val="multilevel"/>
    <w:tmpl w:val="000002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0">
    <w:nsid w:val="0000021D"/>
    <w:multiLevelType w:val="multilevel"/>
    <w:tmpl w:val="000002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1">
    <w:nsid w:val="0000021E"/>
    <w:multiLevelType w:val="multilevel"/>
    <w:tmpl w:val="0000021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2">
    <w:nsid w:val="0000021F"/>
    <w:multiLevelType w:val="multilevel"/>
    <w:tmpl w:val="000002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3">
    <w:nsid w:val="00000220"/>
    <w:multiLevelType w:val="multilevel"/>
    <w:tmpl w:val="000002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4">
    <w:nsid w:val="00000221"/>
    <w:multiLevelType w:val="multilevel"/>
    <w:tmpl w:val="000002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5">
    <w:nsid w:val="00000222"/>
    <w:multiLevelType w:val="multilevel"/>
    <w:tmpl w:val="0000022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6">
    <w:nsid w:val="00000223"/>
    <w:multiLevelType w:val="multilevel"/>
    <w:tmpl w:val="0000022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7">
    <w:nsid w:val="00000224"/>
    <w:multiLevelType w:val="multilevel"/>
    <w:tmpl w:val="000002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8">
    <w:nsid w:val="00000225"/>
    <w:multiLevelType w:val="multilevel"/>
    <w:tmpl w:val="0000022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9">
    <w:nsid w:val="00000226"/>
    <w:multiLevelType w:val="multilevel"/>
    <w:tmpl w:val="000002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0">
    <w:nsid w:val="00000227"/>
    <w:multiLevelType w:val="multilevel"/>
    <w:tmpl w:val="0000022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1">
    <w:nsid w:val="00000228"/>
    <w:multiLevelType w:val="multilevel"/>
    <w:tmpl w:val="000002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2">
    <w:nsid w:val="00000229"/>
    <w:multiLevelType w:val="multilevel"/>
    <w:tmpl w:val="000002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3">
    <w:nsid w:val="0000022A"/>
    <w:multiLevelType w:val="multilevel"/>
    <w:tmpl w:val="000002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4">
    <w:nsid w:val="0000022B"/>
    <w:multiLevelType w:val="multilevel"/>
    <w:tmpl w:val="0000022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5">
    <w:nsid w:val="0000022C"/>
    <w:multiLevelType w:val="multilevel"/>
    <w:tmpl w:val="000002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6">
    <w:nsid w:val="0000022D"/>
    <w:multiLevelType w:val="multilevel"/>
    <w:tmpl w:val="000002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7">
    <w:nsid w:val="0000022E"/>
    <w:multiLevelType w:val="multilevel"/>
    <w:tmpl w:val="000002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8">
    <w:nsid w:val="0000022F"/>
    <w:multiLevelType w:val="multilevel"/>
    <w:tmpl w:val="000002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9">
    <w:nsid w:val="00000230"/>
    <w:multiLevelType w:val="multilevel"/>
    <w:tmpl w:val="000002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0">
    <w:nsid w:val="00000231"/>
    <w:multiLevelType w:val="multilevel"/>
    <w:tmpl w:val="000002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1">
    <w:nsid w:val="00000232"/>
    <w:multiLevelType w:val="multilevel"/>
    <w:tmpl w:val="000002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2">
    <w:nsid w:val="00000233"/>
    <w:multiLevelType w:val="multilevel"/>
    <w:tmpl w:val="000002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3">
    <w:nsid w:val="00000234"/>
    <w:multiLevelType w:val="multilevel"/>
    <w:tmpl w:val="000002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4">
    <w:nsid w:val="00000235"/>
    <w:multiLevelType w:val="multilevel"/>
    <w:tmpl w:val="000002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5">
    <w:nsid w:val="00000236"/>
    <w:multiLevelType w:val="multilevel"/>
    <w:tmpl w:val="000002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6">
    <w:nsid w:val="00000237"/>
    <w:multiLevelType w:val="multilevel"/>
    <w:tmpl w:val="0000023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7">
    <w:nsid w:val="00000238"/>
    <w:multiLevelType w:val="multilevel"/>
    <w:tmpl w:val="0000023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8">
    <w:nsid w:val="00000239"/>
    <w:multiLevelType w:val="multilevel"/>
    <w:tmpl w:val="0000023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9">
    <w:nsid w:val="0000023A"/>
    <w:multiLevelType w:val="multilevel"/>
    <w:tmpl w:val="0000023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0">
    <w:nsid w:val="0000023B"/>
    <w:multiLevelType w:val="multilevel"/>
    <w:tmpl w:val="000002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1">
    <w:nsid w:val="0000023C"/>
    <w:multiLevelType w:val="multilevel"/>
    <w:tmpl w:val="0000023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2">
    <w:nsid w:val="0000023D"/>
    <w:multiLevelType w:val="multilevel"/>
    <w:tmpl w:val="000002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3">
    <w:nsid w:val="0000023E"/>
    <w:multiLevelType w:val="multilevel"/>
    <w:tmpl w:val="000002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4">
    <w:nsid w:val="0000023F"/>
    <w:multiLevelType w:val="multilevel"/>
    <w:tmpl w:val="000002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5">
    <w:nsid w:val="00000240"/>
    <w:multiLevelType w:val="multilevel"/>
    <w:tmpl w:val="0000024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6">
    <w:nsid w:val="00000241"/>
    <w:multiLevelType w:val="multilevel"/>
    <w:tmpl w:val="0000024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7">
    <w:nsid w:val="00000242"/>
    <w:multiLevelType w:val="multilevel"/>
    <w:tmpl w:val="0000024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8">
    <w:nsid w:val="00000243"/>
    <w:multiLevelType w:val="multilevel"/>
    <w:tmpl w:val="000002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9">
    <w:nsid w:val="00000244"/>
    <w:multiLevelType w:val="multilevel"/>
    <w:tmpl w:val="0000024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0">
    <w:nsid w:val="00000245"/>
    <w:multiLevelType w:val="multilevel"/>
    <w:tmpl w:val="000002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1">
    <w:nsid w:val="00000246"/>
    <w:multiLevelType w:val="multilevel"/>
    <w:tmpl w:val="0000024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2">
    <w:nsid w:val="00000247"/>
    <w:multiLevelType w:val="multilevel"/>
    <w:tmpl w:val="000002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3">
    <w:nsid w:val="00000248"/>
    <w:multiLevelType w:val="multilevel"/>
    <w:tmpl w:val="000002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4">
    <w:nsid w:val="00000249"/>
    <w:multiLevelType w:val="multilevel"/>
    <w:tmpl w:val="0000024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5">
    <w:nsid w:val="0000024A"/>
    <w:multiLevelType w:val="multilevel"/>
    <w:tmpl w:val="0000024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6">
    <w:nsid w:val="0000024B"/>
    <w:multiLevelType w:val="multilevel"/>
    <w:tmpl w:val="000002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7">
    <w:nsid w:val="0000024C"/>
    <w:multiLevelType w:val="multilevel"/>
    <w:tmpl w:val="0000024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8">
    <w:nsid w:val="0000024D"/>
    <w:multiLevelType w:val="multilevel"/>
    <w:tmpl w:val="000002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9">
    <w:nsid w:val="0000024E"/>
    <w:multiLevelType w:val="multilevel"/>
    <w:tmpl w:val="000002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0">
    <w:nsid w:val="0000024F"/>
    <w:multiLevelType w:val="multilevel"/>
    <w:tmpl w:val="000002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1">
    <w:nsid w:val="00000250"/>
    <w:multiLevelType w:val="multilevel"/>
    <w:tmpl w:val="0000025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2">
    <w:nsid w:val="00000251"/>
    <w:multiLevelType w:val="multilevel"/>
    <w:tmpl w:val="0000025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3">
    <w:nsid w:val="00000252"/>
    <w:multiLevelType w:val="multilevel"/>
    <w:tmpl w:val="0000025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4">
    <w:nsid w:val="00000253"/>
    <w:multiLevelType w:val="multilevel"/>
    <w:tmpl w:val="000002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5">
    <w:nsid w:val="00000254"/>
    <w:multiLevelType w:val="multilevel"/>
    <w:tmpl w:val="0000025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6">
    <w:nsid w:val="00000255"/>
    <w:multiLevelType w:val="multilevel"/>
    <w:tmpl w:val="0000025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7">
    <w:nsid w:val="00000256"/>
    <w:multiLevelType w:val="multilevel"/>
    <w:tmpl w:val="0000025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8">
    <w:nsid w:val="00000257"/>
    <w:multiLevelType w:val="multilevel"/>
    <w:tmpl w:val="000002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9">
    <w:nsid w:val="00000258"/>
    <w:multiLevelType w:val="multilevel"/>
    <w:tmpl w:val="0000025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0">
    <w:nsid w:val="00000259"/>
    <w:multiLevelType w:val="multilevel"/>
    <w:tmpl w:val="0000025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1">
    <w:nsid w:val="0000025A"/>
    <w:multiLevelType w:val="multilevel"/>
    <w:tmpl w:val="000002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2">
    <w:nsid w:val="0000025B"/>
    <w:multiLevelType w:val="multilevel"/>
    <w:tmpl w:val="0000025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3">
    <w:nsid w:val="0000025C"/>
    <w:multiLevelType w:val="multilevel"/>
    <w:tmpl w:val="0000025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4">
    <w:nsid w:val="0000025D"/>
    <w:multiLevelType w:val="multilevel"/>
    <w:tmpl w:val="0000025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5">
    <w:nsid w:val="0000025E"/>
    <w:multiLevelType w:val="multilevel"/>
    <w:tmpl w:val="0000025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6">
    <w:nsid w:val="0000025F"/>
    <w:multiLevelType w:val="multilevel"/>
    <w:tmpl w:val="0000025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7">
    <w:nsid w:val="00000260"/>
    <w:multiLevelType w:val="multilevel"/>
    <w:tmpl w:val="0000026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8">
    <w:nsid w:val="00000261"/>
    <w:multiLevelType w:val="multilevel"/>
    <w:tmpl w:val="0000026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9">
    <w:nsid w:val="00000262"/>
    <w:multiLevelType w:val="multilevel"/>
    <w:tmpl w:val="0000026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0">
    <w:nsid w:val="00000263"/>
    <w:multiLevelType w:val="multilevel"/>
    <w:tmpl w:val="0000026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1">
    <w:nsid w:val="00000264"/>
    <w:multiLevelType w:val="multilevel"/>
    <w:tmpl w:val="0000026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2">
    <w:nsid w:val="00000265"/>
    <w:multiLevelType w:val="multilevel"/>
    <w:tmpl w:val="0000026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3">
    <w:nsid w:val="00000266"/>
    <w:multiLevelType w:val="multilevel"/>
    <w:tmpl w:val="0000026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4">
    <w:nsid w:val="00000267"/>
    <w:multiLevelType w:val="multilevel"/>
    <w:tmpl w:val="0000026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5">
    <w:nsid w:val="00000268"/>
    <w:multiLevelType w:val="multilevel"/>
    <w:tmpl w:val="0000026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6">
    <w:nsid w:val="00000269"/>
    <w:multiLevelType w:val="multilevel"/>
    <w:tmpl w:val="0000026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7">
    <w:nsid w:val="0000026A"/>
    <w:multiLevelType w:val="multilevel"/>
    <w:tmpl w:val="0000026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8">
    <w:nsid w:val="0000026B"/>
    <w:multiLevelType w:val="multilevel"/>
    <w:tmpl w:val="0000026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9">
    <w:nsid w:val="0000026C"/>
    <w:multiLevelType w:val="multilevel"/>
    <w:tmpl w:val="0000026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0">
    <w:nsid w:val="0000026D"/>
    <w:multiLevelType w:val="multilevel"/>
    <w:tmpl w:val="0000026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1">
    <w:nsid w:val="0000026E"/>
    <w:multiLevelType w:val="multilevel"/>
    <w:tmpl w:val="0000026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2">
    <w:nsid w:val="0000026F"/>
    <w:multiLevelType w:val="multilevel"/>
    <w:tmpl w:val="0000026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3">
    <w:nsid w:val="00000270"/>
    <w:multiLevelType w:val="multilevel"/>
    <w:tmpl w:val="0000027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4">
    <w:nsid w:val="00000271"/>
    <w:multiLevelType w:val="multilevel"/>
    <w:tmpl w:val="0000027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5">
    <w:nsid w:val="00000272"/>
    <w:multiLevelType w:val="multilevel"/>
    <w:tmpl w:val="0000027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6">
    <w:nsid w:val="00000273"/>
    <w:multiLevelType w:val="multilevel"/>
    <w:tmpl w:val="0000027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7">
    <w:nsid w:val="00000274"/>
    <w:multiLevelType w:val="multilevel"/>
    <w:tmpl w:val="0000027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8">
    <w:nsid w:val="00000275"/>
    <w:multiLevelType w:val="multilevel"/>
    <w:tmpl w:val="0000027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9">
    <w:nsid w:val="00000276"/>
    <w:multiLevelType w:val="multilevel"/>
    <w:tmpl w:val="0000027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0">
    <w:nsid w:val="00000277"/>
    <w:multiLevelType w:val="multilevel"/>
    <w:tmpl w:val="0000027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1">
    <w:nsid w:val="00000278"/>
    <w:multiLevelType w:val="multilevel"/>
    <w:tmpl w:val="0000027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2">
    <w:nsid w:val="00000279"/>
    <w:multiLevelType w:val="multilevel"/>
    <w:tmpl w:val="0000027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3">
    <w:nsid w:val="0000027A"/>
    <w:multiLevelType w:val="multilevel"/>
    <w:tmpl w:val="0000027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4">
    <w:nsid w:val="0000027B"/>
    <w:multiLevelType w:val="multilevel"/>
    <w:tmpl w:val="0000027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5">
    <w:nsid w:val="0000027C"/>
    <w:multiLevelType w:val="multilevel"/>
    <w:tmpl w:val="0000027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6">
    <w:nsid w:val="0000027D"/>
    <w:multiLevelType w:val="multilevel"/>
    <w:tmpl w:val="0000027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7">
    <w:nsid w:val="0000027E"/>
    <w:multiLevelType w:val="multilevel"/>
    <w:tmpl w:val="0000027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8">
    <w:nsid w:val="0000027F"/>
    <w:multiLevelType w:val="multilevel"/>
    <w:tmpl w:val="0000027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9">
    <w:nsid w:val="00000280"/>
    <w:multiLevelType w:val="multilevel"/>
    <w:tmpl w:val="0000028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0">
    <w:nsid w:val="00000281"/>
    <w:multiLevelType w:val="multilevel"/>
    <w:tmpl w:val="0000028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1">
    <w:nsid w:val="00000282"/>
    <w:multiLevelType w:val="multilevel"/>
    <w:tmpl w:val="0000028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2">
    <w:nsid w:val="00000283"/>
    <w:multiLevelType w:val="multilevel"/>
    <w:tmpl w:val="0000028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3">
    <w:nsid w:val="00000284"/>
    <w:multiLevelType w:val="multilevel"/>
    <w:tmpl w:val="0000028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4">
    <w:nsid w:val="00000285"/>
    <w:multiLevelType w:val="multilevel"/>
    <w:tmpl w:val="0000028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5">
    <w:nsid w:val="00000286"/>
    <w:multiLevelType w:val="multilevel"/>
    <w:tmpl w:val="0000028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6">
    <w:nsid w:val="00000287"/>
    <w:multiLevelType w:val="multilevel"/>
    <w:tmpl w:val="0000028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7">
    <w:nsid w:val="00000288"/>
    <w:multiLevelType w:val="multilevel"/>
    <w:tmpl w:val="0000028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8">
    <w:nsid w:val="00000289"/>
    <w:multiLevelType w:val="multilevel"/>
    <w:tmpl w:val="0000028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9">
    <w:nsid w:val="0000028A"/>
    <w:multiLevelType w:val="multilevel"/>
    <w:tmpl w:val="0000028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0">
    <w:nsid w:val="0000028B"/>
    <w:multiLevelType w:val="multilevel"/>
    <w:tmpl w:val="0000028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1">
    <w:nsid w:val="0000028C"/>
    <w:multiLevelType w:val="multilevel"/>
    <w:tmpl w:val="0000028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2">
    <w:nsid w:val="0000028D"/>
    <w:multiLevelType w:val="multilevel"/>
    <w:tmpl w:val="0000028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3">
    <w:nsid w:val="0000028E"/>
    <w:multiLevelType w:val="multilevel"/>
    <w:tmpl w:val="0000028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4">
    <w:nsid w:val="0000028F"/>
    <w:multiLevelType w:val="multilevel"/>
    <w:tmpl w:val="0000028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5">
    <w:nsid w:val="00000290"/>
    <w:multiLevelType w:val="multilevel"/>
    <w:tmpl w:val="0000029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6">
    <w:nsid w:val="00000291"/>
    <w:multiLevelType w:val="multilevel"/>
    <w:tmpl w:val="0000029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7">
    <w:nsid w:val="00000292"/>
    <w:multiLevelType w:val="multilevel"/>
    <w:tmpl w:val="0000029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8">
    <w:nsid w:val="00000293"/>
    <w:multiLevelType w:val="multilevel"/>
    <w:tmpl w:val="0000029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9">
    <w:nsid w:val="00000294"/>
    <w:multiLevelType w:val="multilevel"/>
    <w:tmpl w:val="0000029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0">
    <w:nsid w:val="00000295"/>
    <w:multiLevelType w:val="multilevel"/>
    <w:tmpl w:val="0000029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1">
    <w:nsid w:val="00000296"/>
    <w:multiLevelType w:val="multilevel"/>
    <w:tmpl w:val="0000029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2">
    <w:nsid w:val="00000297"/>
    <w:multiLevelType w:val="multilevel"/>
    <w:tmpl w:val="0000029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3">
    <w:nsid w:val="00000298"/>
    <w:multiLevelType w:val="multilevel"/>
    <w:tmpl w:val="0000029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4">
    <w:nsid w:val="00000299"/>
    <w:multiLevelType w:val="multilevel"/>
    <w:tmpl w:val="0000029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5">
    <w:nsid w:val="0000029A"/>
    <w:multiLevelType w:val="multilevel"/>
    <w:tmpl w:val="0000029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6">
    <w:nsid w:val="0000029B"/>
    <w:multiLevelType w:val="multilevel"/>
    <w:tmpl w:val="0000029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7">
    <w:nsid w:val="0000029C"/>
    <w:multiLevelType w:val="multilevel"/>
    <w:tmpl w:val="0000029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8">
    <w:nsid w:val="0000029D"/>
    <w:multiLevelType w:val="multilevel"/>
    <w:tmpl w:val="0000029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9">
    <w:nsid w:val="0000029E"/>
    <w:multiLevelType w:val="multilevel"/>
    <w:tmpl w:val="0000029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0">
    <w:nsid w:val="0000029F"/>
    <w:multiLevelType w:val="multilevel"/>
    <w:tmpl w:val="0000029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1">
    <w:nsid w:val="000002A0"/>
    <w:multiLevelType w:val="multilevel"/>
    <w:tmpl w:val="000002A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2">
    <w:nsid w:val="000002A1"/>
    <w:multiLevelType w:val="multilevel"/>
    <w:tmpl w:val="000002A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3">
    <w:nsid w:val="000002A2"/>
    <w:multiLevelType w:val="multilevel"/>
    <w:tmpl w:val="000002A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4">
    <w:nsid w:val="000002A3"/>
    <w:multiLevelType w:val="multilevel"/>
    <w:tmpl w:val="000002A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5">
    <w:nsid w:val="000002A4"/>
    <w:multiLevelType w:val="multilevel"/>
    <w:tmpl w:val="000002A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6">
    <w:nsid w:val="000002A5"/>
    <w:multiLevelType w:val="multilevel"/>
    <w:tmpl w:val="000002A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7">
    <w:nsid w:val="000002A6"/>
    <w:multiLevelType w:val="multilevel"/>
    <w:tmpl w:val="000002A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8">
    <w:nsid w:val="000002A7"/>
    <w:multiLevelType w:val="multilevel"/>
    <w:tmpl w:val="000002A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9">
    <w:nsid w:val="000002A8"/>
    <w:multiLevelType w:val="multilevel"/>
    <w:tmpl w:val="000002A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0">
    <w:nsid w:val="000002A9"/>
    <w:multiLevelType w:val="multilevel"/>
    <w:tmpl w:val="000002A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1">
    <w:nsid w:val="000002AA"/>
    <w:multiLevelType w:val="multilevel"/>
    <w:tmpl w:val="000002A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2">
    <w:nsid w:val="000002AB"/>
    <w:multiLevelType w:val="multilevel"/>
    <w:tmpl w:val="000002A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3">
    <w:nsid w:val="000002AC"/>
    <w:multiLevelType w:val="multilevel"/>
    <w:tmpl w:val="000002A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4">
    <w:nsid w:val="000002AD"/>
    <w:multiLevelType w:val="multilevel"/>
    <w:tmpl w:val="000002A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5">
    <w:nsid w:val="000002AE"/>
    <w:multiLevelType w:val="multilevel"/>
    <w:tmpl w:val="000002A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6">
    <w:nsid w:val="000002AF"/>
    <w:multiLevelType w:val="multilevel"/>
    <w:tmpl w:val="000002A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7">
    <w:nsid w:val="000002B0"/>
    <w:multiLevelType w:val="multilevel"/>
    <w:tmpl w:val="000002B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8">
    <w:nsid w:val="000002B1"/>
    <w:multiLevelType w:val="multilevel"/>
    <w:tmpl w:val="000002B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9">
    <w:nsid w:val="000002B2"/>
    <w:multiLevelType w:val="multilevel"/>
    <w:tmpl w:val="000002B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0">
    <w:nsid w:val="000002B3"/>
    <w:multiLevelType w:val="multilevel"/>
    <w:tmpl w:val="000002B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1">
    <w:nsid w:val="000002B4"/>
    <w:multiLevelType w:val="multilevel"/>
    <w:tmpl w:val="000002B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2">
    <w:nsid w:val="000002B5"/>
    <w:multiLevelType w:val="multilevel"/>
    <w:tmpl w:val="000002B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3">
    <w:nsid w:val="000002B6"/>
    <w:multiLevelType w:val="multilevel"/>
    <w:tmpl w:val="000002B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4">
    <w:nsid w:val="000002B7"/>
    <w:multiLevelType w:val="multilevel"/>
    <w:tmpl w:val="000002B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5">
    <w:nsid w:val="000002B8"/>
    <w:multiLevelType w:val="multilevel"/>
    <w:tmpl w:val="000002B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6">
    <w:nsid w:val="000002B9"/>
    <w:multiLevelType w:val="multilevel"/>
    <w:tmpl w:val="000002B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7">
    <w:nsid w:val="000002BA"/>
    <w:multiLevelType w:val="multilevel"/>
    <w:tmpl w:val="000002B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8">
    <w:nsid w:val="000002BB"/>
    <w:multiLevelType w:val="multilevel"/>
    <w:tmpl w:val="000002B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9">
    <w:nsid w:val="000002BC"/>
    <w:multiLevelType w:val="multilevel"/>
    <w:tmpl w:val="000002B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0">
    <w:nsid w:val="000002BD"/>
    <w:multiLevelType w:val="multilevel"/>
    <w:tmpl w:val="000002B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1">
    <w:nsid w:val="000002BE"/>
    <w:multiLevelType w:val="multilevel"/>
    <w:tmpl w:val="000002B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2">
    <w:nsid w:val="000002BF"/>
    <w:multiLevelType w:val="multilevel"/>
    <w:tmpl w:val="000002B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3">
    <w:nsid w:val="000002C0"/>
    <w:multiLevelType w:val="multilevel"/>
    <w:tmpl w:val="000002C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4">
    <w:nsid w:val="000002C1"/>
    <w:multiLevelType w:val="multilevel"/>
    <w:tmpl w:val="000002C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5">
    <w:nsid w:val="000002C2"/>
    <w:multiLevelType w:val="multilevel"/>
    <w:tmpl w:val="000002C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6">
    <w:nsid w:val="000002C3"/>
    <w:multiLevelType w:val="multilevel"/>
    <w:tmpl w:val="000002C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7">
    <w:nsid w:val="000002C4"/>
    <w:multiLevelType w:val="multilevel"/>
    <w:tmpl w:val="000002C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8">
    <w:nsid w:val="000002C5"/>
    <w:multiLevelType w:val="multilevel"/>
    <w:tmpl w:val="000002C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9">
    <w:nsid w:val="000002C6"/>
    <w:multiLevelType w:val="multilevel"/>
    <w:tmpl w:val="000002C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0">
    <w:nsid w:val="000002C7"/>
    <w:multiLevelType w:val="multilevel"/>
    <w:tmpl w:val="000002C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1">
    <w:nsid w:val="000002C8"/>
    <w:multiLevelType w:val="multilevel"/>
    <w:tmpl w:val="000002C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2">
    <w:nsid w:val="000002C9"/>
    <w:multiLevelType w:val="multilevel"/>
    <w:tmpl w:val="000002C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3">
    <w:nsid w:val="000002CA"/>
    <w:multiLevelType w:val="multilevel"/>
    <w:tmpl w:val="000002C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4">
    <w:nsid w:val="000002CB"/>
    <w:multiLevelType w:val="multilevel"/>
    <w:tmpl w:val="000002C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5">
    <w:nsid w:val="000002CC"/>
    <w:multiLevelType w:val="multilevel"/>
    <w:tmpl w:val="000002C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6">
    <w:nsid w:val="000002CD"/>
    <w:multiLevelType w:val="multilevel"/>
    <w:tmpl w:val="000002C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7">
    <w:nsid w:val="000002CE"/>
    <w:multiLevelType w:val="multilevel"/>
    <w:tmpl w:val="000002C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8">
    <w:nsid w:val="000002CF"/>
    <w:multiLevelType w:val="multilevel"/>
    <w:tmpl w:val="000002C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9">
    <w:nsid w:val="000002D0"/>
    <w:multiLevelType w:val="multilevel"/>
    <w:tmpl w:val="000002D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0">
    <w:nsid w:val="000002D1"/>
    <w:multiLevelType w:val="multilevel"/>
    <w:tmpl w:val="000002D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1">
    <w:nsid w:val="000002D2"/>
    <w:multiLevelType w:val="multilevel"/>
    <w:tmpl w:val="000002D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2">
    <w:nsid w:val="000002D3"/>
    <w:multiLevelType w:val="multilevel"/>
    <w:tmpl w:val="000002D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3">
    <w:nsid w:val="000002D4"/>
    <w:multiLevelType w:val="multilevel"/>
    <w:tmpl w:val="000002D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4">
    <w:nsid w:val="000002D5"/>
    <w:multiLevelType w:val="multilevel"/>
    <w:tmpl w:val="000002D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5">
    <w:nsid w:val="000002D6"/>
    <w:multiLevelType w:val="multilevel"/>
    <w:tmpl w:val="000002D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6">
    <w:nsid w:val="000002D7"/>
    <w:multiLevelType w:val="multilevel"/>
    <w:tmpl w:val="000002D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7">
    <w:nsid w:val="000002D8"/>
    <w:multiLevelType w:val="multilevel"/>
    <w:tmpl w:val="000002D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8">
    <w:nsid w:val="000002D9"/>
    <w:multiLevelType w:val="multilevel"/>
    <w:tmpl w:val="000002D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9">
    <w:nsid w:val="000002DA"/>
    <w:multiLevelType w:val="multilevel"/>
    <w:tmpl w:val="000002D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0">
    <w:nsid w:val="000002DB"/>
    <w:multiLevelType w:val="multilevel"/>
    <w:tmpl w:val="000002D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1">
    <w:nsid w:val="000002DC"/>
    <w:multiLevelType w:val="multilevel"/>
    <w:tmpl w:val="000002D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2">
    <w:nsid w:val="000002DD"/>
    <w:multiLevelType w:val="multilevel"/>
    <w:tmpl w:val="000002D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3">
    <w:nsid w:val="000002DE"/>
    <w:multiLevelType w:val="multilevel"/>
    <w:tmpl w:val="000002D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4">
    <w:nsid w:val="000002DF"/>
    <w:multiLevelType w:val="multilevel"/>
    <w:tmpl w:val="000002D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5">
    <w:nsid w:val="000002E0"/>
    <w:multiLevelType w:val="multilevel"/>
    <w:tmpl w:val="000002E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6">
    <w:nsid w:val="000002E1"/>
    <w:multiLevelType w:val="multilevel"/>
    <w:tmpl w:val="000002E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7">
    <w:nsid w:val="000002E2"/>
    <w:multiLevelType w:val="multilevel"/>
    <w:tmpl w:val="000002E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8">
    <w:nsid w:val="000002E3"/>
    <w:multiLevelType w:val="multilevel"/>
    <w:tmpl w:val="000002E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9">
    <w:nsid w:val="000002E4"/>
    <w:multiLevelType w:val="multilevel"/>
    <w:tmpl w:val="000002E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0">
    <w:nsid w:val="000002E5"/>
    <w:multiLevelType w:val="multilevel"/>
    <w:tmpl w:val="000002E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1">
    <w:nsid w:val="000002E6"/>
    <w:multiLevelType w:val="multilevel"/>
    <w:tmpl w:val="000002E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2">
    <w:nsid w:val="000002E7"/>
    <w:multiLevelType w:val="multilevel"/>
    <w:tmpl w:val="000002E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3">
    <w:nsid w:val="000002E8"/>
    <w:multiLevelType w:val="multilevel"/>
    <w:tmpl w:val="000002E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4">
    <w:nsid w:val="000002E9"/>
    <w:multiLevelType w:val="multilevel"/>
    <w:tmpl w:val="000002E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5">
    <w:nsid w:val="000002EA"/>
    <w:multiLevelType w:val="multilevel"/>
    <w:tmpl w:val="000002E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6">
    <w:nsid w:val="000002EB"/>
    <w:multiLevelType w:val="multilevel"/>
    <w:tmpl w:val="000002E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7">
    <w:nsid w:val="000002EC"/>
    <w:multiLevelType w:val="multilevel"/>
    <w:tmpl w:val="000002E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8">
    <w:nsid w:val="000002ED"/>
    <w:multiLevelType w:val="multilevel"/>
    <w:tmpl w:val="000002E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9">
    <w:nsid w:val="000002EE"/>
    <w:multiLevelType w:val="multilevel"/>
    <w:tmpl w:val="000002E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0">
    <w:nsid w:val="000002EF"/>
    <w:multiLevelType w:val="multilevel"/>
    <w:tmpl w:val="000002E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1">
    <w:nsid w:val="000002F0"/>
    <w:multiLevelType w:val="multilevel"/>
    <w:tmpl w:val="000002F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2">
    <w:nsid w:val="000002F1"/>
    <w:multiLevelType w:val="multilevel"/>
    <w:tmpl w:val="000002F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3">
    <w:nsid w:val="000002F2"/>
    <w:multiLevelType w:val="multilevel"/>
    <w:tmpl w:val="000002F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4">
    <w:nsid w:val="000002F3"/>
    <w:multiLevelType w:val="multilevel"/>
    <w:tmpl w:val="000002F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5">
    <w:nsid w:val="000002F4"/>
    <w:multiLevelType w:val="multilevel"/>
    <w:tmpl w:val="000002F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6">
    <w:nsid w:val="000002F5"/>
    <w:multiLevelType w:val="multilevel"/>
    <w:tmpl w:val="000002F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7">
    <w:nsid w:val="000002F6"/>
    <w:multiLevelType w:val="multilevel"/>
    <w:tmpl w:val="000002F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8">
    <w:nsid w:val="000002F7"/>
    <w:multiLevelType w:val="multilevel"/>
    <w:tmpl w:val="000002F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9">
    <w:nsid w:val="000002F8"/>
    <w:multiLevelType w:val="multilevel"/>
    <w:tmpl w:val="000002F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0">
    <w:nsid w:val="000002F9"/>
    <w:multiLevelType w:val="multilevel"/>
    <w:tmpl w:val="000002F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1">
    <w:nsid w:val="000002FA"/>
    <w:multiLevelType w:val="multilevel"/>
    <w:tmpl w:val="000002F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2">
    <w:nsid w:val="000002FB"/>
    <w:multiLevelType w:val="multilevel"/>
    <w:tmpl w:val="000002F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3">
    <w:nsid w:val="000002FC"/>
    <w:multiLevelType w:val="multilevel"/>
    <w:tmpl w:val="000002F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4">
    <w:nsid w:val="000002FD"/>
    <w:multiLevelType w:val="multilevel"/>
    <w:tmpl w:val="000002F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5">
    <w:nsid w:val="000002FE"/>
    <w:multiLevelType w:val="multilevel"/>
    <w:tmpl w:val="000002F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6">
    <w:nsid w:val="000002FF"/>
    <w:multiLevelType w:val="multilevel"/>
    <w:tmpl w:val="000002F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7">
    <w:nsid w:val="00000300"/>
    <w:multiLevelType w:val="multilevel"/>
    <w:tmpl w:val="0000030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8">
    <w:nsid w:val="00000301"/>
    <w:multiLevelType w:val="multilevel"/>
    <w:tmpl w:val="0000030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9">
    <w:nsid w:val="00000302"/>
    <w:multiLevelType w:val="multilevel"/>
    <w:tmpl w:val="000003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0">
    <w:nsid w:val="00000303"/>
    <w:multiLevelType w:val="multilevel"/>
    <w:tmpl w:val="000003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1">
    <w:nsid w:val="00000304"/>
    <w:multiLevelType w:val="multilevel"/>
    <w:tmpl w:val="000003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2">
    <w:nsid w:val="00000305"/>
    <w:multiLevelType w:val="multilevel"/>
    <w:tmpl w:val="000003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3">
    <w:nsid w:val="00000306"/>
    <w:multiLevelType w:val="multilevel"/>
    <w:tmpl w:val="000003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4">
    <w:nsid w:val="00000307"/>
    <w:multiLevelType w:val="multilevel"/>
    <w:tmpl w:val="000003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5">
    <w:nsid w:val="00000308"/>
    <w:multiLevelType w:val="multilevel"/>
    <w:tmpl w:val="000003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6">
    <w:nsid w:val="00000309"/>
    <w:multiLevelType w:val="multilevel"/>
    <w:tmpl w:val="000003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7">
    <w:nsid w:val="0000030A"/>
    <w:multiLevelType w:val="multilevel"/>
    <w:tmpl w:val="000003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8">
    <w:nsid w:val="0000030B"/>
    <w:multiLevelType w:val="multilevel"/>
    <w:tmpl w:val="000003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9">
    <w:nsid w:val="0000030C"/>
    <w:multiLevelType w:val="multilevel"/>
    <w:tmpl w:val="000003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0">
    <w:nsid w:val="0000030D"/>
    <w:multiLevelType w:val="multilevel"/>
    <w:tmpl w:val="000003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1">
    <w:nsid w:val="0000030E"/>
    <w:multiLevelType w:val="multilevel"/>
    <w:tmpl w:val="0000030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2">
    <w:nsid w:val="0000030F"/>
    <w:multiLevelType w:val="multilevel"/>
    <w:tmpl w:val="000003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3">
    <w:nsid w:val="00000310"/>
    <w:multiLevelType w:val="multilevel"/>
    <w:tmpl w:val="000003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4">
    <w:nsid w:val="00000311"/>
    <w:multiLevelType w:val="multilevel"/>
    <w:tmpl w:val="000003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5">
    <w:nsid w:val="00000312"/>
    <w:multiLevelType w:val="multilevel"/>
    <w:tmpl w:val="000003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6">
    <w:nsid w:val="00000313"/>
    <w:multiLevelType w:val="multilevel"/>
    <w:tmpl w:val="000003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7">
    <w:nsid w:val="00000314"/>
    <w:multiLevelType w:val="multilevel"/>
    <w:tmpl w:val="000003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8">
    <w:nsid w:val="00000315"/>
    <w:multiLevelType w:val="multilevel"/>
    <w:tmpl w:val="000003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9">
    <w:nsid w:val="00000316"/>
    <w:multiLevelType w:val="multilevel"/>
    <w:tmpl w:val="000003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0">
    <w:nsid w:val="00000317"/>
    <w:multiLevelType w:val="multilevel"/>
    <w:tmpl w:val="000003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1">
    <w:nsid w:val="00000318"/>
    <w:multiLevelType w:val="multilevel"/>
    <w:tmpl w:val="0000031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2">
    <w:nsid w:val="00000319"/>
    <w:multiLevelType w:val="multilevel"/>
    <w:tmpl w:val="0000031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3">
    <w:nsid w:val="0000031A"/>
    <w:multiLevelType w:val="multilevel"/>
    <w:tmpl w:val="000003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4">
    <w:nsid w:val="0000031B"/>
    <w:multiLevelType w:val="multilevel"/>
    <w:tmpl w:val="000003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5">
    <w:nsid w:val="0000031C"/>
    <w:multiLevelType w:val="multilevel"/>
    <w:tmpl w:val="000003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6">
    <w:nsid w:val="0000031D"/>
    <w:multiLevelType w:val="multilevel"/>
    <w:tmpl w:val="000003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7">
    <w:nsid w:val="0000031E"/>
    <w:multiLevelType w:val="multilevel"/>
    <w:tmpl w:val="000003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8">
    <w:nsid w:val="0000031F"/>
    <w:multiLevelType w:val="multilevel"/>
    <w:tmpl w:val="0000031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9">
    <w:nsid w:val="00000320"/>
    <w:multiLevelType w:val="multilevel"/>
    <w:tmpl w:val="000003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0">
    <w:nsid w:val="00000321"/>
    <w:multiLevelType w:val="multilevel"/>
    <w:tmpl w:val="000003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1">
    <w:nsid w:val="00000322"/>
    <w:multiLevelType w:val="multilevel"/>
    <w:tmpl w:val="0000032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2">
    <w:nsid w:val="00000323"/>
    <w:multiLevelType w:val="multilevel"/>
    <w:tmpl w:val="000003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3">
    <w:nsid w:val="00000324"/>
    <w:multiLevelType w:val="multilevel"/>
    <w:tmpl w:val="000003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4">
    <w:nsid w:val="00000325"/>
    <w:multiLevelType w:val="multilevel"/>
    <w:tmpl w:val="000003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5">
    <w:nsid w:val="00000326"/>
    <w:multiLevelType w:val="multilevel"/>
    <w:tmpl w:val="000003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6">
    <w:nsid w:val="00000327"/>
    <w:multiLevelType w:val="multilevel"/>
    <w:tmpl w:val="0000032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7">
    <w:nsid w:val="00000328"/>
    <w:multiLevelType w:val="multilevel"/>
    <w:tmpl w:val="000003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8">
    <w:nsid w:val="00000329"/>
    <w:multiLevelType w:val="multilevel"/>
    <w:tmpl w:val="0000032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9">
    <w:nsid w:val="0000032A"/>
    <w:multiLevelType w:val="multilevel"/>
    <w:tmpl w:val="0000032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0">
    <w:nsid w:val="0000032B"/>
    <w:multiLevelType w:val="multilevel"/>
    <w:tmpl w:val="0000032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1">
    <w:nsid w:val="0000032C"/>
    <w:multiLevelType w:val="multilevel"/>
    <w:tmpl w:val="0000032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2">
    <w:nsid w:val="0000032D"/>
    <w:multiLevelType w:val="multilevel"/>
    <w:tmpl w:val="0000032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3">
    <w:nsid w:val="0000032E"/>
    <w:multiLevelType w:val="multilevel"/>
    <w:tmpl w:val="0000032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4">
    <w:nsid w:val="0000032F"/>
    <w:multiLevelType w:val="multilevel"/>
    <w:tmpl w:val="0000032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5">
    <w:nsid w:val="00000330"/>
    <w:multiLevelType w:val="multilevel"/>
    <w:tmpl w:val="0000033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6">
    <w:nsid w:val="00000331"/>
    <w:multiLevelType w:val="multilevel"/>
    <w:tmpl w:val="0000033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7">
    <w:nsid w:val="00000332"/>
    <w:multiLevelType w:val="multilevel"/>
    <w:tmpl w:val="0000033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8">
    <w:nsid w:val="00000333"/>
    <w:multiLevelType w:val="multilevel"/>
    <w:tmpl w:val="000003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9">
    <w:nsid w:val="00000334"/>
    <w:multiLevelType w:val="multilevel"/>
    <w:tmpl w:val="0000033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0">
    <w:nsid w:val="00000335"/>
    <w:multiLevelType w:val="multilevel"/>
    <w:tmpl w:val="000003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1">
    <w:nsid w:val="00000336"/>
    <w:multiLevelType w:val="multilevel"/>
    <w:tmpl w:val="000003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2">
    <w:nsid w:val="00000337"/>
    <w:multiLevelType w:val="multilevel"/>
    <w:tmpl w:val="0000033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3">
    <w:nsid w:val="00000338"/>
    <w:multiLevelType w:val="multilevel"/>
    <w:tmpl w:val="000003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4">
    <w:nsid w:val="00000339"/>
    <w:multiLevelType w:val="multilevel"/>
    <w:tmpl w:val="000003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5">
    <w:nsid w:val="0000033A"/>
    <w:multiLevelType w:val="multilevel"/>
    <w:tmpl w:val="000003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6">
    <w:nsid w:val="0000033B"/>
    <w:multiLevelType w:val="multilevel"/>
    <w:tmpl w:val="000003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7">
    <w:nsid w:val="0000033C"/>
    <w:multiLevelType w:val="multilevel"/>
    <w:tmpl w:val="000003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8">
    <w:nsid w:val="0000033D"/>
    <w:multiLevelType w:val="multilevel"/>
    <w:tmpl w:val="000003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9">
    <w:nsid w:val="0000033E"/>
    <w:multiLevelType w:val="multilevel"/>
    <w:tmpl w:val="0000033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0">
    <w:nsid w:val="0000033F"/>
    <w:multiLevelType w:val="multilevel"/>
    <w:tmpl w:val="000003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1">
    <w:nsid w:val="00000340"/>
    <w:multiLevelType w:val="multilevel"/>
    <w:tmpl w:val="000003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2">
    <w:nsid w:val="00000341"/>
    <w:multiLevelType w:val="multilevel"/>
    <w:tmpl w:val="0000034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3">
    <w:nsid w:val="00000342"/>
    <w:multiLevelType w:val="multilevel"/>
    <w:tmpl w:val="000003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4">
    <w:nsid w:val="00000343"/>
    <w:multiLevelType w:val="multilevel"/>
    <w:tmpl w:val="000003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5">
    <w:nsid w:val="00000344"/>
    <w:multiLevelType w:val="multilevel"/>
    <w:tmpl w:val="0000034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6">
    <w:nsid w:val="00000345"/>
    <w:multiLevelType w:val="multilevel"/>
    <w:tmpl w:val="0000034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7">
    <w:nsid w:val="00000346"/>
    <w:multiLevelType w:val="multilevel"/>
    <w:tmpl w:val="0000034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8">
    <w:nsid w:val="00000347"/>
    <w:multiLevelType w:val="multilevel"/>
    <w:tmpl w:val="000003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9">
    <w:nsid w:val="00000348"/>
    <w:multiLevelType w:val="multilevel"/>
    <w:tmpl w:val="000003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0">
    <w:nsid w:val="00000349"/>
    <w:multiLevelType w:val="multilevel"/>
    <w:tmpl w:val="0000034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1">
    <w:nsid w:val="0000034A"/>
    <w:multiLevelType w:val="multilevel"/>
    <w:tmpl w:val="0000034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2">
    <w:nsid w:val="0000034B"/>
    <w:multiLevelType w:val="multilevel"/>
    <w:tmpl w:val="000003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3">
    <w:nsid w:val="0000034C"/>
    <w:multiLevelType w:val="multilevel"/>
    <w:tmpl w:val="0000034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4">
    <w:nsid w:val="0000034D"/>
    <w:multiLevelType w:val="multilevel"/>
    <w:tmpl w:val="0000034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5">
    <w:nsid w:val="0000034E"/>
    <w:multiLevelType w:val="multilevel"/>
    <w:tmpl w:val="000003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6">
    <w:nsid w:val="0000034F"/>
    <w:multiLevelType w:val="multilevel"/>
    <w:tmpl w:val="000003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7">
    <w:nsid w:val="00000350"/>
    <w:multiLevelType w:val="multilevel"/>
    <w:tmpl w:val="0000035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8">
    <w:nsid w:val="00000351"/>
    <w:multiLevelType w:val="multilevel"/>
    <w:tmpl w:val="0000035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9">
    <w:nsid w:val="00000352"/>
    <w:multiLevelType w:val="multilevel"/>
    <w:tmpl w:val="0000035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0">
    <w:nsid w:val="00000353"/>
    <w:multiLevelType w:val="multilevel"/>
    <w:tmpl w:val="0000035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1">
    <w:nsid w:val="00000354"/>
    <w:multiLevelType w:val="multilevel"/>
    <w:tmpl w:val="0000035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2">
    <w:nsid w:val="00000355"/>
    <w:multiLevelType w:val="multilevel"/>
    <w:tmpl w:val="0000035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3">
    <w:nsid w:val="00000356"/>
    <w:multiLevelType w:val="multilevel"/>
    <w:tmpl w:val="0000035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4">
    <w:nsid w:val="00000357"/>
    <w:multiLevelType w:val="multilevel"/>
    <w:tmpl w:val="000003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5">
    <w:nsid w:val="00000358"/>
    <w:multiLevelType w:val="multilevel"/>
    <w:tmpl w:val="0000035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6">
    <w:nsid w:val="00000359"/>
    <w:multiLevelType w:val="multilevel"/>
    <w:tmpl w:val="0000035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7">
    <w:nsid w:val="0000035A"/>
    <w:multiLevelType w:val="multilevel"/>
    <w:tmpl w:val="000003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8">
    <w:nsid w:val="0000035B"/>
    <w:multiLevelType w:val="multilevel"/>
    <w:tmpl w:val="0000035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9">
    <w:nsid w:val="0000035C"/>
    <w:multiLevelType w:val="multilevel"/>
    <w:tmpl w:val="0000035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0">
    <w:nsid w:val="0000035D"/>
    <w:multiLevelType w:val="multilevel"/>
    <w:tmpl w:val="0000035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1">
    <w:nsid w:val="0000035E"/>
    <w:multiLevelType w:val="multilevel"/>
    <w:tmpl w:val="0000035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2">
    <w:nsid w:val="0000035F"/>
    <w:multiLevelType w:val="multilevel"/>
    <w:tmpl w:val="0000035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3">
    <w:nsid w:val="00000360"/>
    <w:multiLevelType w:val="multilevel"/>
    <w:tmpl w:val="0000036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4">
    <w:nsid w:val="00000361"/>
    <w:multiLevelType w:val="multilevel"/>
    <w:tmpl w:val="0000036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5">
    <w:nsid w:val="00000362"/>
    <w:multiLevelType w:val="multilevel"/>
    <w:tmpl w:val="0000036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6">
    <w:nsid w:val="00000363"/>
    <w:multiLevelType w:val="multilevel"/>
    <w:tmpl w:val="0000036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7">
    <w:nsid w:val="00000364"/>
    <w:multiLevelType w:val="multilevel"/>
    <w:tmpl w:val="0000036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8">
    <w:nsid w:val="00000365"/>
    <w:multiLevelType w:val="multilevel"/>
    <w:tmpl w:val="0000036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9">
    <w:nsid w:val="00000366"/>
    <w:multiLevelType w:val="multilevel"/>
    <w:tmpl w:val="0000036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0">
    <w:nsid w:val="00000367"/>
    <w:multiLevelType w:val="multilevel"/>
    <w:tmpl w:val="0000036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1">
    <w:nsid w:val="00000368"/>
    <w:multiLevelType w:val="multilevel"/>
    <w:tmpl w:val="0000036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2">
    <w:nsid w:val="00000369"/>
    <w:multiLevelType w:val="multilevel"/>
    <w:tmpl w:val="0000036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3">
    <w:nsid w:val="0000036A"/>
    <w:multiLevelType w:val="multilevel"/>
    <w:tmpl w:val="0000036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4">
    <w:nsid w:val="0000036B"/>
    <w:multiLevelType w:val="multilevel"/>
    <w:tmpl w:val="0000036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5">
    <w:nsid w:val="0000036C"/>
    <w:multiLevelType w:val="multilevel"/>
    <w:tmpl w:val="0000036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6">
    <w:nsid w:val="0000036D"/>
    <w:multiLevelType w:val="multilevel"/>
    <w:tmpl w:val="0000036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7">
    <w:nsid w:val="0000036E"/>
    <w:multiLevelType w:val="multilevel"/>
    <w:tmpl w:val="0000036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8">
    <w:nsid w:val="0000036F"/>
    <w:multiLevelType w:val="multilevel"/>
    <w:tmpl w:val="0000036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9">
    <w:nsid w:val="00000370"/>
    <w:multiLevelType w:val="multilevel"/>
    <w:tmpl w:val="0000037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0">
    <w:nsid w:val="00000371"/>
    <w:multiLevelType w:val="multilevel"/>
    <w:tmpl w:val="0000037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1">
    <w:nsid w:val="00000372"/>
    <w:multiLevelType w:val="multilevel"/>
    <w:tmpl w:val="0000037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2">
    <w:nsid w:val="00000373"/>
    <w:multiLevelType w:val="multilevel"/>
    <w:tmpl w:val="0000037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3">
    <w:nsid w:val="00000374"/>
    <w:multiLevelType w:val="multilevel"/>
    <w:tmpl w:val="0000037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4">
    <w:nsid w:val="00000375"/>
    <w:multiLevelType w:val="multilevel"/>
    <w:tmpl w:val="0000037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5">
    <w:nsid w:val="00000376"/>
    <w:multiLevelType w:val="multilevel"/>
    <w:tmpl w:val="0000037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6">
    <w:nsid w:val="00000377"/>
    <w:multiLevelType w:val="multilevel"/>
    <w:tmpl w:val="0000037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7">
    <w:nsid w:val="00000378"/>
    <w:multiLevelType w:val="multilevel"/>
    <w:tmpl w:val="0000037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8">
    <w:nsid w:val="00000379"/>
    <w:multiLevelType w:val="multilevel"/>
    <w:tmpl w:val="0000037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9">
    <w:nsid w:val="0000037A"/>
    <w:multiLevelType w:val="multilevel"/>
    <w:tmpl w:val="0000037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0">
    <w:nsid w:val="0000037B"/>
    <w:multiLevelType w:val="multilevel"/>
    <w:tmpl w:val="0000037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1">
    <w:nsid w:val="0000037C"/>
    <w:multiLevelType w:val="multilevel"/>
    <w:tmpl w:val="0000037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2">
    <w:nsid w:val="0000037D"/>
    <w:multiLevelType w:val="multilevel"/>
    <w:tmpl w:val="0000037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3">
    <w:nsid w:val="0000037E"/>
    <w:multiLevelType w:val="multilevel"/>
    <w:tmpl w:val="0000037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4">
    <w:nsid w:val="0000037F"/>
    <w:multiLevelType w:val="multilevel"/>
    <w:tmpl w:val="0000037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5">
    <w:nsid w:val="00000380"/>
    <w:multiLevelType w:val="multilevel"/>
    <w:tmpl w:val="0000038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6">
    <w:nsid w:val="00000381"/>
    <w:multiLevelType w:val="multilevel"/>
    <w:tmpl w:val="0000038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7">
    <w:nsid w:val="00000382"/>
    <w:multiLevelType w:val="multilevel"/>
    <w:tmpl w:val="0000038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8">
    <w:nsid w:val="00000383"/>
    <w:multiLevelType w:val="multilevel"/>
    <w:tmpl w:val="0000038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9">
    <w:nsid w:val="00000384"/>
    <w:multiLevelType w:val="multilevel"/>
    <w:tmpl w:val="0000038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0">
    <w:nsid w:val="00000385"/>
    <w:multiLevelType w:val="multilevel"/>
    <w:tmpl w:val="0000038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1">
    <w:nsid w:val="00000386"/>
    <w:multiLevelType w:val="multilevel"/>
    <w:tmpl w:val="0000038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2">
    <w:nsid w:val="00000387"/>
    <w:multiLevelType w:val="multilevel"/>
    <w:tmpl w:val="0000038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3">
    <w:nsid w:val="00000388"/>
    <w:multiLevelType w:val="multilevel"/>
    <w:tmpl w:val="0000038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4">
    <w:nsid w:val="00000389"/>
    <w:multiLevelType w:val="multilevel"/>
    <w:tmpl w:val="0000038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5">
    <w:nsid w:val="0000038A"/>
    <w:multiLevelType w:val="multilevel"/>
    <w:tmpl w:val="0000038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6">
    <w:nsid w:val="0000038B"/>
    <w:multiLevelType w:val="multilevel"/>
    <w:tmpl w:val="0000038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7">
    <w:nsid w:val="0000038C"/>
    <w:multiLevelType w:val="multilevel"/>
    <w:tmpl w:val="0000038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8">
    <w:nsid w:val="0000038D"/>
    <w:multiLevelType w:val="multilevel"/>
    <w:tmpl w:val="0000038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9">
    <w:nsid w:val="0000038E"/>
    <w:multiLevelType w:val="multilevel"/>
    <w:tmpl w:val="0000038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0">
    <w:nsid w:val="0000038F"/>
    <w:multiLevelType w:val="multilevel"/>
    <w:tmpl w:val="0000038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1">
    <w:nsid w:val="00000390"/>
    <w:multiLevelType w:val="multilevel"/>
    <w:tmpl w:val="0000039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2">
    <w:nsid w:val="00000391"/>
    <w:multiLevelType w:val="multilevel"/>
    <w:tmpl w:val="0000039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3">
    <w:nsid w:val="00000392"/>
    <w:multiLevelType w:val="multilevel"/>
    <w:tmpl w:val="0000039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4">
    <w:nsid w:val="00000393"/>
    <w:multiLevelType w:val="multilevel"/>
    <w:tmpl w:val="0000039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5">
    <w:nsid w:val="00000394"/>
    <w:multiLevelType w:val="multilevel"/>
    <w:tmpl w:val="0000039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6">
    <w:nsid w:val="00000395"/>
    <w:multiLevelType w:val="multilevel"/>
    <w:tmpl w:val="0000039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7">
    <w:nsid w:val="00000396"/>
    <w:multiLevelType w:val="multilevel"/>
    <w:tmpl w:val="0000039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8">
    <w:nsid w:val="00000397"/>
    <w:multiLevelType w:val="multilevel"/>
    <w:tmpl w:val="0000039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9">
    <w:nsid w:val="00000398"/>
    <w:multiLevelType w:val="multilevel"/>
    <w:tmpl w:val="0000039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0">
    <w:nsid w:val="00000399"/>
    <w:multiLevelType w:val="multilevel"/>
    <w:tmpl w:val="0000039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1">
    <w:nsid w:val="0000039A"/>
    <w:multiLevelType w:val="multilevel"/>
    <w:tmpl w:val="0000039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2">
    <w:nsid w:val="0000039B"/>
    <w:multiLevelType w:val="multilevel"/>
    <w:tmpl w:val="0000039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3">
    <w:nsid w:val="0000039C"/>
    <w:multiLevelType w:val="multilevel"/>
    <w:tmpl w:val="0000039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4">
    <w:nsid w:val="0000039D"/>
    <w:multiLevelType w:val="multilevel"/>
    <w:tmpl w:val="0000039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5">
    <w:nsid w:val="0000039E"/>
    <w:multiLevelType w:val="multilevel"/>
    <w:tmpl w:val="0000039E"/>
    <w:lvl w:ilvl="0">
      <w:start w:val="1"/>
      <w:numFmt w:val="decimal"/>
      <w:suff w:val="nothing"/>
      <w:lvlText w:val="Subchapter H-- Health Care Inf"/>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6">
    <w:nsid w:val="0000039F"/>
    <w:multiLevelType w:val="multilevel"/>
    <w:tmpl w:val="0000039F"/>
    <w:lvl w:ilvl="0">
      <w:start w:val="1"/>
      <w:numFmt w:val="decimal"/>
      <w:suff w:val="nothing"/>
      <w:lvlText w:val="PART 510-- COMPREHENSIVE CARE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7">
    <w:nsid w:val="000003A0"/>
    <w:multiLevelType w:val="multilevel"/>
    <w:tmpl w:val="000003A0"/>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8">
    <w:nsid w:val="000003A1"/>
    <w:multiLevelType w:val="multilevel"/>
    <w:tmpl w:val="000003A1"/>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9">
    <w:nsid w:val="000003A2"/>
    <w:multiLevelType w:val="multilevel"/>
    <w:tmpl w:val="000003A2"/>
    <w:lvl w:ilvl="0">
      <w:start w:val="1"/>
      <w:numFmt w:val="decimal"/>
      <w:suff w:val="space"/>
      <w:lvlText w:val="§ 510.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0">
    <w:nsid w:val="000003A3"/>
    <w:multiLevelType w:val="multilevel"/>
    <w:tmpl w:val="000003A3"/>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1">
    <w:nsid w:val="000003A4"/>
    <w:multiLevelType w:val="multilevel"/>
    <w:tmpl w:val="000003A4"/>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2">
    <w:nsid w:val="000003A5"/>
    <w:multiLevelType w:val="multilevel"/>
    <w:tmpl w:val="000003A5"/>
    <w:lvl w:ilvl="0">
      <w:start w:val="1"/>
      <w:numFmt w:val="decimal"/>
      <w:suff w:val="space"/>
      <w:lvlText w:val="§ 510.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3">
    <w:nsid w:val="000003A6"/>
    <w:multiLevelType w:val="multilevel"/>
    <w:tmpl w:val="000003A6"/>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4">
    <w:nsid w:val="000003A7"/>
    <w:multiLevelType w:val="multilevel"/>
    <w:tmpl w:val="000003A7"/>
    <w:lvl w:ilvl="0">
      <w:start w:val="1"/>
      <w:numFmt w:val="decimal"/>
      <w:lvlText w:val="(10)"/>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5">
    <w:nsid w:val="000003A8"/>
    <w:multiLevelType w:val="multilevel"/>
    <w:tmpl w:val="000003A8"/>
    <w:lvl w:ilvl="0">
      <w:start w:val="1"/>
      <w:numFmt w:val="decimal"/>
      <w:lvlText w:val="(1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6">
    <w:nsid w:val="000003A9"/>
    <w:multiLevelType w:val="multilevel"/>
    <w:tmpl w:val="000003A9"/>
    <w:lvl w:ilvl="0">
      <w:start w:val="1"/>
      <w:numFmt w:val="decimal"/>
      <w:lvlText w:val="(12)"/>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7">
    <w:nsid w:val="000003AA"/>
    <w:multiLevelType w:val="multilevel"/>
    <w:tmpl w:val="000003AA"/>
    <w:lvl w:ilvl="0">
      <w:start w:val="1"/>
      <w:numFmt w:val="decimal"/>
      <w:lvlText w:val="(13)"/>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8">
    <w:nsid w:val="000003AB"/>
    <w:multiLevelType w:val="multilevel"/>
    <w:tmpl w:val="000003AB"/>
    <w:lvl w:ilvl="0">
      <w:start w:val="1"/>
      <w:numFmt w:val="decimal"/>
      <w:lvlText w:val="(14)"/>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9">
    <w:nsid w:val="000003AC"/>
    <w:multiLevelType w:val="multilevel"/>
    <w:tmpl w:val="000003A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0">
    <w:nsid w:val="000003AD"/>
    <w:multiLevelType w:val="multilevel"/>
    <w:tmpl w:val="000003AD"/>
    <w:lvl w:ilvl="0">
      <w:start w:val="1"/>
      <w:numFmt w:val="decimal"/>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1">
    <w:nsid w:val="000003AE"/>
    <w:multiLevelType w:val="multilevel"/>
    <w:tmpl w:val="000003AE"/>
    <w:lvl w:ilvl="0">
      <w:start w:val="1"/>
      <w:numFmt w:val="decimal"/>
      <w:suff w:val="nothing"/>
      <w:lvlText w:val="§ 510.110 Access to records 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2">
    <w:nsid w:val="000003AF"/>
    <w:multiLevelType w:val="multilevel"/>
    <w:tmpl w:val="000003A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3">
    <w:nsid w:val="000003B0"/>
    <w:multiLevelType w:val="multilevel"/>
    <w:tmpl w:val="000003B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4">
    <w:nsid w:val="000003B1"/>
    <w:multiLevelType w:val="multilevel"/>
    <w:tmpl w:val="000003B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5">
    <w:nsid w:val="000003B2"/>
    <w:multiLevelType w:val="multilevel"/>
    <w:tmpl w:val="000003B2"/>
    <w:lvl w:ilvl="0">
      <w:start w:val="1"/>
      <w:numFmt w:val="decimal"/>
      <w:suff w:val="nothing"/>
      <w:lvlText w:val="§ 510.120 CJR participant hos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6">
    <w:nsid w:val="000003B3"/>
    <w:multiLevelType w:val="multilevel"/>
    <w:tmpl w:val="000003B3"/>
    <w:lvl w:ilvl="0">
      <w:start w:val="1"/>
      <w:numFmt w:val="decimal"/>
      <w:suff w:val="space"/>
      <w:lvlText w:val="(a) CJR CEHRT us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7">
    <w:nsid w:val="000003B4"/>
    <w:multiLevelType w:val="multilevel"/>
    <w:tmpl w:val="000003B4"/>
    <w:lvl w:ilvl="0">
      <w:start w:val="1"/>
      <w:numFmt w:val="decimal"/>
      <w:suff w:val="space"/>
      <w:lvlText w:val="(1) CEHRT us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8">
    <w:nsid w:val="000003B5"/>
    <w:multiLevelType w:val="multilevel"/>
    <w:tmpl w:val="000003B5"/>
    <w:lvl w:ilvl="0">
      <w:start w:val="1"/>
      <w:numFmt w:val="decimal"/>
      <w:suff w:val="space"/>
      <w:lvlText w:val="(2) No CEHRT us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9">
    <w:nsid w:val="000003B6"/>
    <w:multiLevelType w:val="multilevel"/>
    <w:tmpl w:val="000003B6"/>
    <w:lvl w:ilvl="0">
      <w:start w:val="1"/>
      <w:numFmt w:val="decimal"/>
      <w:suff w:val="nothing"/>
      <w:lvlText w:val="(b) Clinician financial arra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0">
    <w:nsid w:val="000003B7"/>
    <w:multiLevelType w:val="multilevel"/>
    <w:tmpl w:val="000003B7"/>
    <w:lvl w:ilvl="0">
      <w:start w:val="1"/>
      <w:numFmt w:val="decimal"/>
      <w:suff w:val="space"/>
      <w:lvlText w:val="(1) CJR collaborator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1">
    <w:nsid w:val="000003B8"/>
    <w:multiLevelType w:val="multilevel"/>
    <w:tmpl w:val="000003B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2">
    <w:nsid w:val="000003B9"/>
    <w:multiLevelType w:val="multilevel"/>
    <w:tmpl w:val="000003B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3">
    <w:nsid w:val="000003BA"/>
    <w:multiLevelType w:val="multilevel"/>
    <w:tmpl w:val="000003BA"/>
    <w:lvl w:ilvl="0">
      <w:start w:val="1"/>
      <w:numFmt w:val="decimal"/>
      <w:suff w:val="nothing"/>
      <w:lvlText w:val="(2) Practice collaboration ag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4">
    <w:nsid w:val="000003BB"/>
    <w:multiLevelType w:val="multilevel"/>
    <w:tmpl w:val="000003B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5">
    <w:nsid w:val="000003BC"/>
    <w:multiLevelType w:val="multilevel"/>
    <w:tmpl w:val="000003B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6">
    <w:nsid w:val="000003BD"/>
    <w:multiLevelType w:val="multilevel"/>
    <w:tmpl w:val="000003BD"/>
    <w:lvl w:ilvl="0">
      <w:start w:val="1"/>
      <w:numFmt w:val="decimal"/>
      <w:lvlText w:val="(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7">
    <w:nsid w:val="000003BE"/>
    <w:multiLevelType w:val="multilevel"/>
    <w:tmpl w:val="000003BE"/>
    <w:lvl w:ilvl="0">
      <w:start w:val="1"/>
      <w:numFmt w:val="decimal"/>
      <w:suff w:val="nothing"/>
      <w:lvlText w:val="(4) Attestation to no individu"/>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8">
    <w:nsid w:val="000003BF"/>
    <w:multiLevelType w:val="multilevel"/>
    <w:tmpl w:val="000003BF"/>
    <w:lvl w:ilvl="0">
      <w:start w:val="1"/>
      <w:numFmt w:val="decimal"/>
      <w:suff w:val="nothing"/>
      <w:lvlText w:val="(c) Documentation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9">
    <w:nsid w:val="000003C0"/>
    <w:multiLevelType w:val="multilevel"/>
    <w:tmpl w:val="000003C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0">
    <w:nsid w:val="000003C1"/>
    <w:multiLevelType w:val="multilevel"/>
    <w:tmpl w:val="000003C1"/>
    <w:lvl w:ilvl="0">
      <w:start w:val="1"/>
      <w:numFmt w:val="decimal"/>
      <w:suff w:val="nothing"/>
      <w:lvlText w:val="§ 510.120 CJR participant hos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1">
    <w:nsid w:val="000003C2"/>
    <w:multiLevelType w:val="multilevel"/>
    <w:tmpl w:val="000003C2"/>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2">
    <w:nsid w:val="000003C3"/>
    <w:multiLevelType w:val="multilevel"/>
    <w:tmpl w:val="000003C3"/>
    <w:lvl w:ilvl="0">
      <w:start w:val="1"/>
      <w:numFmt w:val="decimal"/>
      <w:suff w:val="space"/>
      <w:lvlText w:val="(2) Collaboration ag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3">
    <w:nsid w:val="000003C4"/>
    <w:multiLevelType w:val="multilevel"/>
    <w:tmpl w:val="000003C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4">
    <w:nsid w:val="000003C5"/>
    <w:multiLevelType w:val="multilevel"/>
    <w:tmpl w:val="000003C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5">
    <w:nsid w:val="000003C6"/>
    <w:multiLevelType w:val="multilevel"/>
    <w:tmpl w:val="000003C6"/>
    <w:lvl w:ilvl="0">
      <w:start w:val="1"/>
      <w:numFmt w:val="decimal"/>
      <w:suff w:val="nothing"/>
      <w:lvlText w:val="(3) Downstream collaboration 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6">
    <w:nsid w:val="000003C7"/>
    <w:multiLevelType w:val="multilevel"/>
    <w:tmpl w:val="000003C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7">
    <w:nsid w:val="000003C8"/>
    <w:multiLevelType w:val="multilevel"/>
    <w:tmpl w:val="000003C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8">
    <w:nsid w:val="000003C9"/>
    <w:multiLevelType w:val="multilevel"/>
    <w:tmpl w:val="000003C9"/>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9">
    <w:nsid w:val="000003CA"/>
    <w:multiLevelType w:val="multilevel"/>
    <w:tmpl w:val="000003CA"/>
    <w:lvl w:ilvl="0">
      <w:start w:val="1"/>
      <w:numFmt w:val="decimal"/>
      <w:suff w:val="nothing"/>
      <w:lvlText w:val="§ 510.205 Beneficiary inclusi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0">
    <w:nsid w:val="000003CB"/>
    <w:multiLevelType w:val="multilevel"/>
    <w:tmpl w:val="000003C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1">
    <w:nsid w:val="000003CC"/>
    <w:multiLevelType w:val="multilevel"/>
    <w:tmpl w:val="000003CC"/>
    <w:lvl w:ilvl="0">
      <w:start w:val="6"/>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2">
    <w:nsid w:val="000003CD"/>
    <w:multiLevelType w:val="multilevel"/>
    <w:tmpl w:val="000003C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3">
    <w:nsid w:val="000003CE"/>
    <w:multiLevelType w:val="multilevel"/>
    <w:tmpl w:val="000003C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4">
    <w:nsid w:val="000003CF"/>
    <w:multiLevelType w:val="multilevel"/>
    <w:tmpl w:val="000003C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5">
    <w:nsid w:val="000003D0"/>
    <w:multiLevelType w:val="multilevel"/>
    <w:tmpl w:val="000003D0"/>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6">
    <w:nsid w:val="000003D1"/>
    <w:multiLevelType w:val="multilevel"/>
    <w:tmpl w:val="000003D1"/>
    <w:lvl w:ilvl="0">
      <w:start w:val="1"/>
      <w:numFmt w:val="decimal"/>
      <w:suff w:val="nothing"/>
      <w:lvlText w:val="§ 510.300 Determination of ep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7">
    <w:nsid w:val="000003D2"/>
    <w:multiLevelType w:val="multilevel"/>
    <w:tmpl w:val="000003D2"/>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8">
    <w:nsid w:val="000003D3"/>
    <w:multiLevelType w:val="multilevel"/>
    <w:tmpl w:val="000003D3"/>
    <w:lvl w:ilvl="0">
      <w:start w:val="1"/>
      <w:numFmt w:val="decimal"/>
      <w:suff w:val="nothing"/>
      <w:lvlText w:val="(1) MS-DRG and fracture statu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9">
    <w:nsid w:val="000003D4"/>
    <w:multiLevelType w:val="multilevel"/>
    <w:tmpl w:val="000003D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0">
    <w:nsid w:val="000003D5"/>
    <w:multiLevelType w:val="multilevel"/>
    <w:tmpl w:val="000003D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1">
    <w:nsid w:val="000003D6"/>
    <w:multiLevelType w:val="multilevel"/>
    <w:tmpl w:val="000003D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2">
    <w:nsid w:val="000003D7"/>
    <w:multiLevelType w:val="multilevel"/>
    <w:tmpl w:val="000003D7"/>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3">
    <w:nsid w:val="000003D8"/>
    <w:multiLevelType w:val="multilevel"/>
    <w:tmpl w:val="000003D8"/>
    <w:lvl w:ilvl="0">
      <w:start w:val="1"/>
      <w:numFmt w:val="decimal"/>
      <w:suff w:val="nothing"/>
      <w:lvlText w:val="(2) Applicable time period fo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4">
    <w:nsid w:val="000003D9"/>
    <w:multiLevelType w:val="multilevel"/>
    <w:tmpl w:val="000003D9"/>
    <w:lvl w:ilvl="0">
      <w:start w:val="1"/>
      <w:numFmt w:val="decimal"/>
      <w:suff w:val="nothing"/>
      <w:lvlText w:val="(3) Episodes that straddle p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5">
    <w:nsid w:val="000003DA"/>
    <w:multiLevelType w:val="multilevel"/>
    <w:tmpl w:val="000003DA"/>
    <w:lvl w:ilvl="0">
      <w:start w:val="1"/>
      <w:numFmt w:val="decimal"/>
      <w:suff w:val="space"/>
      <w:lvlText w:val="(5) Quality performan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6">
    <w:nsid w:val="000003DB"/>
    <w:multiLevelType w:val="multilevel"/>
    <w:tmpl w:val="000003DB"/>
    <w:lvl w:ilvl="0">
      <w:start w:val="1"/>
      <w:numFmt w:val="decimal"/>
      <w:suff w:val="nothing"/>
      <w:lvlText w:val="(b) Episode quality-adjusted 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7">
    <w:nsid w:val="000003DC"/>
    <w:multiLevelType w:val="multilevel"/>
    <w:tmpl w:val="000003D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8">
    <w:nsid w:val="000003DD"/>
    <w:multiLevelType w:val="multilevel"/>
    <w:tmpl w:val="000003DD"/>
    <w:lvl w:ilvl="0">
      <w:start w:val="1"/>
      <w:numFmt w:val="decimal"/>
      <w:suff w:val="nothing"/>
      <w:lvlText w:val="(3) Exception for low-volume h"/>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9">
    <w:nsid w:val="000003DE"/>
    <w:multiLevelType w:val="multilevel"/>
    <w:tmpl w:val="000003DE"/>
    <w:lvl w:ilvl="0">
      <w:start w:val="1"/>
      <w:numFmt w:val="decimal"/>
      <w:suff w:val="nothing"/>
      <w:lvlText w:val="(5) Exception for high episod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0">
    <w:nsid w:val="000003DF"/>
    <w:multiLevelType w:val="multilevel"/>
    <w:tmpl w:val="000003DF"/>
    <w:lvl w:ilvl="0">
      <w:start w:val="1"/>
      <w:numFmt w:val="decimal"/>
      <w:suff w:val="nothing"/>
      <w:lvlText w:val="(7) Communication of episode q"/>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1">
    <w:nsid w:val="000003E0"/>
    <w:multiLevelType w:val="multilevel"/>
    <w:tmpl w:val="000003E0"/>
    <w:lvl w:ilvl="0">
      <w:start w:val="1"/>
      <w:numFmt w:val="decimal"/>
      <w:suff w:val="nothing"/>
      <w:lvlText w:val="(8) Inclusion of reconciliati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2">
    <w:nsid w:val="000003E1"/>
    <w:multiLevelType w:val="multilevel"/>
    <w:tmpl w:val="000003E1"/>
    <w:lvl w:ilvl="0">
      <w:start w:val="1"/>
      <w:numFmt w:val="decimal"/>
      <w:suff w:val="space"/>
      <w:lvlText w:val="(c) Discount facto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3">
    <w:nsid w:val="000003E2"/>
    <w:multiLevelType w:val="multilevel"/>
    <w:tmpl w:val="000003E2"/>
    <w:lvl w:ilvl="0">
      <w:start w:val="1"/>
      <w:numFmt w:val="decimal"/>
      <w:suff w:val="nothing"/>
      <w:lvlText w:val="(1) Discount factors affected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4">
    <w:nsid w:val="000003E3"/>
    <w:multiLevelType w:val="multilevel"/>
    <w:tmpl w:val="000003E3"/>
    <w:lvl w:ilvl="0">
      <w:start w:val="1"/>
      <w:numFmt w:val="decimal"/>
      <w:suff w:val="nothing"/>
      <w:lvlText w:val="(2) Discount factor for reconc"/>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5">
    <w:nsid w:val="000003E4"/>
    <w:multiLevelType w:val="multilevel"/>
    <w:tmpl w:val="000003E4"/>
    <w:lvl w:ilvl="0">
      <w:start w:val="1"/>
      <w:numFmt w:val="decimal"/>
      <w:suff w:val="nothing"/>
      <w:lvlText w:val="(3) Discount factors for repa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6">
    <w:nsid w:val="000003E5"/>
    <w:multiLevelType w:val="multilevel"/>
    <w:tmpl w:val="000003E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7">
    <w:nsid w:val="000003E6"/>
    <w:multiLevelType w:val="multilevel"/>
    <w:tmpl w:val="000003E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8">
    <w:nsid w:val="000003E7"/>
    <w:multiLevelType w:val="multilevel"/>
    <w:tmpl w:val="000003E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9">
    <w:nsid w:val="000003E8"/>
    <w:multiLevelType w:val="multilevel"/>
    <w:tmpl w:val="000003E8"/>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0">
    <w:nsid w:val="000003E9"/>
    <w:multiLevelType w:val="multilevel"/>
    <w:tmpl w:val="000003E9"/>
    <w:lvl w:ilvl="0">
      <w:start w:val="1"/>
      <w:numFmt w:val="decimal"/>
      <w:suff w:val="nothing"/>
      <w:lvlText w:val="§ 510.305 Determination of th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1">
    <w:nsid w:val="000003EA"/>
    <w:multiLevelType w:val="multilevel"/>
    <w:tmpl w:val="000003EA"/>
    <w:lvl w:ilvl="0">
      <w:start w:val="1"/>
      <w:numFmt w:val="decimal"/>
      <w:suff w:val="space"/>
      <w:lvlText w:val="(e) Calculation of the NPR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2">
    <w:nsid w:val="000003EB"/>
    <w:multiLevelType w:val="multilevel"/>
    <w:tmpl w:val="000003E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3">
    <w:nsid w:val="000003EC"/>
    <w:multiLevelType w:val="multilevel"/>
    <w:tmpl w:val="000003E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4">
    <w:nsid w:val="000003ED"/>
    <w:multiLevelType w:val="multilevel"/>
    <w:tmpl w:val="000003ED"/>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5">
    <w:nsid w:val="000003EE"/>
    <w:multiLevelType w:val="multilevel"/>
    <w:tmpl w:val="000003EE"/>
    <w:lvl w:ilvl="0">
      <w:start w:val="1"/>
      <w:numFmt w:val="decimal"/>
      <w:suff w:val="space"/>
      <w:lvlText w:val="(A) Limitation on los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6">
    <w:nsid w:val="000003EF"/>
    <w:multiLevelType w:val="multilevel"/>
    <w:tmpl w:val="000003EF"/>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7">
    <w:nsid w:val="000003F0"/>
    <w:multiLevelType w:val="multilevel"/>
    <w:tmpl w:val="000003F0"/>
    <w:lvl w:ilvl="0">
      <w:start w:val="1"/>
      <w:numFmt w:val="decimal"/>
      <w:suff w:val="space"/>
      <w:lvlText w:val="(B) Limitation on gain."/>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8">
    <w:nsid w:val="000003F1"/>
    <w:multiLevelType w:val="multilevel"/>
    <w:tmpl w:val="000003F1"/>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9">
    <w:nsid w:val="000003F2"/>
    <w:multiLevelType w:val="multilevel"/>
    <w:tmpl w:val="000003F2"/>
    <w:lvl w:ilvl="0">
      <w:start w:val="1"/>
      <w:numFmt w:val="decimal"/>
      <w:suff w:val="nothing"/>
      <w:lvlText w:val="(C) Financial loss limits for "/>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0">
    <w:nsid w:val="000003F3"/>
    <w:multiLevelType w:val="multilevel"/>
    <w:tmpl w:val="000003F3"/>
    <w:lvl w:ilvl="0">
      <w:start w:val="1"/>
      <w:numFmt w:val="decimal"/>
      <w:lvlText w:val="(f)"/>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1">
    <w:nsid w:val="000003F4"/>
    <w:multiLevelType w:val="multilevel"/>
    <w:tmpl w:val="000003F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2">
    <w:nsid w:val="000003F5"/>
    <w:multiLevelType w:val="multilevel"/>
    <w:tmpl w:val="000003F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3">
    <w:nsid w:val="000003F6"/>
    <w:multiLevelType w:val="multilevel"/>
    <w:tmpl w:val="000003F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4">
    <w:nsid w:val="000003F7"/>
    <w:multiLevelType w:val="multilevel"/>
    <w:tmpl w:val="000003F7"/>
    <w:lvl w:ilvl="0">
      <w:start w:val="1"/>
      <w:numFmt w:val="decimal"/>
      <w:lvlText w:val="(g)"/>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5">
    <w:nsid w:val="000003F8"/>
    <w:multiLevelType w:val="multilevel"/>
    <w:tmpl w:val="000003F8"/>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6">
    <w:nsid w:val="000003F9"/>
    <w:multiLevelType w:val="multilevel"/>
    <w:tmpl w:val="000003F9"/>
    <w:lvl w:ilvl="0">
      <w:start w:val="1"/>
      <w:numFmt w:val="decimal"/>
      <w:lvlText w:val="(h)"/>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7">
    <w:nsid w:val="000003FA"/>
    <w:multiLevelType w:val="multilevel"/>
    <w:tmpl w:val="000003FA"/>
    <w:lvl w:ilvl="0">
      <w:start w:val="6"/>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8">
    <w:nsid w:val="000003FB"/>
    <w:multiLevelType w:val="multilevel"/>
    <w:tmpl w:val="000003FB"/>
    <w:lvl w:ilvl="0">
      <w:start w:val="1"/>
      <w:numFmt w:val="decimal"/>
      <w:suff w:val="nothing"/>
      <w:lvlText w:val="(i) Subsequent reconciliatio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9">
    <w:nsid w:val="000003FC"/>
    <w:multiLevelType w:val="multilevel"/>
    <w:tmpl w:val="000003F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0">
    <w:nsid w:val="000003FD"/>
    <w:multiLevelType w:val="multilevel"/>
    <w:tmpl w:val="000003FD"/>
    <w:lvl w:ilvl="0">
      <w:start w:val="1"/>
      <w:numFmt w:val="decimal"/>
      <w:suff w:val="nothing"/>
      <w:lvlText w:val="(j) Additional adjustments to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1">
    <w:nsid w:val="000003FE"/>
    <w:multiLevelType w:val="multilevel"/>
    <w:tmpl w:val="000003F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2">
    <w:nsid w:val="000003FF"/>
    <w:multiLevelType w:val="multilevel"/>
    <w:tmpl w:val="000003F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3">
    <w:nsid w:val="00000400"/>
    <w:multiLevelType w:val="multilevel"/>
    <w:tmpl w:val="0000040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4">
    <w:nsid w:val="00000401"/>
    <w:multiLevelType w:val="multilevel"/>
    <w:tmpl w:val="0000040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5">
    <w:nsid w:val="00000402"/>
    <w:multiLevelType w:val="multilevel"/>
    <w:tmpl w:val="0000040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6">
    <w:nsid w:val="00000403"/>
    <w:multiLevelType w:val="multilevel"/>
    <w:tmpl w:val="00000403"/>
    <w:lvl w:ilvl="0">
      <w:start w:val="1"/>
      <w:numFmt w:val="decimal"/>
      <w:suff w:val="nothing"/>
      <w:lvlText w:val="(2) Increases in post-episode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7">
    <w:nsid w:val="00000404"/>
    <w:multiLevelType w:val="multilevel"/>
    <w:tmpl w:val="00000404"/>
    <w:lvl w:ilvl="0">
      <w:start w:val="1"/>
      <w:numFmt w:val="decimal"/>
      <w:lvlText w:val="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8">
    <w:nsid w:val="00000405"/>
    <w:multiLevelType w:val="multilevel"/>
    <w:tmpl w:val="00000405"/>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9">
    <w:nsid w:val="00000406"/>
    <w:multiLevelType w:val="multilevel"/>
    <w:tmpl w:val="00000406"/>
    <w:lvl w:ilvl="0">
      <w:start w:val="1"/>
      <w:numFmt w:val="decimal"/>
      <w:suff w:val="space"/>
      <w:lvlText w:val="§ 510.310 Appeals proce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0">
    <w:nsid w:val="00000407"/>
    <w:multiLevelType w:val="multilevel"/>
    <w:tmpl w:val="00000407"/>
    <w:lvl w:ilvl="0">
      <w:start w:val="1"/>
      <w:numFmt w:val="decimal"/>
      <w:suff w:val="nothing"/>
      <w:lvlText w:val="(a) Notice of calculation err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1">
    <w:nsid w:val="00000408"/>
    <w:multiLevelType w:val="multilevel"/>
    <w:tmpl w:val="0000040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2">
    <w:nsid w:val="00000409"/>
    <w:multiLevelType w:val="multilevel"/>
    <w:tmpl w:val="00000409"/>
    <w:lvl w:ilvl="0">
      <w:start w:val="1"/>
      <w:numFmt w:val="decimal"/>
      <w:suff w:val="space"/>
      <w:lvlText w:val="(c) Exception to the proces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3">
    <w:nsid w:val="0000040A"/>
    <w:multiLevelType w:val="multilevel"/>
    <w:tmpl w:val="0000040A"/>
    <w:lvl w:ilvl="0">
      <w:start w:val="1"/>
      <w:numFmt w:val="decimal"/>
      <w:suff w:val="nothing"/>
      <w:lvlText w:val="(d) Notice of a participant h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4">
    <w:nsid w:val="0000040B"/>
    <w:multiLevelType w:val="multilevel"/>
    <w:tmpl w:val="0000040B"/>
    <w:lvl w:ilvl="0">
      <w:start w:val="1"/>
      <w:numFmt w:val="decimal"/>
      <w:lvlText w:val="(e)"/>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5">
    <w:nsid w:val="0000040C"/>
    <w:multiLevelType w:val="multilevel"/>
    <w:tmpl w:val="0000040C"/>
    <w:lvl w:ilvl="0">
      <w:start w:val="6"/>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6">
    <w:nsid w:val="0000040D"/>
    <w:multiLevelType w:val="multilevel"/>
    <w:tmpl w:val="0000040D"/>
    <w:lvl w:ilvl="0">
      <w:start w:val="1"/>
      <w:numFmt w:val="decimal"/>
      <w:lvlText w:val="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7">
    <w:nsid w:val="0000040E"/>
    <w:multiLevelType w:val="multilevel"/>
    <w:tmpl w:val="0000040E"/>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8">
    <w:nsid w:val="0000040F"/>
    <w:multiLevelType w:val="multilevel"/>
    <w:tmpl w:val="0000040F"/>
    <w:lvl w:ilvl="0">
      <w:start w:val="1"/>
      <w:numFmt w:val="decimal"/>
      <w:suff w:val="nothing"/>
      <w:lvlText w:val="§ 510.315 Composite quality s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9">
    <w:nsid w:val="00000410"/>
    <w:multiLevelType w:val="multilevel"/>
    <w:tmpl w:val="00000410"/>
    <w:lvl w:ilvl="0">
      <w:start w:val="1"/>
      <w:numFmt w:val="decimal"/>
      <w:suff w:val="nothing"/>
      <w:lvlText w:val="(c) Quality performance poi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0">
    <w:nsid w:val="00000411"/>
    <w:multiLevelType w:val="multilevel"/>
    <w:tmpl w:val="00000411"/>
    <w:lvl w:ilvl="0">
      <w:start w:val="1"/>
      <w:numFmt w:val="decimal"/>
      <w:suff w:val="nothing"/>
      <w:lvlText w:val="(d) Quality improvement poi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1">
    <w:nsid w:val="00000412"/>
    <w:multiLevelType w:val="multilevel"/>
    <w:tmpl w:val="00000412"/>
    <w:lvl w:ilvl="0">
      <w:start w:val="1"/>
      <w:numFmt w:val="decimal"/>
      <w:suff w:val="nothing"/>
      <w:lvlText w:val="(f) Quality incentive pay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2">
    <w:nsid w:val="00000413"/>
    <w:multiLevelType w:val="multilevel"/>
    <w:tmpl w:val="0000041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3">
    <w:nsid w:val="00000414"/>
    <w:multiLevelType w:val="multilevel"/>
    <w:tmpl w:val="00000414"/>
    <w:lvl w:ilvl="0">
      <w:start w:val="1"/>
      <w:numFmt w:val="decimal"/>
      <w:lvlText w:val="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4">
    <w:nsid w:val="00000415"/>
    <w:multiLevelType w:val="multilevel"/>
    <w:tmpl w:val="00000415"/>
    <w:lvl w:ilvl="0">
      <w:start w:val="1"/>
      <w:numFmt w:val="decimal"/>
      <w:suff w:val="nothing"/>
      <w:lvlText w:val="§ 510.400 Quality measures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5">
    <w:nsid w:val="00000416"/>
    <w:multiLevelType w:val="multilevel"/>
    <w:tmpl w:val="00000416"/>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6">
    <w:nsid w:val="00000417"/>
    <w:multiLevelType w:val="multilevel"/>
    <w:tmpl w:val="00000417"/>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7">
    <w:nsid w:val="00000418"/>
    <w:multiLevelType w:val="multilevel"/>
    <w:tmpl w:val="00000418"/>
    <w:lvl w:ilvl="0">
      <w:start w:val="1"/>
      <w:numFmt w:val="decimal"/>
      <w:lvlText w:val="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8">
    <w:nsid w:val="00000419"/>
    <w:multiLevelType w:val="multilevel"/>
    <w:tmpl w:val="00000419"/>
    <w:lvl w:ilvl="0">
      <w:start w:val="1"/>
      <w:numFmt w:val="decimal"/>
      <w:suff w:val="nothing"/>
      <w:lvlText w:val="§ 510.405 Beneficiary choice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9">
    <w:nsid w:val="0000041A"/>
    <w:multiLevelType w:val="multilevel"/>
    <w:tmpl w:val="0000041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0">
    <w:nsid w:val="0000041B"/>
    <w:multiLevelType w:val="multilevel"/>
    <w:tmpl w:val="0000041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1">
    <w:nsid w:val="0000041C"/>
    <w:multiLevelType w:val="multilevel"/>
    <w:tmpl w:val="0000041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2">
    <w:nsid w:val="0000041D"/>
    <w:multiLevelType w:val="multilevel"/>
    <w:tmpl w:val="0000041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3">
    <w:nsid w:val="0000041E"/>
    <w:multiLevelType w:val="multilevel"/>
    <w:tmpl w:val="0000041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4">
    <w:nsid w:val="0000041F"/>
    <w:multiLevelType w:val="multilevel"/>
    <w:tmpl w:val="0000041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5">
    <w:nsid w:val="00000420"/>
    <w:multiLevelType w:val="multilevel"/>
    <w:tmpl w:val="00000420"/>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6">
    <w:nsid w:val="00000421"/>
    <w:multiLevelType w:val="multilevel"/>
    <w:tmpl w:val="00000421"/>
    <w:lvl w:ilvl="0">
      <w:start w:val="1"/>
      <w:numFmt w:val="decimal"/>
      <w:suff w:val="nothing"/>
      <w:lvlText w:val="(b) Required beneficiary noti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7">
    <w:nsid w:val="00000422"/>
    <w:multiLevelType w:val="multilevel"/>
    <w:tmpl w:val="00000422"/>
    <w:lvl w:ilvl="0">
      <w:start w:val="1"/>
      <w:numFmt w:val="decimal"/>
      <w:suff w:val="nothing"/>
      <w:lvlText w:val="(1) Participant hospital deta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8">
    <w:nsid w:val="00000423"/>
    <w:multiLevelType w:val="multilevel"/>
    <w:tmpl w:val="0000042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9">
    <w:nsid w:val="00000424"/>
    <w:multiLevelType w:val="multilevel"/>
    <w:tmpl w:val="0000042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0">
    <w:nsid w:val="00000425"/>
    <w:multiLevelType w:val="multilevel"/>
    <w:tmpl w:val="0000042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1">
    <w:nsid w:val="00000426"/>
    <w:multiLevelType w:val="multilevel"/>
    <w:tmpl w:val="00000426"/>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2">
    <w:nsid w:val="00000427"/>
    <w:multiLevelType w:val="multilevel"/>
    <w:tmpl w:val="00000427"/>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3">
    <w:nsid w:val="00000428"/>
    <w:multiLevelType w:val="multilevel"/>
    <w:tmpl w:val="00000428"/>
    <w:lvl w:ilvl="0">
      <w:start w:val="1"/>
      <w:numFmt w:val="decimal"/>
      <w:suff w:val="space"/>
      <w:lvlText w:val="(2) CJR collaborator noti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4">
    <w:nsid w:val="00000429"/>
    <w:multiLevelType w:val="multilevel"/>
    <w:tmpl w:val="0000042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5">
    <w:nsid w:val="0000042A"/>
    <w:multiLevelType w:val="multilevel"/>
    <w:tmpl w:val="0000042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6">
    <w:nsid w:val="0000042B"/>
    <w:multiLevelType w:val="multilevel"/>
    <w:tmpl w:val="0000042B"/>
    <w:lvl w:ilvl="0">
      <w:start w:val="1"/>
      <w:numFmt w:val="decimal"/>
      <w:suff w:val="space"/>
      <w:lvlText w:val="(3) Discharge planning noti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7">
    <w:nsid w:val="0000042C"/>
    <w:multiLevelType w:val="multilevel"/>
    <w:tmpl w:val="0000042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8">
    <w:nsid w:val="0000042D"/>
    <w:multiLevelType w:val="multilevel"/>
    <w:tmpl w:val="0000042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9">
    <w:nsid w:val="0000042E"/>
    <w:multiLevelType w:val="multilevel"/>
    <w:tmpl w:val="0000042E"/>
    <w:lvl w:ilvl="0">
      <w:start w:val="1"/>
      <w:numFmt w:val="decimal"/>
      <w:lvlText w:val="1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0">
    <w:nsid w:val="0000042F"/>
    <w:multiLevelType w:val="multilevel"/>
    <w:tmpl w:val="0000042F"/>
    <w:lvl w:ilvl="0">
      <w:start w:val="1"/>
      <w:numFmt w:val="decimal"/>
      <w:suff w:val="nothing"/>
      <w:lvlText w:val="§ 510.405 Beneficiary choice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1">
    <w:nsid w:val="00000430"/>
    <w:multiLevelType w:val="multilevel"/>
    <w:tmpl w:val="00000430"/>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2">
    <w:nsid w:val="00000431"/>
    <w:multiLevelType w:val="multilevel"/>
    <w:tmpl w:val="00000431"/>
    <w:lvl w:ilvl="0">
      <w:start w:val="1"/>
      <w:numFmt w:val="decimal"/>
      <w:suff w:val="nothing"/>
      <w:lvlText w:val="(1) Participant hospital deta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3">
    <w:nsid w:val="00000432"/>
    <w:multiLevelType w:val="multilevel"/>
    <w:tmpl w:val="0000043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4">
    <w:nsid w:val="00000433"/>
    <w:multiLevelType w:val="multilevel"/>
    <w:tmpl w:val="0000043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5">
    <w:nsid w:val="00000434"/>
    <w:multiLevelType w:val="multilevel"/>
    <w:tmpl w:val="0000043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6">
    <w:nsid w:val="00000435"/>
    <w:multiLevelType w:val="multilevel"/>
    <w:tmpl w:val="0000043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7">
    <w:nsid w:val="00000436"/>
    <w:multiLevelType w:val="multilevel"/>
    <w:tmpl w:val="00000436"/>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8">
    <w:nsid w:val="00000437"/>
    <w:multiLevelType w:val="multilevel"/>
    <w:tmpl w:val="00000437"/>
    <w:lvl w:ilvl="0">
      <w:start w:val="1"/>
      <w:numFmt w:val="decimal"/>
      <w:suff w:val="space"/>
      <w:lvlText w:val="(2) CJR collaborator noti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9">
    <w:nsid w:val="00000438"/>
    <w:multiLevelType w:val="multilevel"/>
    <w:tmpl w:val="0000043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0">
    <w:nsid w:val="00000439"/>
    <w:multiLevelType w:val="multilevel"/>
    <w:tmpl w:val="0000043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1">
    <w:nsid w:val="0000043A"/>
    <w:multiLevelType w:val="multilevel"/>
    <w:tmpl w:val="0000043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2">
    <w:nsid w:val="0000043B"/>
    <w:multiLevelType w:val="multilevel"/>
    <w:tmpl w:val="0000043B"/>
    <w:lvl w:ilvl="0">
      <w:start w:val="1"/>
      <w:numFmt w:val="decimal"/>
      <w:suff w:val="nothing"/>
      <w:lvlText w:val="(4) Access to records and ret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3">
    <w:nsid w:val="0000043C"/>
    <w:multiLevelType w:val="multilevel"/>
    <w:tmpl w:val="0000043C"/>
    <w:lvl w:ilvl="0">
      <w:start w:val="1"/>
      <w:numFmt w:val="decimal"/>
      <w:lvlText w:val="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4">
    <w:nsid w:val="0000043D"/>
    <w:multiLevelType w:val="multilevel"/>
    <w:tmpl w:val="0000043D"/>
    <w:lvl w:ilvl="0">
      <w:start w:val="1"/>
      <w:numFmt w:val="decimal"/>
      <w:suff w:val="nothing"/>
      <w:lvlText w:val="§ 510.410 Compliance enforc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5">
    <w:nsid w:val="0000043E"/>
    <w:multiLevelType w:val="multilevel"/>
    <w:tmpl w:val="0000043E"/>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6">
    <w:nsid w:val="0000043F"/>
    <w:multiLevelType w:val="multilevel"/>
    <w:tmpl w:val="0000043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7">
    <w:nsid w:val="00000440"/>
    <w:multiLevelType w:val="multilevel"/>
    <w:tmpl w:val="0000044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8">
    <w:nsid w:val="00000441"/>
    <w:multiLevelType w:val="multilevel"/>
    <w:tmpl w:val="00000441"/>
    <w:lvl w:ilvl="0">
      <w:start w:val="6"/>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9">
    <w:nsid w:val="00000442"/>
    <w:multiLevelType w:val="multilevel"/>
    <w:tmpl w:val="0000044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0">
    <w:nsid w:val="00000443"/>
    <w:multiLevelType w:val="multilevel"/>
    <w:tmpl w:val="0000044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1">
    <w:nsid w:val="00000444"/>
    <w:multiLevelType w:val="multilevel"/>
    <w:tmpl w:val="0000044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2">
    <w:nsid w:val="00000445"/>
    <w:multiLevelType w:val="multilevel"/>
    <w:tmpl w:val="0000044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3">
    <w:nsid w:val="00000446"/>
    <w:multiLevelType w:val="multilevel"/>
    <w:tmpl w:val="00000446"/>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4">
    <w:nsid w:val="00000447"/>
    <w:multiLevelType w:val="multilevel"/>
    <w:tmpl w:val="00000447"/>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5">
    <w:nsid w:val="00000448"/>
    <w:multiLevelType w:val="multilevel"/>
    <w:tmpl w:val="0000044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6">
    <w:nsid w:val="00000449"/>
    <w:multiLevelType w:val="multilevel"/>
    <w:tmpl w:val="0000044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7">
    <w:nsid w:val="0000044A"/>
    <w:multiLevelType w:val="multilevel"/>
    <w:tmpl w:val="0000044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8">
    <w:nsid w:val="0000044B"/>
    <w:multiLevelType w:val="multilevel"/>
    <w:tmpl w:val="0000044B"/>
    <w:lvl w:ilvl="0">
      <w:start w:val="1"/>
      <w:numFmt w:val="decimal"/>
      <w:lvlText w:val="1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9">
    <w:nsid w:val="0000044C"/>
    <w:multiLevelType w:val="multilevel"/>
    <w:tmpl w:val="0000044C"/>
    <w:lvl w:ilvl="0">
      <w:start w:val="1"/>
      <w:numFmt w:val="decimal"/>
      <w:suff w:val="nothing"/>
      <w:lvlText w:val="§ 510.500 Sharing arrang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0">
    <w:nsid w:val="0000044D"/>
    <w:multiLevelType w:val="multilevel"/>
    <w:tmpl w:val="0000044D"/>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1">
    <w:nsid w:val="0000044E"/>
    <w:multiLevelType w:val="multilevel"/>
    <w:tmpl w:val="0000044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2">
    <w:nsid w:val="0000044F"/>
    <w:multiLevelType w:val="multilevel"/>
    <w:tmpl w:val="0000044F"/>
    <w:lvl w:ilvl="0">
      <w:start w:val="1"/>
      <w:numFmt w:val="decimal"/>
      <w:suff w:val="space"/>
      <w:lvlText w:val="(b)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3">
    <w:nsid w:val="00000450"/>
    <w:multiLevelType w:val="multilevel"/>
    <w:tmpl w:val="0000045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4">
    <w:nsid w:val="00000451"/>
    <w:multiLevelType w:val="multilevel"/>
    <w:tmpl w:val="0000045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5">
    <w:nsid w:val="00000452"/>
    <w:multiLevelType w:val="multilevel"/>
    <w:tmpl w:val="0000045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6">
    <w:nsid w:val="00000453"/>
    <w:multiLevelType w:val="multilevel"/>
    <w:tmpl w:val="0000045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7">
    <w:nsid w:val="00000454"/>
    <w:multiLevelType w:val="multilevel"/>
    <w:tmpl w:val="0000045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8">
    <w:nsid w:val="00000455"/>
    <w:multiLevelType w:val="multilevel"/>
    <w:tmpl w:val="0000045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9">
    <w:nsid w:val="00000456"/>
    <w:multiLevelType w:val="multilevel"/>
    <w:tmpl w:val="0000045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0">
    <w:nsid w:val="00000457"/>
    <w:multiLevelType w:val="multilevel"/>
    <w:tmpl w:val="00000457"/>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1">
    <w:nsid w:val="00000458"/>
    <w:multiLevelType w:val="multilevel"/>
    <w:tmpl w:val="0000045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2">
    <w:nsid w:val="00000459"/>
    <w:multiLevelType w:val="multilevel"/>
    <w:tmpl w:val="0000045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3">
    <w:nsid w:val="0000045A"/>
    <w:multiLevelType w:val="multilevel"/>
    <w:tmpl w:val="0000045A"/>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4">
    <w:nsid w:val="0000045B"/>
    <w:multiLevelType w:val="multilevel"/>
    <w:tmpl w:val="0000045B"/>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5">
    <w:nsid w:val="0000045C"/>
    <w:multiLevelType w:val="multilevel"/>
    <w:tmpl w:val="0000045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6">
    <w:nsid w:val="0000045D"/>
    <w:multiLevelType w:val="multilevel"/>
    <w:tmpl w:val="0000045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7">
    <w:nsid w:val="0000045E"/>
    <w:multiLevelType w:val="multilevel"/>
    <w:tmpl w:val="0000045E"/>
    <w:lvl w:ilvl="0">
      <w:start w:val="1"/>
      <w:numFmt w:val="decimal"/>
      <w:suff w:val="nothing"/>
      <w:lvlText w:val="(c) Gainsharing payment, alig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8">
    <w:nsid w:val="0000045F"/>
    <w:multiLevelType w:val="multilevel"/>
    <w:tmpl w:val="0000045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9">
    <w:nsid w:val="00000460"/>
    <w:multiLevelType w:val="multilevel"/>
    <w:tmpl w:val="0000046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0">
    <w:nsid w:val="00000461"/>
    <w:multiLevelType w:val="multilevel"/>
    <w:tmpl w:val="0000046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1">
    <w:nsid w:val="00000462"/>
    <w:multiLevelType w:val="multilevel"/>
    <w:tmpl w:val="0000046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2">
    <w:nsid w:val="00000463"/>
    <w:multiLevelType w:val="multilevel"/>
    <w:tmpl w:val="00000463"/>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3">
    <w:nsid w:val="00000464"/>
    <w:multiLevelType w:val="multilevel"/>
    <w:tmpl w:val="0000046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4">
    <w:nsid w:val="00000465"/>
    <w:multiLevelType w:val="multilevel"/>
    <w:tmpl w:val="0000046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5">
    <w:nsid w:val="00000466"/>
    <w:multiLevelType w:val="multilevel"/>
    <w:tmpl w:val="0000046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6">
    <w:nsid w:val="00000467"/>
    <w:multiLevelType w:val="multilevel"/>
    <w:tmpl w:val="0000046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7">
    <w:nsid w:val="00000468"/>
    <w:multiLevelType w:val="multilevel"/>
    <w:tmpl w:val="0000046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8">
    <w:nsid w:val="00000469"/>
    <w:multiLevelType w:val="multilevel"/>
    <w:tmpl w:val="00000469"/>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9">
    <w:nsid w:val="0000046A"/>
    <w:multiLevelType w:val="multilevel"/>
    <w:tmpl w:val="0000046A"/>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0">
    <w:nsid w:val="0000046B"/>
    <w:multiLevelType w:val="multilevel"/>
    <w:tmpl w:val="0000046B"/>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1">
    <w:nsid w:val="0000046C"/>
    <w:multiLevelType w:val="multilevel"/>
    <w:tmpl w:val="0000046C"/>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2">
    <w:nsid w:val="0000046D"/>
    <w:multiLevelType w:val="multilevel"/>
    <w:tmpl w:val="0000046D"/>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3">
    <w:nsid w:val="0000046E"/>
    <w:multiLevelType w:val="multilevel"/>
    <w:tmpl w:val="0000046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4">
    <w:nsid w:val="0000046F"/>
    <w:multiLevelType w:val="multilevel"/>
    <w:tmpl w:val="0000046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5">
    <w:nsid w:val="00000470"/>
    <w:multiLevelType w:val="multilevel"/>
    <w:tmpl w:val="0000047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6">
    <w:nsid w:val="00000471"/>
    <w:multiLevelType w:val="multilevel"/>
    <w:tmpl w:val="0000047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7">
    <w:nsid w:val="00000472"/>
    <w:multiLevelType w:val="multilevel"/>
    <w:tmpl w:val="0000047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8">
    <w:nsid w:val="00000473"/>
    <w:multiLevelType w:val="multilevel"/>
    <w:tmpl w:val="0000047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9">
    <w:nsid w:val="00000474"/>
    <w:multiLevelType w:val="multilevel"/>
    <w:tmpl w:val="00000474"/>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0">
    <w:nsid w:val="00000475"/>
    <w:multiLevelType w:val="multilevel"/>
    <w:tmpl w:val="0000047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1">
    <w:nsid w:val="00000476"/>
    <w:multiLevelType w:val="multilevel"/>
    <w:tmpl w:val="0000047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2">
    <w:nsid w:val="00000477"/>
    <w:multiLevelType w:val="multilevel"/>
    <w:tmpl w:val="0000047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3">
    <w:nsid w:val="00000478"/>
    <w:multiLevelType w:val="multilevel"/>
    <w:tmpl w:val="00000478"/>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4">
    <w:nsid w:val="00000479"/>
    <w:multiLevelType w:val="multilevel"/>
    <w:tmpl w:val="00000479"/>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5">
    <w:nsid w:val="0000047A"/>
    <w:multiLevelType w:val="multilevel"/>
    <w:tmpl w:val="0000047A"/>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6">
    <w:nsid w:val="0000047B"/>
    <w:multiLevelType w:val="multilevel"/>
    <w:tmpl w:val="0000047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7">
    <w:nsid w:val="0000047C"/>
    <w:multiLevelType w:val="multilevel"/>
    <w:tmpl w:val="0000047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8">
    <w:nsid w:val="0000047D"/>
    <w:multiLevelType w:val="multilevel"/>
    <w:tmpl w:val="0000047D"/>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9">
    <w:nsid w:val="0000047E"/>
    <w:multiLevelType w:val="multilevel"/>
    <w:tmpl w:val="0000047E"/>
    <w:lvl w:ilvl="0">
      <w:start w:val="1"/>
      <w:numFmt w:val="decimal"/>
      <w:lvlText w:val="(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0">
    <w:nsid w:val="0000047F"/>
    <w:multiLevelType w:val="multilevel"/>
    <w:tmpl w:val="0000047F"/>
    <w:lvl w:ilvl="0">
      <w:start w:val="1"/>
      <w:numFmt w:val="decimal"/>
      <w:lvlText w:val="(1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1">
    <w:nsid w:val="00000480"/>
    <w:multiLevelType w:val="multilevel"/>
    <w:tmpl w:val="00000480"/>
    <w:lvl w:ilvl="0">
      <w:start w:val="1"/>
      <w:numFmt w:val="decimal"/>
      <w:suff w:val="nothing"/>
      <w:lvlText w:val="(d) Documentation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2">
    <w:nsid w:val="00000481"/>
    <w:multiLevelType w:val="multilevel"/>
    <w:tmpl w:val="0000048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3">
    <w:nsid w:val="00000482"/>
    <w:multiLevelType w:val="multilevel"/>
    <w:tmpl w:val="0000048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4">
    <w:nsid w:val="00000483"/>
    <w:multiLevelType w:val="multilevel"/>
    <w:tmpl w:val="0000048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5">
    <w:nsid w:val="00000484"/>
    <w:multiLevelType w:val="multilevel"/>
    <w:tmpl w:val="0000048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6">
    <w:nsid w:val="00000485"/>
    <w:multiLevelType w:val="multilevel"/>
    <w:tmpl w:val="0000048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7">
    <w:nsid w:val="00000486"/>
    <w:multiLevelType w:val="multilevel"/>
    <w:tmpl w:val="0000048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8">
    <w:nsid w:val="00000487"/>
    <w:multiLevelType w:val="multilevel"/>
    <w:tmpl w:val="00000487"/>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9">
    <w:nsid w:val="00000488"/>
    <w:multiLevelType w:val="multilevel"/>
    <w:tmpl w:val="00000488"/>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0">
    <w:nsid w:val="00000489"/>
    <w:multiLevelType w:val="multilevel"/>
    <w:tmpl w:val="00000489"/>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1">
    <w:nsid w:val="0000048A"/>
    <w:multiLevelType w:val="multilevel"/>
    <w:tmpl w:val="0000048A"/>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2">
    <w:nsid w:val="0000048B"/>
    <w:multiLevelType w:val="multilevel"/>
    <w:tmpl w:val="0000048B"/>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3">
    <w:nsid w:val="0000048C"/>
    <w:multiLevelType w:val="multilevel"/>
    <w:tmpl w:val="0000048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4">
    <w:nsid w:val="0000048D"/>
    <w:multiLevelType w:val="multilevel"/>
    <w:tmpl w:val="0000048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5">
    <w:nsid w:val="0000048E"/>
    <w:multiLevelType w:val="multilevel"/>
    <w:tmpl w:val="0000048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6">
    <w:nsid w:val="0000048F"/>
    <w:multiLevelType w:val="multilevel"/>
    <w:tmpl w:val="0000048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7">
    <w:nsid w:val="00000490"/>
    <w:multiLevelType w:val="multilevel"/>
    <w:tmpl w:val="00000490"/>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8">
    <w:nsid w:val="00000491"/>
    <w:multiLevelType w:val="multilevel"/>
    <w:tmpl w:val="00000491"/>
    <w:lvl w:ilvl="0">
      <w:start w:val="1"/>
      <w:numFmt w:val="decimal"/>
      <w:lvlText w:val="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9">
    <w:nsid w:val="00000492"/>
    <w:multiLevelType w:val="multilevel"/>
    <w:tmpl w:val="00000492"/>
    <w:lvl w:ilvl="0">
      <w:start w:val="1"/>
      <w:numFmt w:val="decimal"/>
      <w:suff w:val="nothing"/>
      <w:lvlText w:val="§ 510.505 Distribution arrang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0">
    <w:nsid w:val="00000493"/>
    <w:multiLevelType w:val="multilevel"/>
    <w:tmpl w:val="00000493"/>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1">
    <w:nsid w:val="00000494"/>
    <w:multiLevelType w:val="multilevel"/>
    <w:tmpl w:val="0000049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2">
    <w:nsid w:val="00000495"/>
    <w:multiLevelType w:val="multilevel"/>
    <w:tmpl w:val="00000495"/>
    <w:lvl w:ilvl="0">
      <w:start w:val="1"/>
      <w:numFmt w:val="decimal"/>
      <w:suff w:val="space"/>
      <w:lvlText w:val="(b)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3">
    <w:nsid w:val="00000496"/>
    <w:multiLevelType w:val="multilevel"/>
    <w:tmpl w:val="0000049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4">
    <w:nsid w:val="00000497"/>
    <w:multiLevelType w:val="multilevel"/>
    <w:tmpl w:val="0000049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5">
    <w:nsid w:val="00000498"/>
    <w:multiLevelType w:val="multilevel"/>
    <w:tmpl w:val="0000049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6">
    <w:nsid w:val="00000499"/>
    <w:multiLevelType w:val="multilevel"/>
    <w:tmpl w:val="00000499"/>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7">
    <w:nsid w:val="0000049A"/>
    <w:multiLevelType w:val="multilevel"/>
    <w:tmpl w:val="0000049A"/>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8">
    <w:nsid w:val="0000049B"/>
    <w:multiLevelType w:val="multilevel"/>
    <w:tmpl w:val="0000049B"/>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9">
    <w:nsid w:val="0000049C"/>
    <w:multiLevelType w:val="multilevel"/>
    <w:tmpl w:val="0000049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0">
    <w:nsid w:val="0000049D"/>
    <w:multiLevelType w:val="multilevel"/>
    <w:tmpl w:val="0000049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1">
    <w:nsid w:val="0000049E"/>
    <w:multiLevelType w:val="multilevel"/>
    <w:tmpl w:val="0000049E"/>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2">
    <w:nsid w:val="0000049F"/>
    <w:multiLevelType w:val="multilevel"/>
    <w:tmpl w:val="0000049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3">
    <w:nsid w:val="000004A0"/>
    <w:multiLevelType w:val="multilevel"/>
    <w:tmpl w:val="000004A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4">
    <w:nsid w:val="000004A1"/>
    <w:multiLevelType w:val="multilevel"/>
    <w:tmpl w:val="000004A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5">
    <w:nsid w:val="000004A2"/>
    <w:multiLevelType w:val="multilevel"/>
    <w:tmpl w:val="000004A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6">
    <w:nsid w:val="000004A3"/>
    <w:multiLevelType w:val="multilevel"/>
    <w:tmpl w:val="000004A3"/>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7">
    <w:nsid w:val="000004A4"/>
    <w:multiLevelType w:val="multilevel"/>
    <w:tmpl w:val="000004A4"/>
    <w:lvl w:ilvl="0">
      <w:start w:val="1"/>
      <w:numFmt w:val="decimal"/>
      <w:lvlText w:val="(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8">
    <w:nsid w:val="000004A5"/>
    <w:multiLevelType w:val="multilevel"/>
    <w:tmpl w:val="000004A5"/>
    <w:lvl w:ilvl="0">
      <w:start w:val="1"/>
      <w:numFmt w:val="decimal"/>
      <w:lvlText w:val="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9">
    <w:nsid w:val="000004A6"/>
    <w:multiLevelType w:val="multilevel"/>
    <w:tmpl w:val="000004A6"/>
    <w:lvl w:ilvl="0">
      <w:start w:val="1"/>
      <w:numFmt w:val="decimal"/>
      <w:suff w:val="nothing"/>
      <w:lvlText w:val="§ 510.506 Downstream distribu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0">
    <w:nsid w:val="000004A7"/>
    <w:multiLevelType w:val="multilevel"/>
    <w:tmpl w:val="000004A7"/>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1">
    <w:nsid w:val="000004A8"/>
    <w:multiLevelType w:val="multilevel"/>
    <w:tmpl w:val="000004A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2">
    <w:nsid w:val="000004A9"/>
    <w:multiLevelType w:val="multilevel"/>
    <w:tmpl w:val="000004A9"/>
    <w:lvl w:ilvl="0">
      <w:start w:val="1"/>
      <w:numFmt w:val="decimal"/>
      <w:suff w:val="space"/>
      <w:lvlText w:val="(b)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3">
    <w:nsid w:val="000004AA"/>
    <w:multiLevelType w:val="multilevel"/>
    <w:tmpl w:val="000004A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4">
    <w:nsid w:val="000004AB"/>
    <w:multiLevelType w:val="multilevel"/>
    <w:tmpl w:val="000004AB"/>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5">
    <w:nsid w:val="000004AC"/>
    <w:multiLevelType w:val="multilevel"/>
    <w:tmpl w:val="000004AC"/>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6">
    <w:nsid w:val="000004AD"/>
    <w:multiLevelType w:val="multilevel"/>
    <w:tmpl w:val="000004AD"/>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7">
    <w:nsid w:val="000004AE"/>
    <w:multiLevelType w:val="multilevel"/>
    <w:tmpl w:val="000004A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8">
    <w:nsid w:val="000004AF"/>
    <w:multiLevelType w:val="multilevel"/>
    <w:tmpl w:val="000004A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9">
    <w:nsid w:val="000004B0"/>
    <w:multiLevelType w:val="multilevel"/>
    <w:tmpl w:val="000004B0"/>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0">
    <w:nsid w:val="000004B1"/>
    <w:multiLevelType w:val="multilevel"/>
    <w:tmpl w:val="000004B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1">
    <w:nsid w:val="000004B2"/>
    <w:multiLevelType w:val="multilevel"/>
    <w:tmpl w:val="000004B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2">
    <w:nsid w:val="000004B3"/>
    <w:multiLevelType w:val="multilevel"/>
    <w:tmpl w:val="000004B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3">
    <w:nsid w:val="000004B4"/>
    <w:multiLevelType w:val="multilevel"/>
    <w:tmpl w:val="000004B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4">
    <w:nsid w:val="000004B5"/>
    <w:multiLevelType w:val="multilevel"/>
    <w:tmpl w:val="000004B5"/>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5">
    <w:nsid w:val="000004B6"/>
    <w:multiLevelType w:val="multilevel"/>
    <w:tmpl w:val="000004B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6">
    <w:nsid w:val="000004B7"/>
    <w:multiLevelType w:val="multilevel"/>
    <w:tmpl w:val="000004B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7">
    <w:nsid w:val="000004B8"/>
    <w:multiLevelType w:val="multilevel"/>
    <w:tmpl w:val="000004B8"/>
    <w:lvl w:ilvl="0">
      <w:start w:val="1"/>
      <w:numFmt w:val="decimal"/>
      <w:lvlText w:val="(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8">
    <w:nsid w:val="000004B9"/>
    <w:multiLevelType w:val="multilevel"/>
    <w:tmpl w:val="000004B9"/>
    <w:lvl w:ilvl="0">
      <w:start w:val="1"/>
      <w:numFmt w:val="decimal"/>
      <w:lvlText w:val="1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9">
    <w:nsid w:val="000004BA"/>
    <w:multiLevelType w:val="multilevel"/>
    <w:tmpl w:val="000004BA"/>
    <w:lvl w:ilvl="0">
      <w:start w:val="1"/>
      <w:numFmt w:val="decimal"/>
      <w:suff w:val="nothing"/>
      <w:lvlText w:val="§ 510.515 Beneficiary incentiv"/>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0">
    <w:nsid w:val="000004BB"/>
    <w:multiLevelType w:val="multilevel"/>
    <w:tmpl w:val="000004B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1">
    <w:nsid w:val="000004BC"/>
    <w:multiLevelType w:val="multilevel"/>
    <w:tmpl w:val="000004BC"/>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2">
    <w:nsid w:val="000004BD"/>
    <w:multiLevelType w:val="multilevel"/>
    <w:tmpl w:val="000004BD"/>
    <w:lvl w:ilvl="0">
      <w:start w:val="1"/>
      <w:numFmt w:val="decimal"/>
      <w:suff w:val="nothing"/>
      <w:lvlText w:val="(b) Technology provided to a C"/>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3">
    <w:nsid w:val="000004BE"/>
    <w:multiLevelType w:val="multilevel"/>
    <w:tmpl w:val="000004B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4">
    <w:nsid w:val="000004BF"/>
    <w:multiLevelType w:val="multilevel"/>
    <w:tmpl w:val="000004B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5">
    <w:nsid w:val="000004C0"/>
    <w:multiLevelType w:val="multilevel"/>
    <w:tmpl w:val="000004C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6">
    <w:nsid w:val="000004C1"/>
    <w:multiLevelType w:val="multilevel"/>
    <w:tmpl w:val="000004C1"/>
    <w:lvl w:ilvl="0">
      <w:start w:val="1"/>
      <w:numFmt w:val="decimal"/>
      <w:suff w:val="nothing"/>
      <w:lvlText w:val="(c) Clinical goals of the CJR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7">
    <w:nsid w:val="000004C2"/>
    <w:multiLevelType w:val="multilevel"/>
    <w:tmpl w:val="000004C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8">
    <w:nsid w:val="000004C3"/>
    <w:multiLevelType w:val="multilevel"/>
    <w:tmpl w:val="000004C3"/>
    <w:lvl w:ilvl="0">
      <w:start w:val="1"/>
      <w:numFmt w:val="decimal"/>
      <w:suff w:val="nothing"/>
      <w:lvlText w:val="(d) Documentation of benefici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9">
    <w:nsid w:val="000004C4"/>
    <w:multiLevelType w:val="multilevel"/>
    <w:tmpl w:val="000004C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0">
    <w:nsid w:val="000004C5"/>
    <w:multiLevelType w:val="multilevel"/>
    <w:tmpl w:val="000004C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1">
    <w:nsid w:val="000004C6"/>
    <w:multiLevelType w:val="multilevel"/>
    <w:tmpl w:val="000004C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2">
    <w:nsid w:val="000004C7"/>
    <w:multiLevelType w:val="multilevel"/>
    <w:tmpl w:val="000004C7"/>
    <w:lvl w:ilvl="0">
      <w:start w:val="1"/>
      <w:numFmt w:val="decimal"/>
      <w:lvlText w:val="2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3">
    <w:nsid w:val="000004C8"/>
    <w:multiLevelType w:val="multilevel"/>
    <w:tmpl w:val="000004C8"/>
    <w:lvl w:ilvl="0">
      <w:start w:val="1"/>
      <w:numFmt w:val="decimal"/>
      <w:suff w:val="nothing"/>
      <w:lvlText w:val="§ 510.610 Waiver of SNF 3-day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4">
    <w:nsid w:val="000004C9"/>
    <w:multiLevelType w:val="multilevel"/>
    <w:tmpl w:val="000004C9"/>
    <w:lvl w:ilvl="0">
      <w:start w:val="1"/>
      <w:numFmt w:val="decimal"/>
      <w:suff w:val="nothing"/>
      <w:lvlText w:val="(a) Waiver of the SNF 3-day ru"/>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5">
    <w:nsid w:val="000004CA"/>
    <w:multiLevelType w:val="multilevel"/>
    <w:tmpl w:val="000004C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6">
    <w:nsid w:val="000004CB"/>
    <w:multiLevelType w:val="multilevel"/>
    <w:tmpl w:val="000004CB"/>
    <w:lvl w:ilvl="0">
      <w:start w:val="1"/>
      <w:numFmt w:val="decimal"/>
      <w:suff w:val="nothing"/>
      <w:lvlText w:val="(b) Financial liability for n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7">
    <w:nsid w:val="000004CC"/>
    <w:multiLevelType w:val="multilevel"/>
    <w:tmpl w:val="000004C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8">
    <w:nsid w:val="000004CD"/>
    <w:multiLevelType w:val="multilevel"/>
    <w:tmpl w:val="000004C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9">
    <w:nsid w:val="000004CE"/>
    <w:multiLevelType w:val="multilevel"/>
    <w:tmpl w:val="000004C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0">
    <w:nsid w:val="000004CF"/>
    <w:multiLevelType w:val="multilevel"/>
    <w:tmpl w:val="000004C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1">
    <w:nsid w:val="000004D0"/>
    <w:multiLevelType w:val="multilevel"/>
    <w:tmpl w:val="000004D0"/>
    <w:lvl w:ilvl="0">
      <w:start w:val="1"/>
      <w:numFmt w:val="decimal"/>
      <w:suff w:val="space"/>
      <w:lvlText w:val="(c) Other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2">
    <w:nsid w:val="000004D1"/>
    <w:multiLevelType w:val="multilevel"/>
    <w:tmpl w:val="000004D1"/>
    <w:lvl w:ilvl="0">
      <w:start w:val="1"/>
      <w:numFmt w:val="decimal"/>
      <w:lvlText w:val="2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3">
    <w:nsid w:val="000004D2"/>
    <w:multiLevelType w:val="multilevel"/>
    <w:tmpl w:val="000004D2"/>
    <w:lvl w:ilvl="0">
      <w:start w:val="1"/>
      <w:numFmt w:val="decimal"/>
      <w:suff w:val="nothing"/>
      <w:lvlText w:val="§ 510.620 Waiver of deductibl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4">
    <w:nsid w:val="000004D3"/>
    <w:multiLevelType w:val="multilevel"/>
    <w:tmpl w:val="000004D3"/>
    <w:lvl w:ilvl="0">
      <w:start w:val="1"/>
      <w:numFmt w:val="decimal"/>
      <w:suff w:val="nothing"/>
      <w:lvlText w:val="(a) Waiver of deductible and c"/>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5">
    <w:nsid w:val="000004D4"/>
    <w:multiLevelType w:val="multilevel"/>
    <w:tmpl w:val="000004D4"/>
    <w:lvl w:ilvl="0">
      <w:start w:val="1"/>
      <w:numFmt w:val="decimal"/>
      <w:lvlText w:val="2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6">
    <w:nsid w:val="000004D5"/>
    <w:multiLevelType w:val="multilevel"/>
    <w:tmpl w:val="000004D5"/>
    <w:lvl w:ilvl="0">
      <w:start w:val="1"/>
      <w:numFmt w:val="decimal"/>
      <w:suff w:val="nothing"/>
      <w:lvlText w:val="PART 512-- EPISODE PAYMENT MO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7">
    <w:nsid w:val="000004D6"/>
    <w:multiLevelType w:val="multilevel"/>
    <w:tmpl w:val="000004D6"/>
    <w:lvl w:ilvl="0">
      <w:start w:val="1"/>
      <w:numFmt w:val="decimal"/>
      <w:suff w:val="space"/>
      <w:lvlText w:val="Subpart A-- General Provis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8">
    <w:nsid w:val="000004D7"/>
    <w:multiLevelType w:val="multilevel"/>
    <w:tmpl w:val="000004D7"/>
    <w:lvl w:ilvl="0">
      <w:start w:val="1"/>
      <w:numFmt w:val="decimal"/>
      <w:suff w:val="space"/>
      <w:lvlText w:val="512.1 Basis and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9">
    <w:nsid w:val="000004D8"/>
    <w:multiLevelType w:val="multilevel"/>
    <w:tmpl w:val="000004D8"/>
    <w:lvl w:ilvl="0">
      <w:start w:val="1"/>
      <w:numFmt w:val="decimal"/>
      <w:suff w:val="space"/>
      <w:lvlText w:val="512.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0">
    <w:nsid w:val="000004D9"/>
    <w:multiLevelType w:val="multilevel"/>
    <w:tmpl w:val="000004D9"/>
    <w:lvl w:ilvl="0">
      <w:start w:val="1"/>
      <w:numFmt w:val="decimal"/>
      <w:suff w:val="nothing"/>
      <w:lvlText w:val="Subpart B-- Episode Payment M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1">
    <w:nsid w:val="000004DA"/>
    <w:multiLevelType w:val="multilevel"/>
    <w:tmpl w:val="000004DA"/>
    <w:lvl w:ilvl="0">
      <w:start w:val="1"/>
      <w:numFmt w:val="decimal"/>
      <w:suff w:val="nothing"/>
      <w:lvlText w:val="512.100 EPM episodes being t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2">
    <w:nsid w:val="000004DB"/>
    <w:multiLevelType w:val="multilevel"/>
    <w:tmpl w:val="000004DB"/>
    <w:lvl w:ilvl="0">
      <w:start w:val="1"/>
      <w:numFmt w:val="decimal"/>
      <w:suff w:val="space"/>
      <w:lvlText w:val="512.105 Geographic area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3">
    <w:nsid w:val="000004DC"/>
    <w:multiLevelType w:val="multilevel"/>
    <w:tmpl w:val="000004DC"/>
    <w:lvl w:ilvl="0">
      <w:start w:val="1"/>
      <w:numFmt w:val="decimal"/>
      <w:suff w:val="nothing"/>
      <w:lvlText w:val="512.110 Access to records an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4">
    <w:nsid w:val="000004DD"/>
    <w:multiLevelType w:val="multilevel"/>
    <w:tmpl w:val="000004DD"/>
    <w:lvl w:ilvl="0">
      <w:start w:val="1"/>
      <w:numFmt w:val="decimal"/>
      <w:suff w:val="nothing"/>
      <w:lvlText w:val="512.120 EPM participant CEHRT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5">
    <w:nsid w:val="000004DE"/>
    <w:multiLevelType w:val="multilevel"/>
    <w:tmpl w:val="000004DE"/>
    <w:lvl w:ilvl="0">
      <w:start w:val="1"/>
      <w:numFmt w:val="decimal"/>
      <w:suff w:val="space"/>
      <w:lvlText w:val="Subpart C-- Scope of Episod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6">
    <w:nsid w:val="000004DF"/>
    <w:multiLevelType w:val="multilevel"/>
    <w:tmpl w:val="000004DF"/>
    <w:lvl w:ilvl="0">
      <w:start w:val="1"/>
      <w:numFmt w:val="decimal"/>
      <w:suff w:val="nothing"/>
      <w:lvlText w:val="512.200 Time periods for EPM 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7">
    <w:nsid w:val="000004E0"/>
    <w:multiLevelType w:val="multilevel"/>
    <w:tmpl w:val="000004E0"/>
    <w:lvl w:ilvl="0">
      <w:start w:val="1"/>
      <w:numFmt w:val="decimal"/>
      <w:suff w:val="nothing"/>
      <w:lvlText w:val="512.210 Included and exclude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8">
    <w:nsid w:val="000004E1"/>
    <w:multiLevelType w:val="multilevel"/>
    <w:tmpl w:val="000004E1"/>
    <w:lvl w:ilvl="0">
      <w:start w:val="1"/>
      <w:numFmt w:val="decimal"/>
      <w:suff w:val="nothing"/>
      <w:lvlText w:val="512.230 Beneficiary inclusio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9">
    <w:nsid w:val="000004E2"/>
    <w:multiLevelType w:val="multilevel"/>
    <w:tmpl w:val="000004E2"/>
    <w:lvl w:ilvl="0">
      <w:start w:val="1"/>
      <w:numFmt w:val="decimal"/>
      <w:suff w:val="nothing"/>
      <w:lvlText w:val="512.240 Determination of the 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0">
    <w:nsid w:val="000004E3"/>
    <w:multiLevelType w:val="multilevel"/>
    <w:tmpl w:val="000004E3"/>
    <w:lvl w:ilvl="0">
      <w:start w:val="1"/>
      <w:numFmt w:val="decimal"/>
      <w:suff w:val="nothing"/>
      <w:lvlText w:val="Subpart D-- Pricing and Paym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1">
    <w:nsid w:val="000004E4"/>
    <w:multiLevelType w:val="multilevel"/>
    <w:tmpl w:val="000004E4"/>
    <w:lvl w:ilvl="0">
      <w:start w:val="1"/>
      <w:numFmt w:val="decimal"/>
      <w:suff w:val="nothing"/>
      <w:lvlText w:val="512.300 Determination of epis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2">
    <w:nsid w:val="000004E5"/>
    <w:multiLevelType w:val="multilevel"/>
    <w:tmpl w:val="000004E5"/>
    <w:lvl w:ilvl="0">
      <w:start w:val="1"/>
      <w:numFmt w:val="decimal"/>
      <w:suff w:val="nothing"/>
      <w:lvlText w:val="512.305 Determination of the 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3">
    <w:nsid w:val="000004E6"/>
    <w:multiLevelType w:val="multilevel"/>
    <w:tmpl w:val="000004E6"/>
    <w:lvl w:ilvl="0">
      <w:start w:val="1"/>
      <w:numFmt w:val="decimal"/>
      <w:suff w:val="nothing"/>
      <w:lvlText w:val="512.307 Subsequent calcul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4">
    <w:nsid w:val="000004E7"/>
    <w:multiLevelType w:val="multilevel"/>
    <w:tmpl w:val="000004E7"/>
    <w:lvl w:ilvl="0">
      <w:start w:val="1"/>
      <w:numFmt w:val="decimal"/>
      <w:suff w:val="space"/>
      <w:lvlText w:val="512.310 Appeals proce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5">
    <w:nsid w:val="000004E8"/>
    <w:multiLevelType w:val="multilevel"/>
    <w:tmpl w:val="000004E8"/>
    <w:lvl w:ilvl="0">
      <w:start w:val="1"/>
      <w:numFmt w:val="decimal"/>
      <w:suff w:val="nothing"/>
      <w:lvlText w:val="512.315 Composite quality sco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6">
    <w:nsid w:val="000004E9"/>
    <w:multiLevelType w:val="multilevel"/>
    <w:tmpl w:val="000004E9"/>
    <w:lvl w:ilvl="0">
      <w:start w:val="1"/>
      <w:numFmt w:val="decimal"/>
      <w:suff w:val="nothing"/>
      <w:lvlText w:val="512.320 Treatment of incentiv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7">
    <w:nsid w:val="000004EA"/>
    <w:multiLevelType w:val="multilevel"/>
    <w:tmpl w:val="000004EA"/>
    <w:lvl w:ilvl="0">
      <w:start w:val="1"/>
      <w:numFmt w:val="decimal"/>
      <w:suff w:val="space"/>
      <w:lvlText w:val="512.350 Data shar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8">
    <w:nsid w:val="000004EB"/>
    <w:multiLevelType w:val="multilevel"/>
    <w:tmpl w:val="000004EB"/>
    <w:lvl w:ilvl="0">
      <w:start w:val="1"/>
      <w:numFmt w:val="decimal"/>
      <w:suff w:val="nothing"/>
      <w:lvlText w:val="Subpart E-- Quality Measure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9">
    <w:nsid w:val="000004EC"/>
    <w:multiLevelType w:val="multilevel"/>
    <w:tmpl w:val="000004EC"/>
    <w:lvl w:ilvl="0">
      <w:start w:val="1"/>
      <w:numFmt w:val="decimal"/>
      <w:suff w:val="nothing"/>
      <w:lvlText w:val="512.400 Quality measures and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0">
    <w:nsid w:val="000004ED"/>
    <w:multiLevelType w:val="multilevel"/>
    <w:tmpl w:val="000004ED"/>
    <w:lvl w:ilvl="0">
      <w:start w:val="1"/>
      <w:numFmt w:val="decimal"/>
      <w:suff w:val="nothing"/>
      <w:lvlText w:val="512.411 Quality measures and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1">
    <w:nsid w:val="000004EE"/>
    <w:multiLevelType w:val="multilevel"/>
    <w:tmpl w:val="000004EE"/>
    <w:lvl w:ilvl="0">
      <w:start w:val="1"/>
      <w:numFmt w:val="decimal"/>
      <w:suff w:val="nothing"/>
      <w:lvlText w:val="512.412 Quality measures and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2">
    <w:nsid w:val="000004EF"/>
    <w:multiLevelType w:val="multilevel"/>
    <w:tmpl w:val="000004EF"/>
    <w:lvl w:ilvl="0">
      <w:start w:val="1"/>
      <w:numFmt w:val="decimal"/>
      <w:suff w:val="nothing"/>
      <w:lvlText w:val="512.413 Quality measures and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3">
    <w:nsid w:val="000004F0"/>
    <w:multiLevelType w:val="multilevel"/>
    <w:tmpl w:val="000004F0"/>
    <w:lvl w:ilvl="0">
      <w:start w:val="1"/>
      <w:numFmt w:val="decimal"/>
      <w:suff w:val="nothing"/>
      <w:lvlText w:val="512.450 Beneficiary choice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4">
    <w:nsid w:val="000004F1"/>
    <w:multiLevelType w:val="multilevel"/>
    <w:tmpl w:val="000004F1"/>
    <w:lvl w:ilvl="0">
      <w:start w:val="1"/>
      <w:numFmt w:val="decimal"/>
      <w:suff w:val="nothing"/>
      <w:lvlText w:val="512.460 Compliance enforce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5">
    <w:nsid w:val="000004F2"/>
    <w:multiLevelType w:val="multilevel"/>
    <w:tmpl w:val="000004F2"/>
    <w:lvl w:ilvl="0">
      <w:start w:val="1"/>
      <w:numFmt w:val="decimal"/>
      <w:suff w:val="nothing"/>
      <w:lvlText w:val="Subpart F-- Financial Arrange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6">
    <w:nsid w:val="000004F3"/>
    <w:multiLevelType w:val="multilevel"/>
    <w:tmpl w:val="000004F3"/>
    <w:lvl w:ilvl="0">
      <w:start w:val="1"/>
      <w:numFmt w:val="decimal"/>
      <w:suff w:val="nothing"/>
      <w:lvlText w:val="512.500 Sharing arrangements 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7">
    <w:nsid w:val="000004F4"/>
    <w:multiLevelType w:val="multilevel"/>
    <w:tmpl w:val="000004F4"/>
    <w:lvl w:ilvl="0">
      <w:start w:val="1"/>
      <w:numFmt w:val="decimal"/>
      <w:suff w:val="nothing"/>
      <w:lvlText w:val="512.505 Distribution arrang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8">
    <w:nsid w:val="000004F5"/>
    <w:multiLevelType w:val="multilevel"/>
    <w:tmpl w:val="000004F5"/>
    <w:lvl w:ilvl="0">
      <w:start w:val="1"/>
      <w:numFmt w:val="decimal"/>
      <w:suff w:val="nothing"/>
      <w:lvlText w:val="512.510 Downstream distributi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9">
    <w:nsid w:val="000004F6"/>
    <w:multiLevelType w:val="multilevel"/>
    <w:tmpl w:val="000004F6"/>
    <w:lvl w:ilvl="0">
      <w:start w:val="1"/>
      <w:numFmt w:val="decimal"/>
      <w:suff w:val="nothing"/>
      <w:lvlText w:val="512.520 Enforcement authority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0">
    <w:nsid w:val="000004F7"/>
    <w:multiLevelType w:val="multilevel"/>
    <w:tmpl w:val="000004F7"/>
    <w:lvl w:ilvl="0">
      <w:start w:val="1"/>
      <w:numFmt w:val="decimal"/>
      <w:suff w:val="nothing"/>
      <w:lvlText w:val="512.525 Beneficiary engage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1">
    <w:nsid w:val="000004F8"/>
    <w:multiLevelType w:val="multilevel"/>
    <w:tmpl w:val="000004F8"/>
    <w:lvl w:ilvl="0">
      <w:start w:val="1"/>
      <w:numFmt w:val="decimal"/>
      <w:suff w:val="space"/>
      <w:lvlText w:val="Subpart G-- Waiver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2">
    <w:nsid w:val="000004F9"/>
    <w:multiLevelType w:val="multilevel"/>
    <w:tmpl w:val="000004F9"/>
    <w:lvl w:ilvl="0">
      <w:start w:val="1"/>
      <w:numFmt w:val="decimal"/>
      <w:suff w:val="nothing"/>
      <w:lvlText w:val="512.600 Waiver of direct supe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3">
    <w:nsid w:val="000004FA"/>
    <w:multiLevelType w:val="multilevel"/>
    <w:tmpl w:val="000004FA"/>
    <w:lvl w:ilvl="0">
      <w:start w:val="1"/>
      <w:numFmt w:val="decimal"/>
      <w:suff w:val="nothing"/>
      <w:lvlText w:val="512.605 Waiver of certain tel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4">
    <w:nsid w:val="000004FB"/>
    <w:multiLevelType w:val="multilevel"/>
    <w:tmpl w:val="000004FB"/>
    <w:lvl w:ilvl="0">
      <w:start w:val="1"/>
      <w:numFmt w:val="decimal"/>
      <w:suff w:val="nothing"/>
      <w:lvlText w:val="512.610 Waiver of SNF 3-day r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5">
    <w:nsid w:val="000004FC"/>
    <w:multiLevelType w:val="multilevel"/>
    <w:tmpl w:val="000004FC"/>
    <w:lvl w:ilvl="0">
      <w:start w:val="1"/>
      <w:numFmt w:val="decimal"/>
      <w:suff w:val="nothing"/>
      <w:lvlText w:val="512.615 Waiver of certain po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6">
    <w:nsid w:val="000004FD"/>
    <w:multiLevelType w:val="multilevel"/>
    <w:tmpl w:val="000004FD"/>
    <w:lvl w:ilvl="0">
      <w:start w:val="1"/>
      <w:numFmt w:val="decimal"/>
      <w:suff w:val="nothing"/>
      <w:lvlText w:val="512.620 Waiver of deductible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7">
    <w:nsid w:val="000004FE"/>
    <w:multiLevelType w:val="multilevel"/>
    <w:tmpl w:val="000004FE"/>
    <w:lvl w:ilvl="0">
      <w:start w:val="1"/>
      <w:numFmt w:val="decimal"/>
      <w:suff w:val="nothing"/>
      <w:lvlText w:val="512.630 Waiver of physician d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8">
    <w:nsid w:val="000004FF"/>
    <w:multiLevelType w:val="multilevel"/>
    <w:tmpl w:val="000004FF"/>
    <w:lvl w:ilvl="0">
      <w:start w:val="1"/>
      <w:numFmt w:val="decimal"/>
      <w:suff w:val="nothing"/>
      <w:lvlText w:val="Subpart H-- CR Incentive Pay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9">
    <w:nsid w:val="00000500"/>
    <w:multiLevelType w:val="multilevel"/>
    <w:tmpl w:val="00000500"/>
    <w:lvl w:ilvl="0">
      <w:start w:val="1"/>
      <w:numFmt w:val="decimal"/>
      <w:suff w:val="space"/>
      <w:lvlText w:val="512.700 Basis and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0">
    <w:nsid w:val="00000501"/>
    <w:multiLevelType w:val="multilevel"/>
    <w:tmpl w:val="00000501"/>
    <w:lvl w:ilvl="0">
      <w:start w:val="1"/>
      <w:numFmt w:val="decimal"/>
      <w:suff w:val="nothing"/>
      <w:lvlText w:val="512.703 CR incentive payment 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1">
    <w:nsid w:val="00000502"/>
    <w:multiLevelType w:val="multilevel"/>
    <w:tmpl w:val="00000502"/>
    <w:lvl w:ilvl="0">
      <w:start w:val="1"/>
      <w:numFmt w:val="decimal"/>
      <w:suff w:val="nothing"/>
      <w:lvlText w:val="512.705 CR/ICR services that 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2">
    <w:nsid w:val="00000503"/>
    <w:multiLevelType w:val="multilevel"/>
    <w:tmpl w:val="00000503"/>
    <w:lvl w:ilvl="0">
      <w:start w:val="1"/>
      <w:numFmt w:val="decimal"/>
      <w:suff w:val="nothing"/>
      <w:lvlText w:val="512.710 Determination of CR i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3">
    <w:nsid w:val="00000504"/>
    <w:multiLevelType w:val="multilevel"/>
    <w:tmpl w:val="00000504"/>
    <w:lvl w:ilvl="0">
      <w:start w:val="1"/>
      <w:numFmt w:val="decimal"/>
      <w:suff w:val="nothing"/>
      <w:lvlText w:val="512.715 Access to records an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4">
    <w:nsid w:val="00000505"/>
    <w:multiLevelType w:val="multilevel"/>
    <w:tmpl w:val="00000505"/>
    <w:lvl w:ilvl="0">
      <w:start w:val="1"/>
      <w:numFmt w:val="decimal"/>
      <w:suff w:val="nothing"/>
      <w:lvlText w:val="512.720 Appeals process for F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5">
    <w:nsid w:val="00000506"/>
    <w:multiLevelType w:val="multilevel"/>
    <w:tmpl w:val="00000506"/>
    <w:lvl w:ilvl="0">
      <w:start w:val="1"/>
      <w:numFmt w:val="decimal"/>
      <w:suff w:val="nothing"/>
      <w:lvlText w:val="512.725 Data sharing for FFS-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6">
    <w:nsid w:val="00000507"/>
    <w:multiLevelType w:val="multilevel"/>
    <w:tmpl w:val="00000507"/>
    <w:lvl w:ilvl="0">
      <w:start w:val="1"/>
      <w:numFmt w:val="decimal"/>
      <w:suff w:val="nothing"/>
      <w:lvlText w:val="512.730 Compliance enforce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7">
    <w:nsid w:val="00000508"/>
    <w:multiLevelType w:val="multilevel"/>
    <w:tmpl w:val="00000508"/>
    <w:lvl w:ilvl="0">
      <w:start w:val="1"/>
      <w:numFmt w:val="decimal"/>
      <w:suff w:val="nothing"/>
      <w:lvlText w:val="512.735 Enforcement authority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8">
    <w:nsid w:val="00000509"/>
    <w:multiLevelType w:val="multilevel"/>
    <w:tmpl w:val="00000509"/>
    <w:lvl w:ilvl="0">
      <w:start w:val="1"/>
      <w:numFmt w:val="decimal"/>
      <w:suff w:val="nothing"/>
      <w:lvlText w:val="512.740 Beneficiary engage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9">
    <w:nsid w:val="0000050A"/>
    <w:multiLevelType w:val="multilevel"/>
    <w:tmpl w:val="0000050A"/>
    <w:lvl w:ilvl="0">
      <w:start w:val="1"/>
      <w:numFmt w:val="decimal"/>
      <w:suff w:val="nothing"/>
      <w:lvlText w:val="512.745 Waiver of physician d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0">
    <w:nsid w:val="0000050B"/>
    <w:multiLevelType w:val="multilevel"/>
    <w:tmpl w:val="0000050B"/>
    <w:lvl w:ilvl="0">
      <w:start w:val="1"/>
      <w:numFmt w:val="decimal"/>
      <w:suff w:val="space"/>
      <w:lvlText w:val="Subpart K-- Model Termin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1">
    <w:nsid w:val="0000050C"/>
    <w:multiLevelType w:val="multilevel"/>
    <w:tmpl w:val="0000050C"/>
    <w:lvl w:ilvl="0">
      <w:start w:val="1"/>
      <w:numFmt w:val="decimal"/>
      <w:suff w:val="nothing"/>
      <w:lvlText w:val="512.900 Termination of an epi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2">
    <w:nsid w:val="0000050D"/>
    <w:multiLevelType w:val="multilevel"/>
    <w:tmpl w:val="0000050D"/>
    <w:lvl w:ilvl="0">
      <w:start w:val="1"/>
      <w:numFmt w:val="decimal"/>
      <w:suff w:val="nothing"/>
      <w:lvlText w:val="512.905 Termination of the CR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3">
    <w:nsid w:val="0000050E"/>
    <w:multiLevelType w:val="multilevel"/>
    <w:tmpl w:val="0000050E"/>
    <w:lvl w:ilvl="0">
      <w:start w:val="1"/>
      <w:numFmt w:val="decimal"/>
      <w:suff w:val="space"/>
      <w:lvlText w:val="Subpart A-- General Provis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4">
    <w:nsid w:val="0000050F"/>
    <w:multiLevelType w:val="multilevel"/>
    <w:tmpl w:val="0000050F"/>
    <w:lvl w:ilvl="0">
      <w:start w:val="1"/>
      <w:numFmt w:val="decimal"/>
      <w:suff w:val="space"/>
      <w:lvlText w:val="§ 512.1 Basis and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5">
    <w:nsid w:val="00000510"/>
    <w:multiLevelType w:val="multilevel"/>
    <w:tmpl w:val="00000510"/>
    <w:lvl w:ilvl="0">
      <w:start w:val="1"/>
      <w:numFmt w:val="decimal"/>
      <w:suff w:val="space"/>
      <w:lvlText w:val="(a) Basi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6">
    <w:nsid w:val="00000511"/>
    <w:multiLevelType w:val="multilevel"/>
    <w:tmpl w:val="00000511"/>
    <w:lvl w:ilvl="0">
      <w:start w:val="1"/>
      <w:numFmt w:val="decimal"/>
      <w:suff w:val="space"/>
      <w:lvlText w:val="(b) Scop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7">
    <w:nsid w:val="00000512"/>
    <w:multiLevelType w:val="multilevel"/>
    <w:tmpl w:val="0000051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8">
    <w:nsid w:val="00000513"/>
    <w:multiLevelType w:val="multilevel"/>
    <w:tmpl w:val="00000513"/>
    <w:lvl w:ilvl="0">
      <w:start w:val="1"/>
      <w:numFmt w:val="decimal"/>
      <w:suff w:val="space"/>
      <w:lvlText w:val="§ 512.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9">
    <w:nsid w:val="00000514"/>
    <w:multiLevelType w:val="multilevel"/>
    <w:tmpl w:val="00000514"/>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0">
    <w:nsid w:val="00000515"/>
    <w:multiLevelType w:val="multilevel"/>
    <w:tmpl w:val="0000051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1">
    <w:nsid w:val="00000516"/>
    <w:multiLevelType w:val="multilevel"/>
    <w:tmpl w:val="00000516"/>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2">
    <w:nsid w:val="00000517"/>
    <w:multiLevelType w:val="multilevel"/>
    <w:tmpl w:val="00000517"/>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3">
    <w:nsid w:val="00000518"/>
    <w:multiLevelType w:val="multilevel"/>
    <w:tmpl w:val="00000518"/>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4">
    <w:nsid w:val="00000519"/>
    <w:multiLevelType w:val="multilevel"/>
    <w:tmpl w:val="00000519"/>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5">
    <w:nsid w:val="0000051A"/>
    <w:multiLevelType w:val="multilevel"/>
    <w:tmpl w:val="0000051A"/>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6">
    <w:nsid w:val="0000051B"/>
    <w:multiLevelType w:val="multilevel"/>
    <w:tmpl w:val="0000051B"/>
    <w:lvl w:ilvl="0">
      <w:start w:val="1"/>
      <w:numFmt w:val="decimal"/>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7">
    <w:nsid w:val="0000051C"/>
    <w:multiLevelType w:val="multilevel"/>
    <w:tmpl w:val="0000051C"/>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8">
    <w:nsid w:val="0000051D"/>
    <w:multiLevelType w:val="multilevel"/>
    <w:tmpl w:val="0000051D"/>
    <w:lvl w:ilvl="0">
      <w:start w:val="1"/>
      <w:numFmt w:val="decimal"/>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9">
    <w:nsid w:val="0000051E"/>
    <w:multiLevelType w:val="multilevel"/>
    <w:tmpl w:val="0000051E"/>
    <w:lvl w:ilvl="0">
      <w:start w:val="1"/>
      <w:numFmt w:val="decimal"/>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0">
    <w:nsid w:val="0000051F"/>
    <w:multiLevelType w:val="multilevel"/>
    <w:tmpl w:val="0000051F"/>
    <w:lvl w:ilvl="0">
      <w:start w:val="1"/>
      <w:numFmt w:val="decimal"/>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1">
    <w:nsid w:val="00000520"/>
    <w:multiLevelType w:val="multilevel"/>
    <w:tmpl w:val="00000520"/>
    <w:lvl w:ilvl="0">
      <w:start w:val="1"/>
      <w:numFmt w:val="decimal"/>
      <w:suff w:val="nothing"/>
      <w:lvlText w:val="Subpart B-- Episode Payment M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2">
    <w:nsid w:val="00000521"/>
    <w:multiLevelType w:val="multilevel"/>
    <w:tmpl w:val="00000521"/>
    <w:lvl w:ilvl="0">
      <w:start w:val="1"/>
      <w:numFmt w:val="decimal"/>
      <w:suff w:val="nothing"/>
      <w:lvlText w:val="§ 512.100 EPM episodes being 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3">
    <w:nsid w:val="00000522"/>
    <w:multiLevelType w:val="multilevel"/>
    <w:tmpl w:val="00000522"/>
    <w:lvl w:ilvl="0">
      <w:start w:val="1"/>
      <w:numFmt w:val="decimal"/>
      <w:suff w:val="space"/>
      <w:lvlText w:val="(a) Initiation of an episod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4">
    <w:nsid w:val="00000523"/>
    <w:multiLevelType w:val="multilevel"/>
    <w:tmpl w:val="00000523"/>
    <w:lvl w:ilvl="0">
      <w:start w:val="1"/>
      <w:numFmt w:val="decimal"/>
      <w:suff w:val="space"/>
      <w:lvlText w:val="(b) Hospital exclus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5">
    <w:nsid w:val="00000524"/>
    <w:multiLevelType w:val="multilevel"/>
    <w:tmpl w:val="0000052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6">
    <w:nsid w:val="00000525"/>
    <w:multiLevelType w:val="multilevel"/>
    <w:tmpl w:val="00000525"/>
    <w:lvl w:ilvl="0">
      <w:start w:val="1"/>
      <w:numFmt w:val="decimal"/>
      <w:suff w:val="space"/>
      <w:lvlText w:val="(c) Types of EPM episod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7">
    <w:nsid w:val="00000526"/>
    <w:multiLevelType w:val="multilevel"/>
    <w:tmpl w:val="00000526"/>
    <w:lvl w:ilvl="0">
      <w:start w:val="1"/>
      <w:numFmt w:val="decimal"/>
      <w:suff w:val="nothing"/>
      <w:lvlText w:val="(1) Acute myocardial infarcti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8">
    <w:nsid w:val="00000527"/>
    <w:multiLevelType w:val="multilevel"/>
    <w:tmpl w:val="0000052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9">
    <w:nsid w:val="00000528"/>
    <w:multiLevelType w:val="multilevel"/>
    <w:tmpl w:val="0000052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0">
    <w:nsid w:val="00000529"/>
    <w:multiLevelType w:val="multilevel"/>
    <w:tmpl w:val="00000529"/>
    <w:lvl w:ilvl="0">
      <w:start w:val="1"/>
      <w:numFmt w:val="decimal"/>
      <w:suff w:val="nothing"/>
      <w:lvlText w:val="(2) Coronary artery bypass gr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1">
    <w:nsid w:val="0000052A"/>
    <w:multiLevelType w:val="multilevel"/>
    <w:tmpl w:val="0000052A"/>
    <w:lvl w:ilvl="0">
      <w:start w:val="1"/>
      <w:numFmt w:val="decimal"/>
      <w:suff w:val="nothing"/>
      <w:lvlText w:val="(3) Surgical hip/femur fractu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2">
    <w:nsid w:val="0000052B"/>
    <w:multiLevelType w:val="multilevel"/>
    <w:tmpl w:val="0000052B"/>
    <w:lvl w:ilvl="0">
      <w:start w:val="1"/>
      <w:numFmt w:val="decimal"/>
      <w:suff w:val="nothing"/>
      <w:lvlText w:val="(d) Identifying AMI historic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3">
    <w:nsid w:val="0000052C"/>
    <w:multiLevelType w:val="multilevel"/>
    <w:tmpl w:val="0000052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4">
    <w:nsid w:val="0000052D"/>
    <w:multiLevelType w:val="multilevel"/>
    <w:tmpl w:val="0000052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5">
    <w:nsid w:val="0000052E"/>
    <w:multiLevelType w:val="multilevel"/>
    <w:tmpl w:val="0000052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6">
    <w:nsid w:val="0000052F"/>
    <w:multiLevelType w:val="multilevel"/>
    <w:tmpl w:val="0000052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7">
    <w:nsid w:val="00000530"/>
    <w:multiLevelType w:val="multilevel"/>
    <w:tmpl w:val="0000053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8">
    <w:nsid w:val="00000531"/>
    <w:multiLevelType w:val="multilevel"/>
    <w:tmpl w:val="0000053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9">
    <w:nsid w:val="00000532"/>
    <w:multiLevelType w:val="multilevel"/>
    <w:tmpl w:val="0000053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0">
    <w:nsid w:val="00000533"/>
    <w:multiLevelType w:val="multilevel"/>
    <w:tmpl w:val="00000533"/>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1">
    <w:nsid w:val="00000534"/>
    <w:multiLevelType w:val="multilevel"/>
    <w:tmpl w:val="00000534"/>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2">
    <w:nsid w:val="00000535"/>
    <w:multiLevelType w:val="multilevel"/>
    <w:tmpl w:val="00000535"/>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3">
    <w:nsid w:val="00000536"/>
    <w:multiLevelType w:val="multilevel"/>
    <w:tmpl w:val="00000536"/>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4">
    <w:nsid w:val="00000537"/>
    <w:multiLevelType w:val="multilevel"/>
    <w:tmpl w:val="00000537"/>
    <w:lvl w:ilvl="0">
      <w:start w:val="1"/>
      <w:numFmt w:val="decimal"/>
      <w:suff w:val="space"/>
      <w:lvlText w:val="§ 512.105 Geographic area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5">
    <w:nsid w:val="00000538"/>
    <w:multiLevelType w:val="multilevel"/>
    <w:tmpl w:val="00000538"/>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6">
    <w:nsid w:val="00000539"/>
    <w:multiLevelType w:val="multilevel"/>
    <w:tmpl w:val="0000053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7">
    <w:nsid w:val="0000053A"/>
    <w:multiLevelType w:val="multilevel"/>
    <w:tmpl w:val="0000053A"/>
    <w:lvl w:ilvl="0">
      <w:start w:val="1"/>
      <w:numFmt w:val="decimal"/>
      <w:suff w:val="nothing"/>
      <w:lvlText w:val="§ 512.110 Access to records 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8">
    <w:nsid w:val="0000053B"/>
    <w:multiLevelType w:val="multilevel"/>
    <w:tmpl w:val="0000053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9">
    <w:nsid w:val="0000053C"/>
    <w:multiLevelType w:val="multilevel"/>
    <w:tmpl w:val="0000053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0">
    <w:nsid w:val="0000053D"/>
    <w:multiLevelType w:val="multilevel"/>
    <w:tmpl w:val="0000053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1">
    <w:nsid w:val="0000053E"/>
    <w:multiLevelType w:val="multilevel"/>
    <w:tmpl w:val="0000053E"/>
    <w:lvl w:ilvl="0">
      <w:start w:val="1"/>
      <w:numFmt w:val="decimal"/>
      <w:suff w:val="nothing"/>
      <w:lvlText w:val="§ 512.120 EPM participant CEH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2">
    <w:nsid w:val="0000053F"/>
    <w:multiLevelType w:val="multilevel"/>
    <w:tmpl w:val="0000053F"/>
    <w:lvl w:ilvl="0">
      <w:start w:val="1"/>
      <w:numFmt w:val="decimal"/>
      <w:suff w:val="space"/>
      <w:lvlText w:val="(a) EPM CEHRT us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3">
    <w:nsid w:val="00000540"/>
    <w:multiLevelType w:val="multilevel"/>
    <w:tmpl w:val="00000540"/>
    <w:lvl w:ilvl="0">
      <w:start w:val="1"/>
      <w:numFmt w:val="decimal"/>
      <w:suff w:val="space"/>
      <w:lvlText w:val="(1) CEHRT us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4">
    <w:nsid w:val="00000541"/>
    <w:multiLevelType w:val="multilevel"/>
    <w:tmpl w:val="00000541"/>
    <w:lvl w:ilvl="0">
      <w:start w:val="1"/>
      <w:numFmt w:val="decimal"/>
      <w:suff w:val="space"/>
      <w:lvlText w:val="(2) No CEHRT us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5">
    <w:nsid w:val="00000542"/>
    <w:multiLevelType w:val="multilevel"/>
    <w:tmpl w:val="00000542"/>
    <w:lvl w:ilvl="0">
      <w:start w:val="1"/>
      <w:numFmt w:val="decimal"/>
      <w:suff w:val="nothing"/>
      <w:lvlText w:val="(b) Clinician financial arra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6">
    <w:nsid w:val="00000543"/>
    <w:multiLevelType w:val="multilevel"/>
    <w:tmpl w:val="00000543"/>
    <w:lvl w:ilvl="0">
      <w:start w:val="1"/>
      <w:numFmt w:val="decimal"/>
      <w:suff w:val="space"/>
      <w:lvlText w:val="(1) EPM collaborator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7">
    <w:nsid w:val="00000544"/>
    <w:multiLevelType w:val="multilevel"/>
    <w:tmpl w:val="0000054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8">
    <w:nsid w:val="00000545"/>
    <w:multiLevelType w:val="multilevel"/>
    <w:tmpl w:val="0000054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9">
    <w:nsid w:val="00000546"/>
    <w:multiLevelType w:val="multilevel"/>
    <w:tmpl w:val="00000546"/>
    <w:lvl w:ilvl="0">
      <w:start w:val="1"/>
      <w:numFmt w:val="decimal"/>
      <w:suff w:val="space"/>
      <w:lvlText w:val="(2) Collaboration ag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0">
    <w:nsid w:val="00000547"/>
    <w:multiLevelType w:val="multilevel"/>
    <w:tmpl w:val="0000054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1">
    <w:nsid w:val="00000548"/>
    <w:multiLevelType w:val="multilevel"/>
    <w:tmpl w:val="0000054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2">
    <w:nsid w:val="00000549"/>
    <w:multiLevelType w:val="multilevel"/>
    <w:tmpl w:val="00000549"/>
    <w:lvl w:ilvl="0">
      <w:start w:val="1"/>
      <w:numFmt w:val="decimal"/>
      <w:suff w:val="nothing"/>
      <w:lvlText w:val="(3) Downstream collaboration 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3">
    <w:nsid w:val="0000054A"/>
    <w:multiLevelType w:val="multilevel"/>
    <w:tmpl w:val="0000054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4">
    <w:nsid w:val="0000054B"/>
    <w:multiLevelType w:val="multilevel"/>
    <w:tmpl w:val="0000054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5">
    <w:nsid w:val="0000054C"/>
    <w:multiLevelType w:val="multilevel"/>
    <w:tmpl w:val="0000054C"/>
    <w:lvl w:ilvl="0">
      <w:start w:val="1"/>
      <w:numFmt w:val="decimal"/>
      <w:suff w:val="nothing"/>
      <w:lvlText w:val="(4) Attestation to no individu"/>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6">
    <w:nsid w:val="0000054D"/>
    <w:multiLevelType w:val="multilevel"/>
    <w:tmpl w:val="0000054D"/>
    <w:lvl w:ilvl="0">
      <w:start w:val="1"/>
      <w:numFmt w:val="decimal"/>
      <w:suff w:val="nothing"/>
      <w:lvlText w:val="(c) Documentation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7">
    <w:nsid w:val="0000054E"/>
    <w:multiLevelType w:val="multilevel"/>
    <w:tmpl w:val="0000054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8">
    <w:nsid w:val="0000054F"/>
    <w:multiLevelType w:val="multilevel"/>
    <w:tmpl w:val="0000054F"/>
    <w:lvl w:ilvl="0">
      <w:start w:val="1"/>
      <w:numFmt w:val="decimal"/>
      <w:suff w:val="space"/>
      <w:lvlText w:val="Subpart C-- Scope of Episod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9">
    <w:nsid w:val="00000550"/>
    <w:multiLevelType w:val="multilevel"/>
    <w:tmpl w:val="00000550"/>
    <w:lvl w:ilvl="0">
      <w:start w:val="1"/>
      <w:numFmt w:val="decimal"/>
      <w:suff w:val="nothing"/>
      <w:lvlText w:val="§ 512.200 Time periods for EP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0">
    <w:nsid w:val="00000551"/>
    <w:multiLevelType w:val="multilevel"/>
    <w:tmpl w:val="00000551"/>
    <w:lvl w:ilvl="0">
      <w:start w:val="1"/>
      <w:numFmt w:val="decimal"/>
      <w:suff w:val="nothing"/>
      <w:lvlText w:val="§ 512.210 Included and exclud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1">
    <w:nsid w:val="00000552"/>
    <w:multiLevelType w:val="multilevel"/>
    <w:tmpl w:val="00000552"/>
    <w:lvl w:ilvl="0">
      <w:start w:val="1"/>
      <w:numFmt w:val="decimal"/>
      <w:suff w:val="nothing"/>
      <w:lvlText w:val="(a) Included services for an 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2">
    <w:nsid w:val="00000553"/>
    <w:multiLevelType w:val="multilevel"/>
    <w:tmpl w:val="0000055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3">
    <w:nsid w:val="00000554"/>
    <w:multiLevelType w:val="multilevel"/>
    <w:tmpl w:val="00000554"/>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4">
    <w:nsid w:val="00000555"/>
    <w:multiLevelType w:val="multilevel"/>
    <w:tmpl w:val="00000555"/>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5">
    <w:nsid w:val="00000556"/>
    <w:multiLevelType w:val="multilevel"/>
    <w:tmpl w:val="00000556"/>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6">
    <w:nsid w:val="00000557"/>
    <w:multiLevelType w:val="multilevel"/>
    <w:tmpl w:val="00000557"/>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7">
    <w:nsid w:val="00000558"/>
    <w:multiLevelType w:val="multilevel"/>
    <w:tmpl w:val="00000558"/>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8">
    <w:nsid w:val="00000559"/>
    <w:multiLevelType w:val="multilevel"/>
    <w:tmpl w:val="00000559"/>
    <w:lvl w:ilvl="0">
      <w:start w:val="1"/>
      <w:numFmt w:val="decimal"/>
      <w:suff w:val="space"/>
      <w:lvlText w:val="(b) Excluded servic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9">
    <w:nsid w:val="0000055A"/>
    <w:multiLevelType w:val="multilevel"/>
    <w:tmpl w:val="0000055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0">
    <w:nsid w:val="0000055B"/>
    <w:multiLevelType w:val="multilevel"/>
    <w:tmpl w:val="0000055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1">
    <w:nsid w:val="0000055C"/>
    <w:multiLevelType w:val="multilevel"/>
    <w:tmpl w:val="0000055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2">
    <w:nsid w:val="0000055D"/>
    <w:multiLevelType w:val="multilevel"/>
    <w:tmpl w:val="0000055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3">
    <w:nsid w:val="0000055E"/>
    <w:multiLevelType w:val="multilevel"/>
    <w:tmpl w:val="0000055E"/>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4">
    <w:nsid w:val="0000055F"/>
    <w:multiLevelType w:val="multilevel"/>
    <w:tmpl w:val="0000055F"/>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5">
    <w:nsid w:val="00000560"/>
    <w:multiLevelType w:val="multilevel"/>
    <w:tmpl w:val="0000056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6">
    <w:nsid w:val="00000561"/>
    <w:multiLevelType w:val="multilevel"/>
    <w:tmpl w:val="0000056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7">
    <w:nsid w:val="00000562"/>
    <w:multiLevelType w:val="multilevel"/>
    <w:tmpl w:val="0000056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8">
    <w:nsid w:val="00000563"/>
    <w:multiLevelType w:val="multilevel"/>
    <w:tmpl w:val="0000056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9">
    <w:nsid w:val="00000564"/>
    <w:multiLevelType w:val="multilevel"/>
    <w:tmpl w:val="0000056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0">
    <w:nsid w:val="00000565"/>
    <w:multiLevelType w:val="multilevel"/>
    <w:tmpl w:val="00000565"/>
    <w:lvl w:ilvl="0">
      <w:start w:val="1"/>
      <w:numFmt w:val="decimal"/>
      <w:suff w:val="nothing"/>
      <w:lvlText w:val="(c) Updating the exclusion li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1">
    <w:nsid w:val="00000566"/>
    <w:multiLevelType w:val="multilevel"/>
    <w:tmpl w:val="0000056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2">
    <w:nsid w:val="00000567"/>
    <w:multiLevelType w:val="multilevel"/>
    <w:tmpl w:val="0000056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3">
    <w:nsid w:val="00000568"/>
    <w:multiLevelType w:val="multilevel"/>
    <w:tmpl w:val="0000056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4">
    <w:nsid w:val="00000569"/>
    <w:multiLevelType w:val="multilevel"/>
    <w:tmpl w:val="0000056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5">
    <w:nsid w:val="0000056A"/>
    <w:multiLevelType w:val="multilevel"/>
    <w:tmpl w:val="0000056A"/>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6">
    <w:nsid w:val="0000056B"/>
    <w:multiLevelType w:val="multilevel"/>
    <w:tmpl w:val="0000056B"/>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7">
    <w:nsid w:val="0000056C"/>
    <w:multiLevelType w:val="multilevel"/>
    <w:tmpl w:val="0000056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8">
    <w:nsid w:val="0000056D"/>
    <w:multiLevelType w:val="multilevel"/>
    <w:tmpl w:val="0000056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9">
    <w:nsid w:val="0000056E"/>
    <w:multiLevelType w:val="multilevel"/>
    <w:tmpl w:val="0000056E"/>
    <w:lvl w:ilvl="0">
      <w:start w:val="1"/>
      <w:numFmt w:val="decimal"/>
      <w:suff w:val="nothing"/>
      <w:lvlText w:val="§ 512.230 Beneficiary inclusi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0">
    <w:nsid w:val="0000056F"/>
    <w:multiLevelType w:val="multilevel"/>
    <w:tmpl w:val="0000056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1">
    <w:nsid w:val="00000570"/>
    <w:multiLevelType w:val="multilevel"/>
    <w:tmpl w:val="0000057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2">
    <w:nsid w:val="00000571"/>
    <w:multiLevelType w:val="multilevel"/>
    <w:tmpl w:val="00000571"/>
    <w:lvl w:ilvl="0">
      <w:start w:val="1"/>
      <w:numFmt w:val="decimal"/>
      <w:suff w:val="nothing"/>
      <w:lvlText w:val="§ 512.240 Determination of th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3">
    <w:nsid w:val="00000572"/>
    <w:multiLevelType w:val="multilevel"/>
    <w:tmpl w:val="00000572"/>
    <w:lvl w:ilvl="0">
      <w:start w:val="1"/>
      <w:numFmt w:val="decimal"/>
      <w:suff w:val="space"/>
      <w:lvlText w:val="(a) AMI Model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4">
    <w:nsid w:val="00000573"/>
    <w:multiLevelType w:val="multilevel"/>
    <w:tmpl w:val="00000573"/>
    <w:lvl w:ilvl="0">
      <w:start w:val="1"/>
      <w:numFmt w:val="decimal"/>
      <w:suff w:val="space"/>
      <w:lvlText w:val="(1)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5">
    <w:nsid w:val="00000574"/>
    <w:multiLevelType w:val="multilevel"/>
    <w:tmpl w:val="00000574"/>
    <w:lvl w:ilvl="0">
      <w:start w:val="1"/>
      <w:numFmt w:val="decimal"/>
      <w:suff w:val="nothing"/>
      <w:lvlText w:val="(2) Cancellation of an AMI mo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6">
    <w:nsid w:val="00000575"/>
    <w:multiLevelType w:val="multilevel"/>
    <w:tmpl w:val="0000057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7">
    <w:nsid w:val="00000576"/>
    <w:multiLevelType w:val="multilevel"/>
    <w:tmpl w:val="0000057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8">
    <w:nsid w:val="00000577"/>
    <w:multiLevelType w:val="multilevel"/>
    <w:tmpl w:val="0000057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9">
    <w:nsid w:val="00000578"/>
    <w:multiLevelType w:val="multilevel"/>
    <w:tmpl w:val="00000578"/>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0">
    <w:nsid w:val="00000579"/>
    <w:multiLevelType w:val="multilevel"/>
    <w:tmpl w:val="00000579"/>
    <w:lvl w:ilvl="0">
      <w:start w:val="1"/>
      <w:numFmt w:val="decimal"/>
      <w:suff w:val="space"/>
      <w:lvlText w:val="(b) CABG Model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1">
    <w:nsid w:val="0000057A"/>
    <w:multiLevelType w:val="multilevel"/>
    <w:tmpl w:val="0000057A"/>
    <w:lvl w:ilvl="0">
      <w:start w:val="1"/>
      <w:numFmt w:val="decimal"/>
      <w:suff w:val="space"/>
      <w:lvlText w:val="(1)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2">
    <w:nsid w:val="0000057B"/>
    <w:multiLevelType w:val="multilevel"/>
    <w:tmpl w:val="0000057B"/>
    <w:lvl w:ilvl="0">
      <w:start w:val="1"/>
      <w:numFmt w:val="decimal"/>
      <w:suff w:val="nothing"/>
      <w:lvlText w:val="(2) Cancellation of a CABG mo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3">
    <w:nsid w:val="0000057C"/>
    <w:multiLevelType w:val="multilevel"/>
    <w:tmpl w:val="0000057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4">
    <w:nsid w:val="0000057D"/>
    <w:multiLevelType w:val="multilevel"/>
    <w:tmpl w:val="0000057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5">
    <w:nsid w:val="0000057E"/>
    <w:multiLevelType w:val="multilevel"/>
    <w:tmpl w:val="0000057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6">
    <w:nsid w:val="0000057F"/>
    <w:multiLevelType w:val="multilevel"/>
    <w:tmpl w:val="0000057F"/>
    <w:lvl w:ilvl="0">
      <w:start w:val="1"/>
      <w:numFmt w:val="decimal"/>
      <w:suff w:val="space"/>
      <w:lvlText w:val="(c) SHFFT Model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7">
    <w:nsid w:val="00000580"/>
    <w:multiLevelType w:val="multilevel"/>
    <w:tmpl w:val="00000580"/>
    <w:lvl w:ilvl="0">
      <w:start w:val="1"/>
      <w:numFmt w:val="decimal"/>
      <w:suff w:val="space"/>
      <w:lvlText w:val="(1)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8">
    <w:nsid w:val="00000581"/>
    <w:multiLevelType w:val="multilevel"/>
    <w:tmpl w:val="00000581"/>
    <w:lvl w:ilvl="0">
      <w:start w:val="1"/>
      <w:numFmt w:val="decimal"/>
      <w:suff w:val="nothing"/>
      <w:lvlText w:val="(2) Cancellation of a SHFFT m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9">
    <w:nsid w:val="00000582"/>
    <w:multiLevelType w:val="multilevel"/>
    <w:tmpl w:val="0000058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0">
    <w:nsid w:val="00000583"/>
    <w:multiLevelType w:val="multilevel"/>
    <w:tmpl w:val="0000058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1">
    <w:nsid w:val="00000584"/>
    <w:multiLevelType w:val="multilevel"/>
    <w:tmpl w:val="0000058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2">
    <w:nsid w:val="00000585"/>
    <w:multiLevelType w:val="multilevel"/>
    <w:tmpl w:val="00000585"/>
    <w:lvl w:ilvl="0">
      <w:start w:val="1"/>
      <w:numFmt w:val="decimal"/>
      <w:suff w:val="nothing"/>
      <w:lvlText w:val="Subpart D-- Pricing and Paym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3">
    <w:nsid w:val="00000586"/>
    <w:multiLevelType w:val="multilevel"/>
    <w:tmpl w:val="00000586"/>
    <w:lvl w:ilvl="0">
      <w:start w:val="1"/>
      <w:numFmt w:val="decimal"/>
      <w:suff w:val="nothing"/>
      <w:lvlText w:val="§ 512.300 Determination of ep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4">
    <w:nsid w:val="00000587"/>
    <w:multiLevelType w:val="multilevel"/>
    <w:tmpl w:val="00000587"/>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5">
    <w:nsid w:val="00000588"/>
    <w:multiLevelType w:val="multilevel"/>
    <w:tmpl w:val="00000588"/>
    <w:lvl w:ilvl="0">
      <w:start w:val="1"/>
      <w:numFmt w:val="decimal"/>
      <w:suff w:val="nothing"/>
      <w:lvlText w:val="(b) Calculating episode quali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6">
    <w:nsid w:val="00000589"/>
    <w:multiLevelType w:val="multilevel"/>
    <w:tmpl w:val="0000058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7">
    <w:nsid w:val="0000058A"/>
    <w:multiLevelType w:val="multilevel"/>
    <w:tmpl w:val="0000058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8">
    <w:nsid w:val="0000058B"/>
    <w:multiLevelType w:val="multilevel"/>
    <w:tmpl w:val="0000058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9">
    <w:nsid w:val="0000058C"/>
    <w:multiLevelType w:val="multilevel"/>
    <w:tmpl w:val="0000058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0">
    <w:nsid w:val="0000058D"/>
    <w:multiLevelType w:val="multilevel"/>
    <w:tmpl w:val="0000058D"/>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1">
    <w:nsid w:val="0000058E"/>
    <w:multiLevelType w:val="multilevel"/>
    <w:tmpl w:val="0000058E"/>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2">
    <w:nsid w:val="0000058F"/>
    <w:multiLevelType w:val="multilevel"/>
    <w:tmpl w:val="0000058F"/>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3">
    <w:nsid w:val="00000590"/>
    <w:multiLevelType w:val="multilevel"/>
    <w:tmpl w:val="00000590"/>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4">
    <w:nsid w:val="00000591"/>
    <w:multiLevelType w:val="multilevel"/>
    <w:tmpl w:val="00000591"/>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5">
    <w:nsid w:val="00000592"/>
    <w:multiLevelType w:val="multilevel"/>
    <w:tmpl w:val="00000592"/>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6">
    <w:nsid w:val="00000593"/>
    <w:multiLevelType w:val="multilevel"/>
    <w:tmpl w:val="0000059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7">
    <w:nsid w:val="00000594"/>
    <w:multiLevelType w:val="multilevel"/>
    <w:tmpl w:val="0000059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8">
    <w:nsid w:val="00000595"/>
    <w:multiLevelType w:val="multilevel"/>
    <w:tmpl w:val="0000059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9">
    <w:nsid w:val="00000596"/>
    <w:multiLevelType w:val="multilevel"/>
    <w:tmpl w:val="00000596"/>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0">
    <w:nsid w:val="00000597"/>
    <w:multiLevelType w:val="multilevel"/>
    <w:tmpl w:val="00000597"/>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1">
    <w:nsid w:val="00000598"/>
    <w:multiLevelType w:val="multilevel"/>
    <w:tmpl w:val="00000598"/>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2">
    <w:nsid w:val="00000599"/>
    <w:multiLevelType w:val="multilevel"/>
    <w:tmpl w:val="0000059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3">
    <w:nsid w:val="0000059A"/>
    <w:multiLevelType w:val="multilevel"/>
    <w:tmpl w:val="0000059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4">
    <w:nsid w:val="0000059B"/>
    <w:multiLevelType w:val="multilevel"/>
    <w:tmpl w:val="0000059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5">
    <w:nsid w:val="0000059C"/>
    <w:multiLevelType w:val="multilevel"/>
    <w:tmpl w:val="0000059C"/>
    <w:lvl w:ilvl="0">
      <w:start w:val="1"/>
      <w:numFmt w:val="decimal"/>
      <w:suff w:val="nothing"/>
      <w:lvlText w:val="(c) Calculating quality-adjus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6">
    <w:nsid w:val="0000059D"/>
    <w:multiLevelType w:val="multilevel"/>
    <w:tmpl w:val="0000059D"/>
    <w:lvl w:ilvl="0">
      <w:start w:val="1"/>
      <w:numFmt w:val="decimal"/>
      <w:suff w:val="nothing"/>
      <w:lvlText w:val="(1) Calculation of the histor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7">
    <w:nsid w:val="0000059E"/>
    <w:multiLevelType w:val="multilevel"/>
    <w:tmpl w:val="0000059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8">
    <w:nsid w:val="0000059F"/>
    <w:multiLevelType w:val="multilevel"/>
    <w:tmpl w:val="0000059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9">
    <w:nsid w:val="000005A0"/>
    <w:multiLevelType w:val="multilevel"/>
    <w:tmpl w:val="000005A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0">
    <w:nsid w:val="000005A1"/>
    <w:multiLevelType w:val="multilevel"/>
    <w:tmpl w:val="000005A1"/>
    <w:lvl w:ilvl="0">
      <w:start w:val="1"/>
      <w:numFmt w:val="decimal"/>
      <w:suff w:val="nothing"/>
      <w:lvlText w:val="(2) Calculation of the qualit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1">
    <w:nsid w:val="000005A2"/>
    <w:multiLevelType w:val="multilevel"/>
    <w:tmpl w:val="000005A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2">
    <w:nsid w:val="000005A3"/>
    <w:multiLevelType w:val="multilevel"/>
    <w:tmpl w:val="000005A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3">
    <w:nsid w:val="000005A4"/>
    <w:multiLevelType w:val="multilevel"/>
    <w:tmpl w:val="000005A4"/>
    <w:lvl w:ilvl="0">
      <w:start w:val="1"/>
      <w:numFmt w:val="decimal"/>
      <w:suff w:val="nothing"/>
      <w:lvlText w:val="(3) Calculation of the qualit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4">
    <w:nsid w:val="000005A5"/>
    <w:multiLevelType w:val="multilevel"/>
    <w:tmpl w:val="000005A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5">
    <w:nsid w:val="000005A6"/>
    <w:multiLevelType w:val="multilevel"/>
    <w:tmpl w:val="000005A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6">
    <w:nsid w:val="000005A7"/>
    <w:multiLevelType w:val="multilevel"/>
    <w:tmpl w:val="000005A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7">
    <w:nsid w:val="000005A8"/>
    <w:multiLevelType w:val="multilevel"/>
    <w:tmpl w:val="000005A8"/>
    <w:lvl w:ilvl="0">
      <w:start w:val="1"/>
      <w:numFmt w:val="decimal"/>
      <w:suff w:val="nothing"/>
      <w:lvlText w:val="(4) Exception for low-volume h"/>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8">
    <w:nsid w:val="000005A9"/>
    <w:multiLevelType w:val="multilevel"/>
    <w:tmpl w:val="000005A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9">
    <w:nsid w:val="000005AA"/>
    <w:multiLevelType w:val="multilevel"/>
    <w:tmpl w:val="000005A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0">
    <w:nsid w:val="000005AB"/>
    <w:multiLevelType w:val="multilevel"/>
    <w:tmpl w:val="000005A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1">
    <w:nsid w:val="000005AC"/>
    <w:multiLevelType w:val="multilevel"/>
    <w:tmpl w:val="000005AC"/>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2">
    <w:nsid w:val="000005AD"/>
    <w:multiLevelType w:val="multilevel"/>
    <w:tmpl w:val="000005AD"/>
    <w:lvl w:ilvl="0">
      <w:start w:val="1"/>
      <w:numFmt w:val="decimal"/>
      <w:suff w:val="nothing"/>
      <w:lvlText w:val="(5) Exception for recently m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3">
    <w:nsid w:val="000005AE"/>
    <w:multiLevelType w:val="multilevel"/>
    <w:tmpl w:val="000005AE"/>
    <w:lvl w:ilvl="0">
      <w:start w:val="1"/>
      <w:numFmt w:val="decimal"/>
      <w:suff w:val="nothing"/>
      <w:lvlText w:val="(6) Episodes that straddle p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4">
    <w:nsid w:val="000005AF"/>
    <w:multiLevelType w:val="multilevel"/>
    <w:tmpl w:val="000005AF"/>
    <w:lvl w:ilvl="0">
      <w:start w:val="1"/>
      <w:numFmt w:val="decimal"/>
      <w:suff w:val="nothing"/>
      <w:lvlText w:val="(7) Adjustments for certain h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5">
    <w:nsid w:val="000005B0"/>
    <w:multiLevelType w:val="multilevel"/>
    <w:tmpl w:val="000005B0"/>
    <w:lvl w:ilvl="0">
      <w:start w:val="1"/>
      <w:numFmt w:val="decimal"/>
      <w:suff w:val="nothing"/>
      <w:lvlText w:val="(i) Adjustments for CABG mode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6">
    <w:nsid w:val="000005B1"/>
    <w:multiLevelType w:val="multilevel"/>
    <w:tmpl w:val="000005B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7">
    <w:nsid w:val="000005B2"/>
    <w:multiLevelType w:val="multilevel"/>
    <w:tmpl w:val="000005B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8">
    <w:nsid w:val="000005B3"/>
    <w:multiLevelType w:val="multilevel"/>
    <w:tmpl w:val="000005B3"/>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9">
    <w:nsid w:val="000005B4"/>
    <w:multiLevelType w:val="multilevel"/>
    <w:tmpl w:val="000005B4"/>
    <w:lvl w:ilvl="0">
      <w:start w:val="1"/>
      <w:numFmt w:val="decimal"/>
      <w:suff w:val="nothing"/>
      <w:lvlText w:val="(ii) Adjustments for Certain A"/>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0">
    <w:nsid w:val="000005B5"/>
    <w:multiLevelType w:val="multilevel"/>
    <w:tmpl w:val="000005B5"/>
    <w:lvl w:ilvl="0">
      <w:start w:val="1"/>
      <w:numFmt w:val="decimal"/>
      <w:suff w:val="nothing"/>
      <w:lvlText w:val="(8) Inclusion of reconciliati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1">
    <w:nsid w:val="000005B6"/>
    <w:multiLevelType w:val="multilevel"/>
    <w:tmpl w:val="000005B6"/>
    <w:lvl w:ilvl="0">
      <w:start w:val="1"/>
      <w:numFmt w:val="decimal"/>
      <w:suff w:val="nothing"/>
      <w:lvlText w:val="(i) Inclusion of reconciliatio"/>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2">
    <w:nsid w:val="000005B7"/>
    <w:multiLevelType w:val="multilevel"/>
    <w:tmpl w:val="000005B7"/>
    <w:lvl w:ilvl="0">
      <w:start w:val="1"/>
      <w:numFmt w:val="decimal"/>
      <w:suff w:val="nothing"/>
      <w:lvlText w:val="(ii) Inclusion of reconciliat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3">
    <w:nsid w:val="000005B8"/>
    <w:multiLevelType w:val="multilevel"/>
    <w:tmpl w:val="000005B8"/>
    <w:lvl w:ilvl="0">
      <w:start w:val="1"/>
      <w:numFmt w:val="decimal"/>
      <w:suff w:val="nothing"/>
      <w:lvlText w:val="(9) Communication of quality-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4">
    <w:nsid w:val="000005B9"/>
    <w:multiLevelType w:val="multilevel"/>
    <w:tmpl w:val="000005B9"/>
    <w:lvl w:ilvl="0">
      <w:start w:val="1"/>
      <w:numFmt w:val="decimal"/>
      <w:suff w:val="nothing"/>
      <w:lvlText w:val="(10) Applicable time period f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5">
    <w:nsid w:val="000005BA"/>
    <w:multiLevelType w:val="multilevel"/>
    <w:tmpl w:val="000005B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6">
    <w:nsid w:val="000005BB"/>
    <w:multiLevelType w:val="multilevel"/>
    <w:tmpl w:val="000005B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7">
    <w:nsid w:val="000005BC"/>
    <w:multiLevelType w:val="multilevel"/>
    <w:tmpl w:val="000005BC"/>
    <w:lvl w:ilvl="0">
      <w:start w:val="1"/>
      <w:numFmt w:val="decimal"/>
      <w:suff w:val="nothing"/>
      <w:lvlText w:val="(11) Trending of historical ex"/>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8">
    <w:nsid w:val="000005BD"/>
    <w:multiLevelType w:val="multilevel"/>
    <w:tmpl w:val="000005B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9">
    <w:nsid w:val="000005BE"/>
    <w:multiLevelType w:val="multilevel"/>
    <w:tmpl w:val="000005B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0">
    <w:nsid w:val="000005BF"/>
    <w:multiLevelType w:val="multilevel"/>
    <w:tmpl w:val="000005B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1">
    <w:nsid w:val="000005C0"/>
    <w:multiLevelType w:val="multilevel"/>
    <w:tmpl w:val="000005C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2">
    <w:nsid w:val="000005C1"/>
    <w:multiLevelType w:val="multilevel"/>
    <w:tmpl w:val="000005C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3">
    <w:nsid w:val="000005C2"/>
    <w:multiLevelType w:val="multilevel"/>
    <w:tmpl w:val="000005C2"/>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4">
    <w:nsid w:val="000005C3"/>
    <w:multiLevelType w:val="multilevel"/>
    <w:tmpl w:val="000005C3"/>
    <w:lvl w:ilvl="0">
      <w:start w:val="1"/>
      <w:numFmt w:val="decimal"/>
      <w:suff w:val="nothing"/>
      <w:lvlText w:val="(12) Normalizing for wage var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5">
    <w:nsid w:val="000005C4"/>
    <w:multiLevelType w:val="multilevel"/>
    <w:tmpl w:val="000005C4"/>
    <w:lvl w:ilvl="0">
      <w:start w:val="1"/>
      <w:numFmt w:val="decimal"/>
      <w:suff w:val="nothing"/>
      <w:lvlText w:val="(13) Combining episodes to se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6">
    <w:nsid w:val="000005C5"/>
    <w:multiLevelType w:val="multilevel"/>
    <w:tmpl w:val="000005C5"/>
    <w:lvl w:ilvl="0">
      <w:start w:val="1"/>
      <w:numFmt w:val="decimal"/>
      <w:lvlText w:val="(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7">
    <w:nsid w:val="000005C6"/>
    <w:multiLevelType w:val="multilevel"/>
    <w:tmpl w:val="000005C6"/>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8">
    <w:nsid w:val="000005C7"/>
    <w:multiLevelType w:val="multilevel"/>
    <w:tmpl w:val="000005C7"/>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9">
    <w:nsid w:val="000005C8"/>
    <w:multiLevelType w:val="multilevel"/>
    <w:tmpl w:val="000005C8"/>
    <w:lvl w:ilvl="0">
      <w:start w:val="1"/>
      <w:numFmt w:val="decimal"/>
      <w:lvlText w:val="(C)"/>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0">
    <w:nsid w:val="000005C9"/>
    <w:multiLevelType w:val="multilevel"/>
    <w:tmpl w:val="000005C9"/>
    <w:lvl w:ilvl="0">
      <w:start w:val="1"/>
      <w:numFmt w:val="decimal"/>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1">
    <w:nsid w:val="000005CA"/>
    <w:multiLevelType w:val="multilevel"/>
    <w:tmpl w:val="000005CA"/>
    <w:lvl w:ilvl="0">
      <w:start w:val="1"/>
      <w:numFmt w:val="lowerRoman"/>
      <w:lvlText w:val="(%1)"/>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2">
    <w:nsid w:val="000005CB"/>
    <w:multiLevelType w:val="multilevel"/>
    <w:tmpl w:val="000005CB"/>
    <w:lvl w:ilvl="0">
      <w:start w:val="1"/>
      <w:numFmt w:val="decimal"/>
      <w:lvlText w:val="(ii)"/>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3">
    <w:nsid w:val="000005CC"/>
    <w:multiLevelType w:val="multilevel"/>
    <w:tmpl w:val="000005CC"/>
    <w:lvl w:ilvl="0">
      <w:start w:val="1"/>
      <w:numFmt w:val="decimal"/>
      <w:lvlText w:val="(iii)"/>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4">
    <w:nsid w:val="000005CD"/>
    <w:multiLevelType w:val="multilevel"/>
    <w:tmpl w:val="000005CD"/>
    <w:lvl w:ilvl="0">
      <w:start w:val="1"/>
      <w:numFmt w:val="decimal"/>
      <w:lvlText w:val="(iv)"/>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5">
    <w:nsid w:val="000005CE"/>
    <w:multiLevelType w:val="multilevel"/>
    <w:tmpl w:val="000005CE"/>
    <w:lvl w:ilvl="0">
      <w:start w:val="1"/>
      <w:numFmt w:val="decimal"/>
      <w:lvlText w:val="(ii)"/>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6">
    <w:nsid w:val="000005CF"/>
    <w:multiLevelType w:val="multilevel"/>
    <w:tmpl w:val="000005CF"/>
    <w:lvl w:ilvl="0">
      <w:start w:val="1"/>
      <w:numFmt w:val="decimal"/>
      <w:suff w:val="space"/>
      <w:lvlText w:val="(d) Effective discount factor."/>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7">
    <w:nsid w:val="000005D0"/>
    <w:multiLevelType w:val="multilevel"/>
    <w:tmpl w:val="000005D0"/>
    <w:lvl w:ilvl="0">
      <w:start w:val="1"/>
      <w:numFmt w:val="decimal"/>
      <w:suff w:val="nothing"/>
      <w:lvlText w:val="(1) Effective discount factor "/>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8">
    <w:nsid w:val="000005D1"/>
    <w:multiLevelType w:val="multilevel"/>
    <w:tmpl w:val="000005D1"/>
    <w:lvl w:ilvl="0">
      <w:start w:val="1"/>
      <w:numFmt w:val="decimal"/>
      <w:suff w:val="nothing"/>
      <w:lvlText w:val="(2) Applicable discount factor"/>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9">
    <w:nsid w:val="000005D2"/>
    <w:multiLevelType w:val="multilevel"/>
    <w:tmpl w:val="000005D2"/>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0">
    <w:nsid w:val="000005D3"/>
    <w:multiLevelType w:val="multilevel"/>
    <w:tmpl w:val="000005D3"/>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1">
    <w:nsid w:val="000005D4"/>
    <w:multiLevelType w:val="multilevel"/>
    <w:tmpl w:val="000005D4"/>
    <w:lvl w:ilvl="0">
      <w:start w:val="1"/>
      <w:numFmt w:val="decimal"/>
      <w:lvlText w:val="(i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2">
    <w:nsid w:val="000005D5"/>
    <w:multiLevelType w:val="multilevel"/>
    <w:tmpl w:val="000005D5"/>
    <w:lvl w:ilvl="0">
      <w:start w:val="1"/>
      <w:numFmt w:val="decimal"/>
      <w:lvlText w:val="(iv)"/>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3">
    <w:nsid w:val="000005D6"/>
    <w:multiLevelType w:val="multilevel"/>
    <w:tmpl w:val="000005D6"/>
    <w:lvl w:ilvl="0">
      <w:start w:val="1"/>
      <w:numFmt w:val="decimal"/>
      <w:suff w:val="nothing"/>
      <w:lvlText w:val="(e) Exceptions that apply to b"/>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4">
    <w:nsid w:val="000005D7"/>
    <w:multiLevelType w:val="multilevel"/>
    <w:tmpl w:val="000005D7"/>
    <w:lvl w:ilvl="0">
      <w:start w:val="1"/>
      <w:numFmt w:val="decimal"/>
      <w:suff w:val="nothing"/>
      <w:lvlText w:val="(1) Exception for high episod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5">
    <w:nsid w:val="000005D8"/>
    <w:multiLevelType w:val="multilevel"/>
    <w:tmpl w:val="000005D8"/>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6">
    <w:nsid w:val="000005D9"/>
    <w:multiLevelType w:val="multilevel"/>
    <w:tmpl w:val="000005D9"/>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7">
    <w:nsid w:val="000005DA"/>
    <w:multiLevelType w:val="multilevel"/>
    <w:tmpl w:val="000005DA"/>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8">
    <w:nsid w:val="000005DB"/>
    <w:multiLevelType w:val="multilevel"/>
    <w:tmpl w:val="000005DB"/>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9">
    <w:nsid w:val="000005DC"/>
    <w:multiLevelType w:val="multilevel"/>
    <w:tmpl w:val="000005DC"/>
    <w:lvl w:ilvl="0">
      <w:start w:val="1"/>
      <w:numFmt w:val="decimal"/>
      <w:lvlText w:val="(1)"/>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0">
    <w:nsid w:val="000005DD"/>
    <w:multiLevelType w:val="multilevel"/>
    <w:tmpl w:val="000005DD"/>
    <w:lvl w:ilvl="0">
      <w:start w:val="1"/>
      <w:numFmt w:val="decimal"/>
      <w:lvlText w:val="(2)"/>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1">
    <w:nsid w:val="000005DE"/>
    <w:multiLevelType w:val="multilevel"/>
    <w:tmpl w:val="000005DE"/>
    <w:lvl w:ilvl="0">
      <w:start w:val="1"/>
      <w:numFmt w:val="decimal"/>
      <w:lvlText w:val="(3)"/>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2">
    <w:nsid w:val="000005DF"/>
    <w:multiLevelType w:val="multilevel"/>
    <w:tmpl w:val="000005DF"/>
    <w:lvl w:ilvl="0">
      <w:start w:val="1"/>
      <w:numFmt w:val="decimal"/>
      <w:lvlText w:val="(4)"/>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3">
    <w:nsid w:val="000005E0"/>
    <w:multiLevelType w:val="multilevel"/>
    <w:tmpl w:val="000005E0"/>
    <w:lvl w:ilvl="0">
      <w:start w:val="1"/>
      <w:numFmt w:val="decimal"/>
      <w:lvlText w:val="(i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4">
    <w:nsid w:val="000005E1"/>
    <w:multiLevelType w:val="multilevel"/>
    <w:tmpl w:val="000005E1"/>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5">
    <w:nsid w:val="000005E2"/>
    <w:multiLevelType w:val="multilevel"/>
    <w:tmpl w:val="000005E2"/>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6">
    <w:nsid w:val="000005E3"/>
    <w:multiLevelType w:val="multilevel"/>
    <w:tmpl w:val="000005E3"/>
    <w:lvl w:ilvl="0">
      <w:start w:val="1"/>
      <w:numFmt w:val="decimal"/>
      <w:suff w:val="nothing"/>
      <w:lvlText w:val="(2) Exclusion of incentive pro"/>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7">
    <w:nsid w:val="000005E4"/>
    <w:multiLevelType w:val="multilevel"/>
    <w:tmpl w:val="000005E4"/>
    <w:lvl w:ilvl="0">
      <w:start w:val="1"/>
      <w:numFmt w:val="decimal"/>
      <w:suff w:val="nothing"/>
      <w:lvlText w:val="(f) Allocation of payments for"/>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8">
    <w:nsid w:val="000005E5"/>
    <w:multiLevelType w:val="multilevel"/>
    <w:tmpl w:val="000005E5"/>
    <w:lvl w:ilvl="0">
      <w:start w:val="1"/>
      <w:numFmt w:val="decimal"/>
      <w:suff w:val="space"/>
      <w:lvlText w:val="(1) Genera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9">
    <w:nsid w:val="000005E6"/>
    <w:multiLevelType w:val="multilevel"/>
    <w:tmpl w:val="000005E6"/>
    <w:lvl w:ilvl="0">
      <w:start w:val="1"/>
      <w:numFmt w:val="decimal"/>
      <w:suff w:val="space"/>
      <w:lvlText w:val="(2) Proration of services."/>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0">
    <w:nsid w:val="000005E7"/>
    <w:multiLevelType w:val="multilevel"/>
    <w:tmpl w:val="000005E7"/>
    <w:lvl w:ilvl="0">
      <w:start w:val="1"/>
      <w:numFmt w:val="decimal"/>
      <w:suff w:val="nothing"/>
      <w:lvlText w:val="(i) Non-IPPS inpatient servic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1">
    <w:nsid w:val="000005E8"/>
    <w:multiLevelType w:val="multilevel"/>
    <w:tmpl w:val="000005E8"/>
    <w:lvl w:ilvl="0">
      <w:start w:val="1"/>
      <w:numFmt w:val="decimal"/>
      <w:suff w:val="nothing"/>
      <w:lvlText w:val="(ii) Home health agency servic"/>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2">
    <w:nsid w:val="000005E9"/>
    <w:multiLevelType w:val="multilevel"/>
    <w:tmpl w:val="000005E9"/>
    <w:lvl w:ilvl="0">
      <w:start w:val="1"/>
      <w:numFmt w:val="decimal"/>
      <w:suff w:val="space"/>
      <w:lvlText w:val="(3) IPPS services."/>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3">
    <w:nsid w:val="000005EA"/>
    <w:multiLevelType w:val="multilevel"/>
    <w:tmpl w:val="000005EA"/>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4">
    <w:nsid w:val="000005EB"/>
    <w:multiLevelType w:val="multilevel"/>
    <w:tmpl w:val="000005EB"/>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5">
    <w:nsid w:val="000005EC"/>
    <w:multiLevelType w:val="multilevel"/>
    <w:tmpl w:val="000005EC"/>
    <w:lvl w:ilvl="0">
      <w:start w:val="1"/>
      <w:numFmt w:val="decimal"/>
      <w:lvlText w:val="(i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6">
    <w:nsid w:val="000005ED"/>
    <w:multiLevelType w:val="multilevel"/>
    <w:tmpl w:val="000005ED"/>
    <w:lvl w:ilvl="0">
      <w:start w:val="1"/>
      <w:numFmt w:val="decimal"/>
      <w:lvlText w:val="(iv)"/>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7">
    <w:nsid w:val="000005EE"/>
    <w:multiLevelType w:val="multilevel"/>
    <w:tmpl w:val="000005EE"/>
    <w:lvl w:ilvl="0">
      <w:start w:val="1"/>
      <w:numFmt w:val="decimal"/>
      <w:suff w:val="nothing"/>
      <w:lvlText w:val="§ 512.305 Determination of th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8">
    <w:nsid w:val="000005EF"/>
    <w:multiLevelType w:val="multilevel"/>
    <w:tmpl w:val="000005EF"/>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9">
    <w:nsid w:val="000005F0"/>
    <w:multiLevelType w:val="multilevel"/>
    <w:tmpl w:val="000005F0"/>
    <w:lvl w:ilvl="0">
      <w:start w:val="1"/>
      <w:numFmt w:val="decimal"/>
      <w:suff w:val="space"/>
      <w:lvlText w:val="(b) Annual reconcili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0">
    <w:nsid w:val="000005F1"/>
    <w:multiLevelType w:val="multilevel"/>
    <w:tmpl w:val="000005F1"/>
    <w:lvl w:ilvl="0">
      <w:start w:val="1"/>
      <w:numFmt w:val="decimal"/>
      <w:suff w:val="nothing"/>
      <w:lvlText w:val="(c) Annual reconciliation to 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1">
    <w:nsid w:val="000005F2"/>
    <w:multiLevelType w:val="multilevel"/>
    <w:tmpl w:val="000005F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2">
    <w:nsid w:val="000005F3"/>
    <w:multiLevelType w:val="multilevel"/>
    <w:tmpl w:val="000005F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3">
    <w:nsid w:val="000005F4"/>
    <w:multiLevelType w:val="multilevel"/>
    <w:tmpl w:val="000005F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4">
    <w:nsid w:val="000005F5"/>
    <w:multiLevelType w:val="multilevel"/>
    <w:tmpl w:val="000005F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5">
    <w:nsid w:val="000005F6"/>
    <w:multiLevelType w:val="multilevel"/>
    <w:tmpl w:val="000005F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6">
    <w:nsid w:val="000005F7"/>
    <w:multiLevelType w:val="multilevel"/>
    <w:tmpl w:val="000005F7"/>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7">
    <w:nsid w:val="000005F8"/>
    <w:multiLevelType w:val="multilevel"/>
    <w:tmpl w:val="000005F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8">
    <w:nsid w:val="000005F9"/>
    <w:multiLevelType w:val="multilevel"/>
    <w:tmpl w:val="000005F9"/>
    <w:lvl w:ilvl="0">
      <w:start w:val="1"/>
      <w:numFmt w:val="decimal"/>
      <w:suff w:val="space"/>
      <w:lvlText w:val="(A) Limitation on los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9">
    <w:nsid w:val="000005FA"/>
    <w:multiLevelType w:val="multilevel"/>
    <w:tmpl w:val="000005FA"/>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0">
    <w:nsid w:val="000005FB"/>
    <w:multiLevelType w:val="multilevel"/>
    <w:tmpl w:val="000005FB"/>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1">
    <w:nsid w:val="000005FC"/>
    <w:multiLevelType w:val="multilevel"/>
    <w:tmpl w:val="000005FC"/>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2">
    <w:nsid w:val="000005FD"/>
    <w:multiLevelType w:val="multilevel"/>
    <w:tmpl w:val="000005FD"/>
    <w:lvl w:ilvl="0">
      <w:start w:val="1"/>
      <w:numFmt w:val="decimal"/>
      <w:suff w:val="space"/>
      <w:lvlText w:val="(B) Limitation on gain."/>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3">
    <w:nsid w:val="000005FE"/>
    <w:multiLevelType w:val="multilevel"/>
    <w:tmpl w:val="000005FE"/>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4">
    <w:nsid w:val="000005FF"/>
    <w:multiLevelType w:val="multilevel"/>
    <w:tmpl w:val="000005FF"/>
    <w:lvl w:ilvl="0">
      <w:start w:val="1"/>
      <w:numFmt w:val="decimal"/>
      <w:suff w:val="nothing"/>
      <w:lvlText w:val="(C) Financial loss limits for "/>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5">
    <w:nsid w:val="00000600"/>
    <w:multiLevelType w:val="multilevel"/>
    <w:tmpl w:val="00000600"/>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6">
    <w:nsid w:val="00000601"/>
    <w:multiLevelType w:val="multilevel"/>
    <w:tmpl w:val="00000601"/>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7">
    <w:nsid w:val="00000602"/>
    <w:multiLevelType w:val="multilevel"/>
    <w:tmpl w:val="00000602"/>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8">
    <w:nsid w:val="00000603"/>
    <w:multiLevelType w:val="multilevel"/>
    <w:tmpl w:val="00000603"/>
    <w:lvl w:ilvl="0">
      <w:start w:val="1"/>
      <w:numFmt w:val="decimal"/>
      <w:suff w:val="nothing"/>
      <w:lvlText w:val="(D) Financial loss limits for "/>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9">
    <w:nsid w:val="00000604"/>
    <w:multiLevelType w:val="multilevel"/>
    <w:tmpl w:val="00000604"/>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0">
    <w:nsid w:val="00000605"/>
    <w:multiLevelType w:val="multilevel"/>
    <w:tmpl w:val="0000060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1">
    <w:nsid w:val="00000606"/>
    <w:multiLevelType w:val="multilevel"/>
    <w:tmpl w:val="00000606"/>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2">
    <w:nsid w:val="00000607"/>
    <w:multiLevelType w:val="multilevel"/>
    <w:tmpl w:val="00000607"/>
    <w:lvl w:ilvl="0">
      <w:start w:val="1"/>
      <w:numFmt w:val="decimal"/>
      <w:suff w:val="nothing"/>
      <w:lvlText w:val="(E) Application of limitation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3">
    <w:nsid w:val="00000608"/>
    <w:multiLevelType w:val="multilevel"/>
    <w:tmpl w:val="00000608"/>
    <w:lvl w:ilvl="0">
      <w:start w:val="1"/>
      <w:numFmt w:val="decimal"/>
      <w:suff w:val="nothing"/>
      <w:lvlText w:val="(d) Determination of reconcil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4">
    <w:nsid w:val="00000609"/>
    <w:multiLevelType w:val="multilevel"/>
    <w:tmpl w:val="00000609"/>
    <w:lvl w:ilvl="0">
      <w:start w:val="1"/>
      <w:numFmt w:val="decimal"/>
      <w:suff w:val="space"/>
      <w:lvlText w:val="(1)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5">
    <w:nsid w:val="0000060A"/>
    <w:multiLevelType w:val="multilevel"/>
    <w:tmpl w:val="0000060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6">
    <w:nsid w:val="0000060B"/>
    <w:multiLevelType w:val="multilevel"/>
    <w:tmpl w:val="0000060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7">
    <w:nsid w:val="0000060C"/>
    <w:multiLevelType w:val="multilevel"/>
    <w:tmpl w:val="0000060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8">
    <w:nsid w:val="0000060D"/>
    <w:multiLevelType w:val="multilevel"/>
    <w:tmpl w:val="0000060D"/>
    <w:lvl w:ilvl="0">
      <w:start w:val="1"/>
      <w:numFmt w:val="decimal"/>
      <w:suff w:val="space"/>
      <w:lvlText w:val="(2) Reconciliation pay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9">
    <w:nsid w:val="0000060E"/>
    <w:multiLevelType w:val="multilevel"/>
    <w:tmpl w:val="0000060E"/>
    <w:lvl w:ilvl="0">
      <w:start w:val="1"/>
      <w:numFmt w:val="decimal"/>
      <w:suff w:val="space"/>
      <w:lvlText w:val="(3) Repayment amou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0">
    <w:nsid w:val="0000060F"/>
    <w:multiLevelType w:val="multilevel"/>
    <w:tmpl w:val="0000060F"/>
    <w:lvl w:ilvl="0">
      <w:start w:val="1"/>
      <w:numFmt w:val="decimal"/>
      <w:suff w:val="nothing"/>
      <w:lvlText w:val="(e) EPM participants found to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1">
    <w:nsid w:val="00000610"/>
    <w:multiLevelType w:val="multilevel"/>
    <w:tmpl w:val="00000610"/>
    <w:lvl w:ilvl="0">
      <w:start w:val="1"/>
      <w:numFmt w:val="decimal"/>
      <w:suff w:val="space"/>
      <w:lvlText w:val="(f) Reconciliation repor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2">
    <w:nsid w:val="00000611"/>
    <w:multiLevelType w:val="multilevel"/>
    <w:tmpl w:val="0000061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3">
    <w:nsid w:val="00000612"/>
    <w:multiLevelType w:val="multilevel"/>
    <w:tmpl w:val="0000061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4">
    <w:nsid w:val="00000613"/>
    <w:multiLevelType w:val="multilevel"/>
    <w:tmpl w:val="0000061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5">
    <w:nsid w:val="00000614"/>
    <w:multiLevelType w:val="multilevel"/>
    <w:tmpl w:val="0000061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6">
    <w:nsid w:val="00000615"/>
    <w:multiLevelType w:val="multilevel"/>
    <w:tmpl w:val="0000061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7">
    <w:nsid w:val="00000616"/>
    <w:multiLevelType w:val="multilevel"/>
    <w:tmpl w:val="00000616"/>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8">
    <w:nsid w:val="00000617"/>
    <w:multiLevelType w:val="multilevel"/>
    <w:tmpl w:val="00000617"/>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9">
    <w:nsid w:val="00000618"/>
    <w:multiLevelType w:val="multilevel"/>
    <w:tmpl w:val="00000618"/>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0">
    <w:nsid w:val="00000619"/>
    <w:multiLevelType w:val="multilevel"/>
    <w:tmpl w:val="00000619"/>
    <w:lvl w:ilvl="0">
      <w:start w:val="1"/>
      <w:numFmt w:val="decimal"/>
      <w:suff w:val="nothing"/>
      <w:lvlText w:val="§ 512.307 Subsequent calcula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1">
    <w:nsid w:val="0000061A"/>
    <w:multiLevelType w:val="multilevel"/>
    <w:tmpl w:val="0000061A"/>
    <w:lvl w:ilvl="0">
      <w:start w:val="1"/>
      <w:numFmt w:val="decimal"/>
      <w:suff w:val="nothing"/>
      <w:lvlText w:val="(a) Subsequent reconciliatio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2">
    <w:nsid w:val="0000061B"/>
    <w:multiLevelType w:val="multilevel"/>
    <w:tmpl w:val="0000061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3">
    <w:nsid w:val="0000061C"/>
    <w:multiLevelType w:val="multilevel"/>
    <w:tmpl w:val="0000061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4">
    <w:nsid w:val="0000061D"/>
    <w:multiLevelType w:val="multilevel"/>
    <w:tmpl w:val="0000061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5">
    <w:nsid w:val="0000061E"/>
    <w:multiLevelType w:val="multilevel"/>
    <w:tmpl w:val="0000061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6">
    <w:nsid w:val="0000061F"/>
    <w:multiLevelType w:val="multilevel"/>
    <w:tmpl w:val="0000061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7">
    <w:nsid w:val="00000620"/>
    <w:multiLevelType w:val="multilevel"/>
    <w:tmpl w:val="00000620"/>
    <w:lvl w:ilvl="0">
      <w:start w:val="1"/>
      <w:numFmt w:val="decimal"/>
      <w:suff w:val="nothing"/>
      <w:lvlText w:val="(b) Additional calculations t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8">
    <w:nsid w:val="00000621"/>
    <w:multiLevelType w:val="multilevel"/>
    <w:tmpl w:val="0000062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9">
    <w:nsid w:val="00000622"/>
    <w:multiLevelType w:val="multilevel"/>
    <w:tmpl w:val="00000622"/>
    <w:lvl w:ilvl="0">
      <w:start w:val="1"/>
      <w:numFmt w:val="decimal"/>
      <w:suff w:val="nothing"/>
      <w:lvlText w:val="(c) Increases in post-episod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0">
    <w:nsid w:val="00000623"/>
    <w:multiLevelType w:val="multilevel"/>
    <w:tmpl w:val="00000623"/>
    <w:lvl w:ilvl="0">
      <w:start w:val="1"/>
      <w:numFmt w:val="decimal"/>
      <w:suff w:val="space"/>
      <w:lvlText w:val="§ 512.310 Appeals proce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1">
    <w:nsid w:val="00000624"/>
    <w:multiLevelType w:val="multilevel"/>
    <w:tmpl w:val="00000624"/>
    <w:lvl w:ilvl="0">
      <w:start w:val="1"/>
      <w:numFmt w:val="decimal"/>
      <w:suff w:val="nothing"/>
      <w:lvlText w:val="(a) Notice of calculation err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2">
    <w:nsid w:val="00000625"/>
    <w:multiLevelType w:val="multilevel"/>
    <w:tmpl w:val="0000062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3">
    <w:nsid w:val="00000626"/>
    <w:multiLevelType w:val="multilevel"/>
    <w:tmpl w:val="00000626"/>
    <w:lvl w:ilvl="0">
      <w:start w:val="1"/>
      <w:numFmt w:val="decimal"/>
      <w:suff w:val="nothing"/>
      <w:lvlText w:val="(b) Dispute resolution proces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4">
    <w:nsid w:val="00000627"/>
    <w:multiLevelType w:val="multilevel"/>
    <w:tmpl w:val="0000062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5">
    <w:nsid w:val="00000628"/>
    <w:multiLevelType w:val="multilevel"/>
    <w:tmpl w:val="0000062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6">
    <w:nsid w:val="00000629"/>
    <w:multiLevelType w:val="multilevel"/>
    <w:tmpl w:val="0000062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7">
    <w:nsid w:val="0000062A"/>
    <w:multiLevelType w:val="multilevel"/>
    <w:tmpl w:val="0000062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8">
    <w:nsid w:val="0000062B"/>
    <w:multiLevelType w:val="multilevel"/>
    <w:tmpl w:val="0000062B"/>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9">
    <w:nsid w:val="0000062C"/>
    <w:multiLevelType w:val="multilevel"/>
    <w:tmpl w:val="0000062C"/>
    <w:lvl w:ilvl="0">
      <w:start w:val="1"/>
      <w:numFmt w:val="decimal"/>
      <w:suff w:val="nothing"/>
      <w:lvlText w:val="(c) Exception to the notice o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0">
    <w:nsid w:val="0000062D"/>
    <w:multiLevelType w:val="multilevel"/>
    <w:tmpl w:val="0000062D"/>
    <w:lvl w:ilvl="0">
      <w:start w:val="1"/>
      <w:numFmt w:val="decimal"/>
      <w:suff w:val="nothing"/>
      <w:lvlText w:val="(d) Notice of an EPM particip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1">
    <w:nsid w:val="0000062E"/>
    <w:multiLevelType w:val="multilevel"/>
    <w:tmpl w:val="0000062E"/>
    <w:lvl w:ilvl="0">
      <w:start w:val="1"/>
      <w:numFmt w:val="decimal"/>
      <w:suff w:val="space"/>
      <w:lvlText w:val="(e) Limitations on review."/>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2">
    <w:nsid w:val="0000062F"/>
    <w:multiLevelType w:val="multilevel"/>
    <w:tmpl w:val="0000062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3">
    <w:nsid w:val="00000630"/>
    <w:multiLevelType w:val="multilevel"/>
    <w:tmpl w:val="00000630"/>
    <w:lvl w:ilvl="0">
      <w:start w:val="1"/>
      <w:numFmt w:val="decimal"/>
      <w:suff w:val="nothing"/>
      <w:lvlText w:val="§ 512.315 Composite quality s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4">
    <w:nsid w:val="00000631"/>
    <w:multiLevelType w:val="multilevel"/>
    <w:tmpl w:val="00000631"/>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5">
    <w:nsid w:val="00000632"/>
    <w:multiLevelType w:val="multilevel"/>
    <w:tmpl w:val="00000632"/>
    <w:lvl w:ilvl="0">
      <w:start w:val="1"/>
      <w:numFmt w:val="decimal"/>
      <w:suff w:val="space"/>
      <w:lvlText w:val="(b) AMI model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6">
    <w:nsid w:val="00000633"/>
    <w:multiLevelType w:val="multilevel"/>
    <w:tmpl w:val="00000633"/>
    <w:lvl w:ilvl="0">
      <w:start w:val="1"/>
      <w:numFmt w:val="decimal"/>
      <w:suff w:val="nothing"/>
      <w:lvlText w:val="(1) AMI model composite quali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7">
    <w:nsid w:val="00000634"/>
    <w:multiLevelType w:val="multilevel"/>
    <w:tmpl w:val="0000063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8">
    <w:nsid w:val="00000635"/>
    <w:multiLevelType w:val="multilevel"/>
    <w:tmpl w:val="0000063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9">
    <w:nsid w:val="00000636"/>
    <w:multiLevelType w:val="multilevel"/>
    <w:tmpl w:val="0000063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0">
    <w:nsid w:val="00000637"/>
    <w:multiLevelType w:val="multilevel"/>
    <w:tmpl w:val="00000637"/>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1">
    <w:nsid w:val="00000638"/>
    <w:multiLevelType w:val="multilevel"/>
    <w:tmpl w:val="00000638"/>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2">
    <w:nsid w:val="00000639"/>
    <w:multiLevelType w:val="multilevel"/>
    <w:tmpl w:val="00000639"/>
    <w:lvl w:ilvl="0">
      <w:start w:val="1"/>
      <w:numFmt w:val="decimal"/>
      <w:suff w:val="nothing"/>
      <w:lvlText w:val="(2) AMI model quality perform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3">
    <w:nsid w:val="0000063A"/>
    <w:multiLevelType w:val="multilevel"/>
    <w:tmpl w:val="0000063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4">
    <w:nsid w:val="0000063B"/>
    <w:multiLevelType w:val="multilevel"/>
    <w:tmpl w:val="0000063B"/>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5">
    <w:nsid w:val="0000063C"/>
    <w:multiLevelType w:val="multilevel"/>
    <w:tmpl w:val="0000063C"/>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6">
    <w:nsid w:val="0000063D"/>
    <w:multiLevelType w:val="multilevel"/>
    <w:tmpl w:val="0000063D"/>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7">
    <w:nsid w:val="0000063E"/>
    <w:multiLevelType w:val="multilevel"/>
    <w:tmpl w:val="0000063E"/>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8">
    <w:nsid w:val="0000063F"/>
    <w:multiLevelType w:val="multilevel"/>
    <w:tmpl w:val="0000063F"/>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9">
    <w:nsid w:val="00000640"/>
    <w:multiLevelType w:val="multilevel"/>
    <w:tmpl w:val="00000640"/>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0">
    <w:nsid w:val="00000641"/>
    <w:multiLevelType w:val="multilevel"/>
    <w:tmpl w:val="00000641"/>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1">
    <w:nsid w:val="00000642"/>
    <w:multiLevelType w:val="multilevel"/>
    <w:tmpl w:val="00000642"/>
    <w:lvl w:ilvl="0">
      <w:start w:val="1"/>
      <w:numFmt w:val="decimal"/>
      <w:lvlText w:val="(H)"/>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2">
    <w:nsid w:val="00000643"/>
    <w:multiLevelType w:val="multilevel"/>
    <w:tmpl w:val="0000064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3">
    <w:nsid w:val="00000644"/>
    <w:multiLevelType w:val="multilevel"/>
    <w:tmpl w:val="00000644"/>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4">
    <w:nsid w:val="00000645"/>
    <w:multiLevelType w:val="multilevel"/>
    <w:tmpl w:val="00000645"/>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5">
    <w:nsid w:val="00000646"/>
    <w:multiLevelType w:val="multilevel"/>
    <w:tmpl w:val="00000646"/>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6">
    <w:nsid w:val="00000647"/>
    <w:multiLevelType w:val="multilevel"/>
    <w:tmpl w:val="00000647"/>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7">
    <w:nsid w:val="00000648"/>
    <w:multiLevelType w:val="multilevel"/>
    <w:tmpl w:val="00000648"/>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8">
    <w:nsid w:val="00000649"/>
    <w:multiLevelType w:val="multilevel"/>
    <w:tmpl w:val="00000649"/>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9">
    <w:nsid w:val="0000064A"/>
    <w:multiLevelType w:val="multilevel"/>
    <w:tmpl w:val="0000064A"/>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0">
    <w:nsid w:val="0000064B"/>
    <w:multiLevelType w:val="multilevel"/>
    <w:tmpl w:val="0000064B"/>
    <w:lvl w:ilvl="0">
      <w:start w:val="1"/>
      <w:numFmt w:val="decimal"/>
      <w:lvlText w:val="(H)"/>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1">
    <w:nsid w:val="0000064C"/>
    <w:multiLevelType w:val="multilevel"/>
    <w:tmpl w:val="0000064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2">
    <w:nsid w:val="0000064D"/>
    <w:multiLevelType w:val="multilevel"/>
    <w:tmpl w:val="0000064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3">
    <w:nsid w:val="0000064E"/>
    <w:multiLevelType w:val="multilevel"/>
    <w:tmpl w:val="0000064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4">
    <w:nsid w:val="0000064F"/>
    <w:multiLevelType w:val="multilevel"/>
    <w:tmpl w:val="0000064F"/>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5">
    <w:nsid w:val="00000650"/>
    <w:multiLevelType w:val="multilevel"/>
    <w:tmpl w:val="00000650"/>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6">
    <w:nsid w:val="00000651"/>
    <w:multiLevelType w:val="multilevel"/>
    <w:tmpl w:val="00000651"/>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7">
    <w:nsid w:val="00000652"/>
    <w:multiLevelType w:val="multilevel"/>
    <w:tmpl w:val="00000652"/>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8">
    <w:nsid w:val="00000653"/>
    <w:multiLevelType w:val="multilevel"/>
    <w:tmpl w:val="00000653"/>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9">
    <w:nsid w:val="00000654"/>
    <w:multiLevelType w:val="multilevel"/>
    <w:tmpl w:val="00000654"/>
    <w:lvl w:ilvl="0">
      <w:start w:val="1"/>
      <w:numFmt w:val="decimal"/>
      <w:lvlText w:val="(H)"/>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0">
    <w:nsid w:val="00000655"/>
    <w:multiLevelType w:val="multilevel"/>
    <w:tmpl w:val="00000655"/>
    <w:lvl w:ilvl="0">
      <w:start w:val="1"/>
      <w:numFmt w:val="decimal"/>
      <w:suff w:val="nothing"/>
      <w:lvlText w:val="(3) AMI model quality improvem"/>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1">
    <w:nsid w:val="00000656"/>
    <w:multiLevelType w:val="multilevel"/>
    <w:tmpl w:val="00000656"/>
    <w:lvl w:ilvl="0">
      <w:start w:val="1"/>
      <w:numFmt w:val="decimal"/>
      <w:suff w:val="nothing"/>
      <w:lvlText w:val="(4) Exception for AMI model p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2">
    <w:nsid w:val="00000657"/>
    <w:multiLevelType w:val="multilevel"/>
    <w:tmpl w:val="00000657"/>
    <w:lvl w:ilvl="0">
      <w:start w:val="1"/>
      <w:numFmt w:val="decimal"/>
      <w:lvlText w:val="(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3">
    <w:nsid w:val="00000658"/>
    <w:multiLevelType w:val="multilevel"/>
    <w:tmpl w:val="00000658"/>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4">
    <w:nsid w:val="00000659"/>
    <w:multiLevelType w:val="multilevel"/>
    <w:tmpl w:val="00000659"/>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5">
    <w:nsid w:val="0000065A"/>
    <w:multiLevelType w:val="multilevel"/>
    <w:tmpl w:val="0000065A"/>
    <w:lvl w:ilvl="0">
      <w:start w:val="1"/>
      <w:numFmt w:val="decimal"/>
      <w:lvlText w:val="(C)"/>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6">
    <w:nsid w:val="0000065B"/>
    <w:multiLevelType w:val="multilevel"/>
    <w:tmpl w:val="0000065B"/>
    <w:lvl w:ilvl="0">
      <w:start w:val="1"/>
      <w:numFmt w:val="decimal"/>
      <w:lvlText w:val="(D)"/>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7">
    <w:nsid w:val="0000065C"/>
    <w:multiLevelType w:val="multilevel"/>
    <w:tmpl w:val="0000065C"/>
    <w:lvl w:ilvl="0">
      <w:start w:val="1"/>
      <w:numFmt w:val="decimal"/>
      <w:suff w:val="nothing"/>
      <w:lvlText w:val="(5) Establishing AMI model rec"/>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8">
    <w:nsid w:val="0000065D"/>
    <w:multiLevelType w:val="multilevel"/>
    <w:tmpl w:val="0000065D"/>
    <w:lvl w:ilvl="0">
      <w:start w:val="1"/>
      <w:numFmt w:val="lowerRoman"/>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9">
    <w:nsid w:val="0000065E"/>
    <w:multiLevelType w:val="multilevel"/>
    <w:tmpl w:val="0000065E"/>
    <w:lvl w:ilvl="0">
      <w:start w:val="1"/>
      <w:numFmt w:val="decimal"/>
      <w:lvlText w:val="(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0">
    <w:nsid w:val="0000065F"/>
    <w:multiLevelType w:val="multilevel"/>
    <w:tmpl w:val="0000065F"/>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1">
    <w:nsid w:val="00000660"/>
    <w:multiLevelType w:val="multilevel"/>
    <w:tmpl w:val="00000660"/>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2">
    <w:nsid w:val="00000661"/>
    <w:multiLevelType w:val="multilevel"/>
    <w:tmpl w:val="00000661"/>
    <w:lvl w:ilvl="0">
      <w:start w:val="1"/>
      <w:numFmt w:val="decimal"/>
      <w:lvlText w:val="(C)"/>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3">
    <w:nsid w:val="00000662"/>
    <w:multiLevelType w:val="multilevel"/>
    <w:tmpl w:val="00000662"/>
    <w:lvl w:ilvl="0">
      <w:start w:val="1"/>
      <w:numFmt w:val="decimal"/>
      <w:lvlText w:val="(i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4">
    <w:nsid w:val="00000663"/>
    <w:multiLevelType w:val="multilevel"/>
    <w:tmpl w:val="00000663"/>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5">
    <w:nsid w:val="00000664"/>
    <w:multiLevelType w:val="multilevel"/>
    <w:tmpl w:val="00000664"/>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6">
    <w:nsid w:val="00000665"/>
    <w:multiLevelType w:val="multilevel"/>
    <w:tmpl w:val="00000665"/>
    <w:lvl w:ilvl="0">
      <w:start w:val="1"/>
      <w:numFmt w:val="decimal"/>
      <w:lvlText w:val="(C)"/>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7">
    <w:nsid w:val="00000666"/>
    <w:multiLevelType w:val="multilevel"/>
    <w:tmpl w:val="00000666"/>
    <w:lvl w:ilvl="0">
      <w:start w:val="1"/>
      <w:numFmt w:val="decimal"/>
      <w:lvlText w:val="(iv)"/>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8">
    <w:nsid w:val="00000667"/>
    <w:multiLevelType w:val="multilevel"/>
    <w:tmpl w:val="00000667"/>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9">
    <w:nsid w:val="00000668"/>
    <w:multiLevelType w:val="multilevel"/>
    <w:tmpl w:val="00000668"/>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0">
    <w:nsid w:val="00000669"/>
    <w:multiLevelType w:val="multilevel"/>
    <w:tmpl w:val="00000669"/>
    <w:lvl w:ilvl="0">
      <w:start w:val="1"/>
      <w:numFmt w:val="decimal"/>
      <w:lvlText w:val="(C)"/>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1">
    <w:nsid w:val="0000066A"/>
    <w:multiLevelType w:val="multilevel"/>
    <w:tmpl w:val="0000066A"/>
    <w:lvl w:ilvl="0">
      <w:start w:val="1"/>
      <w:numFmt w:val="decimal"/>
      <w:suff w:val="space"/>
      <w:lvlText w:val="(c) CABG model --"/>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2">
    <w:nsid w:val="0000066B"/>
    <w:multiLevelType w:val="multilevel"/>
    <w:tmpl w:val="0000066B"/>
    <w:lvl w:ilvl="0">
      <w:start w:val="1"/>
      <w:numFmt w:val="decimal"/>
      <w:suff w:val="nothing"/>
      <w:lvlText w:val="(1) CABG model composite quali"/>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3">
    <w:nsid w:val="0000066C"/>
    <w:multiLevelType w:val="multilevel"/>
    <w:tmpl w:val="0000066C"/>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4">
    <w:nsid w:val="0000066D"/>
    <w:multiLevelType w:val="multilevel"/>
    <w:tmpl w:val="0000066D"/>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5">
    <w:nsid w:val="0000066E"/>
    <w:multiLevelType w:val="multilevel"/>
    <w:tmpl w:val="0000066E"/>
    <w:lvl w:ilvl="0">
      <w:start w:val="1"/>
      <w:numFmt w:val="decimal"/>
      <w:lvlText w:val="(i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6">
    <w:nsid w:val="0000066F"/>
    <w:multiLevelType w:val="multilevel"/>
    <w:tmpl w:val="0000066F"/>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7">
    <w:nsid w:val="00000670"/>
    <w:multiLevelType w:val="multilevel"/>
    <w:tmpl w:val="00000670"/>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8">
    <w:nsid w:val="00000671"/>
    <w:multiLevelType w:val="multilevel"/>
    <w:tmpl w:val="00000671"/>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9">
    <w:nsid w:val="00000672"/>
    <w:multiLevelType w:val="multilevel"/>
    <w:tmpl w:val="00000672"/>
    <w:lvl w:ilvl="0">
      <w:start w:val="1"/>
      <w:numFmt w:val="decimal"/>
      <w:lvlText w:val="(D)"/>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0">
    <w:nsid w:val="00000673"/>
    <w:multiLevelType w:val="multilevel"/>
    <w:tmpl w:val="00000673"/>
    <w:lvl w:ilvl="0">
      <w:start w:val="1"/>
      <w:numFmt w:val="decimal"/>
      <w:lvlText w:val="(E)"/>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1">
    <w:nsid w:val="00000674"/>
    <w:multiLevelType w:val="multilevel"/>
    <w:tmpl w:val="00000674"/>
    <w:lvl w:ilvl="0">
      <w:start w:val="1"/>
      <w:numFmt w:val="decimal"/>
      <w:lvlText w:val="(F)"/>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2">
    <w:nsid w:val="00000675"/>
    <w:multiLevelType w:val="multilevel"/>
    <w:tmpl w:val="00000675"/>
    <w:lvl w:ilvl="0">
      <w:start w:val="1"/>
      <w:numFmt w:val="decimal"/>
      <w:lvlText w:val="(G)"/>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3">
    <w:nsid w:val="00000676"/>
    <w:multiLevelType w:val="multilevel"/>
    <w:tmpl w:val="00000676"/>
    <w:lvl w:ilvl="0">
      <w:start w:val="1"/>
      <w:numFmt w:val="decimal"/>
      <w:lvlText w:val="(iv)"/>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4">
    <w:nsid w:val="00000677"/>
    <w:multiLevelType w:val="multilevel"/>
    <w:tmpl w:val="00000677"/>
    <w:lvl w:ilvl="0">
      <w:start w:val="1"/>
      <w:numFmt w:val="decimal"/>
      <w:suff w:val="nothing"/>
      <w:lvlText w:val="(2) CABG model quality perform"/>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5">
    <w:nsid w:val="00000678"/>
    <w:multiLevelType w:val="multilevel"/>
    <w:tmpl w:val="00000678"/>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6">
    <w:nsid w:val="00000679"/>
    <w:multiLevelType w:val="multilevel"/>
    <w:tmpl w:val="00000679"/>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7">
    <w:nsid w:val="0000067A"/>
    <w:multiLevelType w:val="multilevel"/>
    <w:tmpl w:val="0000067A"/>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8">
    <w:nsid w:val="0000067B"/>
    <w:multiLevelType w:val="multilevel"/>
    <w:tmpl w:val="0000067B"/>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9">
    <w:nsid w:val="0000067C"/>
    <w:multiLevelType w:val="multilevel"/>
    <w:tmpl w:val="0000067C"/>
    <w:lvl w:ilvl="0">
      <w:start w:val="1"/>
      <w:numFmt w:val="decimal"/>
      <w:lvlText w:val="(D)"/>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0">
    <w:nsid w:val="0000067D"/>
    <w:multiLevelType w:val="multilevel"/>
    <w:tmpl w:val="0000067D"/>
    <w:lvl w:ilvl="0">
      <w:start w:val="1"/>
      <w:numFmt w:val="decimal"/>
      <w:lvlText w:val="(E)"/>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1">
    <w:nsid w:val="0000067E"/>
    <w:multiLevelType w:val="multilevel"/>
    <w:tmpl w:val="0000067E"/>
    <w:lvl w:ilvl="0">
      <w:start w:val="1"/>
      <w:numFmt w:val="decimal"/>
      <w:lvlText w:val="(F)"/>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2">
    <w:nsid w:val="0000067F"/>
    <w:multiLevelType w:val="multilevel"/>
    <w:tmpl w:val="0000067F"/>
    <w:lvl w:ilvl="0">
      <w:start w:val="1"/>
      <w:numFmt w:val="decimal"/>
      <w:lvlText w:val="(G)"/>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3">
    <w:nsid w:val="00000680"/>
    <w:multiLevelType w:val="multilevel"/>
    <w:tmpl w:val="00000680"/>
    <w:lvl w:ilvl="0">
      <w:start w:val="1"/>
      <w:numFmt w:val="decimal"/>
      <w:lvlText w:val="(H)"/>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4">
    <w:nsid w:val="00000681"/>
    <w:multiLevelType w:val="multilevel"/>
    <w:tmpl w:val="00000681"/>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5">
    <w:nsid w:val="00000682"/>
    <w:multiLevelType w:val="multilevel"/>
    <w:tmpl w:val="00000682"/>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6">
    <w:nsid w:val="00000683"/>
    <w:multiLevelType w:val="multilevel"/>
    <w:tmpl w:val="00000683"/>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7">
    <w:nsid w:val="00000684"/>
    <w:multiLevelType w:val="multilevel"/>
    <w:tmpl w:val="00000684"/>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8">
    <w:nsid w:val="00000685"/>
    <w:multiLevelType w:val="multilevel"/>
    <w:tmpl w:val="00000685"/>
    <w:lvl w:ilvl="0">
      <w:start w:val="1"/>
      <w:numFmt w:val="decimal"/>
      <w:lvlText w:val="(D)"/>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9">
    <w:nsid w:val="00000686"/>
    <w:multiLevelType w:val="multilevel"/>
    <w:tmpl w:val="00000686"/>
    <w:lvl w:ilvl="0">
      <w:start w:val="1"/>
      <w:numFmt w:val="decimal"/>
      <w:lvlText w:val="(E)"/>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0">
    <w:nsid w:val="00000687"/>
    <w:multiLevelType w:val="multilevel"/>
    <w:tmpl w:val="00000687"/>
    <w:lvl w:ilvl="0">
      <w:start w:val="1"/>
      <w:numFmt w:val="decimal"/>
      <w:lvlText w:val="(F)"/>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1">
    <w:nsid w:val="00000688"/>
    <w:multiLevelType w:val="multilevel"/>
    <w:tmpl w:val="00000688"/>
    <w:lvl w:ilvl="0">
      <w:start w:val="1"/>
      <w:numFmt w:val="decimal"/>
      <w:lvlText w:val="(G)"/>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2">
    <w:nsid w:val="00000689"/>
    <w:multiLevelType w:val="multilevel"/>
    <w:tmpl w:val="00000689"/>
    <w:lvl w:ilvl="0">
      <w:start w:val="1"/>
      <w:numFmt w:val="decimal"/>
      <w:lvlText w:val="(H)"/>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3">
    <w:nsid w:val="0000068A"/>
    <w:multiLevelType w:val="multilevel"/>
    <w:tmpl w:val="0000068A"/>
    <w:lvl w:ilvl="0">
      <w:start w:val="1"/>
      <w:numFmt w:val="decimal"/>
      <w:suff w:val="nothing"/>
      <w:lvlText w:val="(3) CABG model quality improv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4">
    <w:nsid w:val="0000068B"/>
    <w:multiLevelType w:val="multilevel"/>
    <w:tmpl w:val="0000068B"/>
    <w:lvl w:ilvl="0">
      <w:start w:val="1"/>
      <w:numFmt w:val="decimal"/>
      <w:suff w:val="nothing"/>
      <w:lvlText w:val="(4) Exception for CABG model p"/>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5">
    <w:nsid w:val="0000068C"/>
    <w:multiLevelType w:val="multilevel"/>
    <w:tmpl w:val="0000068C"/>
    <w:lvl w:ilvl="0">
      <w:start w:val="1"/>
      <w:numFmt w:val="decimal"/>
      <w:lvlText w:val="(i)"/>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6">
    <w:nsid w:val="0000068D"/>
    <w:multiLevelType w:val="multilevel"/>
    <w:tmpl w:val="0000068D"/>
    <w:lvl w:ilvl="0">
      <w:start w:val="1"/>
      <w:numFmt w:val="upperLetter"/>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7">
    <w:nsid w:val="0000068E"/>
    <w:multiLevelType w:val="multilevel"/>
    <w:tmpl w:val="0000068E"/>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8">
    <w:nsid w:val="0000068F"/>
    <w:multiLevelType w:val="multilevel"/>
    <w:tmpl w:val="0000068F"/>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9">
    <w:nsid w:val="00000690"/>
    <w:multiLevelType w:val="multilevel"/>
    <w:tmpl w:val="00000690"/>
    <w:lvl w:ilvl="0">
      <w:start w:val="1"/>
      <w:numFmt w:val="decimal"/>
      <w:suff w:val="nothing"/>
      <w:lvlText w:val="(5) Establishing CABG model r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0">
    <w:nsid w:val="00000691"/>
    <w:multiLevelType w:val="multilevel"/>
    <w:tmpl w:val="00000691"/>
    <w:lvl w:ilvl="0">
      <w:start w:val="1"/>
      <w:numFmt w:val="lowerRoman"/>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1">
    <w:nsid w:val="00000692"/>
    <w:multiLevelType w:val="multilevel"/>
    <w:tmpl w:val="00000692"/>
    <w:lvl w:ilvl="0">
      <w:start w:val="1"/>
      <w:numFmt w:val="decimal"/>
      <w:lvlText w:val="(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2">
    <w:nsid w:val="00000693"/>
    <w:multiLevelType w:val="multilevel"/>
    <w:tmpl w:val="00000693"/>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3">
    <w:nsid w:val="00000694"/>
    <w:multiLevelType w:val="multilevel"/>
    <w:tmpl w:val="00000694"/>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4">
    <w:nsid w:val="00000695"/>
    <w:multiLevelType w:val="multilevel"/>
    <w:tmpl w:val="00000695"/>
    <w:lvl w:ilvl="0">
      <w:start w:val="1"/>
      <w:numFmt w:val="decimal"/>
      <w:lvlText w:val="(C)"/>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5">
    <w:nsid w:val="00000696"/>
    <w:multiLevelType w:val="multilevel"/>
    <w:tmpl w:val="00000696"/>
    <w:lvl w:ilvl="0">
      <w:start w:val="1"/>
      <w:numFmt w:val="decimal"/>
      <w:lvlText w:val="(i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6">
    <w:nsid w:val="00000697"/>
    <w:multiLevelType w:val="multilevel"/>
    <w:tmpl w:val="00000697"/>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7">
    <w:nsid w:val="00000698"/>
    <w:multiLevelType w:val="multilevel"/>
    <w:tmpl w:val="00000698"/>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8">
    <w:nsid w:val="00000699"/>
    <w:multiLevelType w:val="multilevel"/>
    <w:tmpl w:val="00000699"/>
    <w:lvl w:ilvl="0">
      <w:start w:val="1"/>
      <w:numFmt w:val="decimal"/>
      <w:lvlText w:val="(C)"/>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9">
    <w:nsid w:val="0000069A"/>
    <w:multiLevelType w:val="multilevel"/>
    <w:tmpl w:val="0000069A"/>
    <w:lvl w:ilvl="0">
      <w:start w:val="1"/>
      <w:numFmt w:val="decimal"/>
      <w:lvlText w:val="(iv)"/>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0">
    <w:nsid w:val="0000069B"/>
    <w:multiLevelType w:val="multilevel"/>
    <w:tmpl w:val="0000069B"/>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1">
    <w:nsid w:val="0000069C"/>
    <w:multiLevelType w:val="multilevel"/>
    <w:tmpl w:val="0000069C"/>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2">
    <w:nsid w:val="0000069D"/>
    <w:multiLevelType w:val="multilevel"/>
    <w:tmpl w:val="0000069D"/>
    <w:lvl w:ilvl="0">
      <w:start w:val="1"/>
      <w:numFmt w:val="decimal"/>
      <w:lvlText w:val="(C)"/>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3">
    <w:nsid w:val="0000069E"/>
    <w:multiLevelType w:val="multilevel"/>
    <w:tmpl w:val="0000069E"/>
    <w:lvl w:ilvl="0">
      <w:start w:val="1"/>
      <w:numFmt w:val="decimal"/>
      <w:suff w:val="space"/>
      <w:lvlText w:val="(d) SHFFT model --"/>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4">
    <w:nsid w:val="0000069F"/>
    <w:multiLevelType w:val="multilevel"/>
    <w:tmpl w:val="0000069F"/>
    <w:lvl w:ilvl="0">
      <w:start w:val="1"/>
      <w:numFmt w:val="decimal"/>
      <w:suff w:val="nothing"/>
      <w:lvlText w:val="(1) SHFFT model composite qua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5">
    <w:nsid w:val="000006A0"/>
    <w:multiLevelType w:val="multilevel"/>
    <w:tmpl w:val="000006A0"/>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6">
    <w:nsid w:val="000006A1"/>
    <w:multiLevelType w:val="multilevel"/>
    <w:tmpl w:val="000006A1"/>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7">
    <w:nsid w:val="000006A2"/>
    <w:multiLevelType w:val="multilevel"/>
    <w:tmpl w:val="000006A2"/>
    <w:lvl w:ilvl="0">
      <w:start w:val="1"/>
      <w:numFmt w:val="decimal"/>
      <w:lvlText w:val="(i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8">
    <w:nsid w:val="000006A3"/>
    <w:multiLevelType w:val="multilevel"/>
    <w:tmpl w:val="000006A3"/>
    <w:lvl w:ilvl="0">
      <w:start w:val="1"/>
      <w:numFmt w:val="decimal"/>
      <w:lvlText w:val="(iv)"/>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9">
    <w:nsid w:val="000006A4"/>
    <w:multiLevelType w:val="multilevel"/>
    <w:tmpl w:val="000006A4"/>
    <w:lvl w:ilvl="0">
      <w:start w:val="1"/>
      <w:numFmt w:val="decimal"/>
      <w:suff w:val="nothing"/>
      <w:lvlText w:val="(2) SHFFT model quality perfor"/>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0">
    <w:nsid w:val="000006A5"/>
    <w:multiLevelType w:val="multilevel"/>
    <w:tmpl w:val="000006A5"/>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1">
    <w:nsid w:val="000006A6"/>
    <w:multiLevelType w:val="multilevel"/>
    <w:tmpl w:val="000006A6"/>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2">
    <w:nsid w:val="000006A7"/>
    <w:multiLevelType w:val="multilevel"/>
    <w:tmpl w:val="000006A7"/>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3">
    <w:nsid w:val="000006A8"/>
    <w:multiLevelType w:val="multilevel"/>
    <w:tmpl w:val="000006A8"/>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4">
    <w:nsid w:val="000006A9"/>
    <w:multiLevelType w:val="multilevel"/>
    <w:tmpl w:val="000006A9"/>
    <w:lvl w:ilvl="0">
      <w:start w:val="1"/>
      <w:numFmt w:val="decimal"/>
      <w:lvlText w:val="(D)"/>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5">
    <w:nsid w:val="000006AA"/>
    <w:multiLevelType w:val="multilevel"/>
    <w:tmpl w:val="000006AA"/>
    <w:lvl w:ilvl="0">
      <w:start w:val="1"/>
      <w:numFmt w:val="decimal"/>
      <w:lvlText w:val="(E)"/>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6">
    <w:nsid w:val="000006AB"/>
    <w:multiLevelType w:val="multilevel"/>
    <w:tmpl w:val="000006AB"/>
    <w:lvl w:ilvl="0">
      <w:start w:val="1"/>
      <w:numFmt w:val="decimal"/>
      <w:lvlText w:val="(F)"/>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7">
    <w:nsid w:val="000006AC"/>
    <w:multiLevelType w:val="multilevel"/>
    <w:tmpl w:val="000006AC"/>
    <w:lvl w:ilvl="0">
      <w:start w:val="1"/>
      <w:numFmt w:val="decimal"/>
      <w:lvlText w:val="(G)"/>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8">
    <w:nsid w:val="000006AD"/>
    <w:multiLevelType w:val="multilevel"/>
    <w:tmpl w:val="000006AD"/>
    <w:lvl w:ilvl="0">
      <w:start w:val="1"/>
      <w:numFmt w:val="decimal"/>
      <w:lvlText w:val="(H)"/>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9">
    <w:nsid w:val="000006AE"/>
    <w:multiLevelType w:val="multilevel"/>
    <w:tmpl w:val="000006AE"/>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0">
    <w:nsid w:val="000006AF"/>
    <w:multiLevelType w:val="multilevel"/>
    <w:tmpl w:val="000006AF"/>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1">
    <w:nsid w:val="000006B0"/>
    <w:multiLevelType w:val="multilevel"/>
    <w:tmpl w:val="000006B0"/>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2">
    <w:nsid w:val="000006B1"/>
    <w:multiLevelType w:val="multilevel"/>
    <w:tmpl w:val="000006B1"/>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3">
    <w:nsid w:val="000006B2"/>
    <w:multiLevelType w:val="multilevel"/>
    <w:tmpl w:val="000006B2"/>
    <w:lvl w:ilvl="0">
      <w:start w:val="1"/>
      <w:numFmt w:val="decimal"/>
      <w:lvlText w:val="(D)"/>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4">
    <w:nsid w:val="000006B3"/>
    <w:multiLevelType w:val="multilevel"/>
    <w:tmpl w:val="000006B3"/>
    <w:lvl w:ilvl="0">
      <w:start w:val="1"/>
      <w:numFmt w:val="decimal"/>
      <w:lvlText w:val="(E)"/>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5">
    <w:nsid w:val="000006B4"/>
    <w:multiLevelType w:val="multilevel"/>
    <w:tmpl w:val="000006B4"/>
    <w:lvl w:ilvl="0">
      <w:start w:val="1"/>
      <w:numFmt w:val="decimal"/>
      <w:lvlText w:val="(F)"/>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6">
    <w:nsid w:val="000006B5"/>
    <w:multiLevelType w:val="multilevel"/>
    <w:tmpl w:val="000006B5"/>
    <w:lvl w:ilvl="0">
      <w:start w:val="1"/>
      <w:numFmt w:val="decimal"/>
      <w:lvlText w:val="(G)"/>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7">
    <w:nsid w:val="000006B6"/>
    <w:multiLevelType w:val="multilevel"/>
    <w:tmpl w:val="000006B6"/>
    <w:lvl w:ilvl="0">
      <w:start w:val="1"/>
      <w:numFmt w:val="decimal"/>
      <w:lvlText w:val="(H)"/>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8">
    <w:nsid w:val="000006B7"/>
    <w:multiLevelType w:val="multilevel"/>
    <w:tmpl w:val="000006B7"/>
    <w:lvl w:ilvl="0">
      <w:start w:val="1"/>
      <w:numFmt w:val="decimal"/>
      <w:suff w:val="nothing"/>
      <w:lvlText w:val="(3) SHFFT quality improvement "/>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9">
    <w:nsid w:val="000006B8"/>
    <w:multiLevelType w:val="multilevel"/>
    <w:tmpl w:val="000006B8"/>
    <w:lvl w:ilvl="0">
      <w:start w:val="1"/>
      <w:numFmt w:val="decimal"/>
      <w:suff w:val="nothing"/>
      <w:lvlText w:val="(4) Exception for SHFFT model "/>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0">
    <w:nsid w:val="000006B9"/>
    <w:multiLevelType w:val="multilevel"/>
    <w:tmpl w:val="000006B9"/>
    <w:lvl w:ilvl="0">
      <w:start w:val="1"/>
      <w:numFmt w:val="decimal"/>
      <w:lvlText w:val="(i)"/>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1">
    <w:nsid w:val="000006BA"/>
    <w:multiLevelType w:val="multilevel"/>
    <w:tmpl w:val="000006BA"/>
    <w:lvl w:ilvl="0">
      <w:start w:val="1"/>
      <w:numFmt w:val="upperLetter"/>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2">
    <w:nsid w:val="000006BB"/>
    <w:multiLevelType w:val="multilevel"/>
    <w:tmpl w:val="000006BB"/>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3">
    <w:nsid w:val="000006BC"/>
    <w:multiLevelType w:val="multilevel"/>
    <w:tmpl w:val="000006BC"/>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4">
    <w:nsid w:val="000006BD"/>
    <w:multiLevelType w:val="multilevel"/>
    <w:tmpl w:val="000006BD"/>
    <w:lvl w:ilvl="0">
      <w:start w:val="1"/>
      <w:numFmt w:val="decimal"/>
      <w:suff w:val="nothing"/>
      <w:lvlText w:val="(5) Establishing SHFFT model r"/>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5">
    <w:nsid w:val="000006BE"/>
    <w:multiLevelType w:val="multilevel"/>
    <w:tmpl w:val="000006BE"/>
    <w:lvl w:ilvl="0">
      <w:start w:val="1"/>
      <w:numFmt w:val="lowerRoman"/>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6">
    <w:nsid w:val="000006BF"/>
    <w:multiLevelType w:val="multilevel"/>
    <w:tmpl w:val="000006BF"/>
    <w:lvl w:ilvl="0">
      <w:start w:val="1"/>
      <w:numFmt w:val="decimal"/>
      <w:lvlText w:val="(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7">
    <w:nsid w:val="000006C0"/>
    <w:multiLevelType w:val="multilevel"/>
    <w:tmpl w:val="000006C0"/>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8">
    <w:nsid w:val="000006C1"/>
    <w:multiLevelType w:val="multilevel"/>
    <w:tmpl w:val="000006C1"/>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9">
    <w:nsid w:val="000006C2"/>
    <w:multiLevelType w:val="multilevel"/>
    <w:tmpl w:val="000006C2"/>
    <w:lvl w:ilvl="0">
      <w:start w:val="1"/>
      <w:numFmt w:val="decimal"/>
      <w:lvlText w:val="(C)"/>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0">
    <w:nsid w:val="000006C3"/>
    <w:multiLevelType w:val="multilevel"/>
    <w:tmpl w:val="000006C3"/>
    <w:lvl w:ilvl="0">
      <w:start w:val="1"/>
      <w:numFmt w:val="decimal"/>
      <w:lvlText w:val="(i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1">
    <w:nsid w:val="000006C4"/>
    <w:multiLevelType w:val="multilevel"/>
    <w:tmpl w:val="000006C4"/>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2">
    <w:nsid w:val="000006C5"/>
    <w:multiLevelType w:val="multilevel"/>
    <w:tmpl w:val="000006C5"/>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3">
    <w:nsid w:val="000006C6"/>
    <w:multiLevelType w:val="multilevel"/>
    <w:tmpl w:val="000006C6"/>
    <w:lvl w:ilvl="0">
      <w:start w:val="1"/>
      <w:numFmt w:val="decimal"/>
      <w:lvlText w:val="(C)"/>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4">
    <w:nsid w:val="000006C7"/>
    <w:multiLevelType w:val="multilevel"/>
    <w:tmpl w:val="000006C7"/>
    <w:lvl w:ilvl="0">
      <w:start w:val="1"/>
      <w:numFmt w:val="decimal"/>
      <w:lvlText w:val="(iv)"/>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5">
    <w:nsid w:val="000006C8"/>
    <w:multiLevelType w:val="multilevel"/>
    <w:tmpl w:val="000006C8"/>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6">
    <w:nsid w:val="000006C9"/>
    <w:multiLevelType w:val="multilevel"/>
    <w:tmpl w:val="000006C9"/>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7">
    <w:nsid w:val="000006CA"/>
    <w:multiLevelType w:val="multilevel"/>
    <w:tmpl w:val="000006CA"/>
    <w:lvl w:ilvl="0">
      <w:start w:val="1"/>
      <w:numFmt w:val="decimal"/>
      <w:lvlText w:val="(C)"/>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8">
    <w:nsid w:val="000006CB"/>
    <w:multiLevelType w:val="multilevel"/>
    <w:tmpl w:val="000006CB"/>
    <w:lvl w:ilvl="0">
      <w:start w:val="1"/>
      <w:numFmt w:val="decimal"/>
      <w:suff w:val="nothing"/>
      <w:lvlText w:val="§ 512.320 Treatment of incen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9">
    <w:nsid w:val="000006CC"/>
    <w:multiLevelType w:val="multilevel"/>
    <w:tmpl w:val="000006CC"/>
    <w:lvl w:ilvl="0">
      <w:start w:val="1"/>
      <w:numFmt w:val="decimal"/>
      <w:suff w:val="space"/>
      <w:lvlText w:val="§ 512.350 Data shar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0">
    <w:nsid w:val="000006CD"/>
    <w:multiLevelType w:val="multilevel"/>
    <w:tmpl w:val="000006CD"/>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1">
    <w:nsid w:val="000006CE"/>
    <w:multiLevelType w:val="multilevel"/>
    <w:tmpl w:val="000006C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2">
    <w:nsid w:val="000006CF"/>
    <w:multiLevelType w:val="multilevel"/>
    <w:tmpl w:val="000006CF"/>
    <w:lvl w:ilvl="0">
      <w:start w:val="1"/>
      <w:numFmt w:val="decimal"/>
      <w:suff w:val="nothing"/>
      <w:lvlText w:val="(b) Beneficiary-identifiable 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3">
    <w:nsid w:val="000006D0"/>
    <w:multiLevelType w:val="multilevel"/>
    <w:tmpl w:val="000006D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4">
    <w:nsid w:val="000006D1"/>
    <w:multiLevelType w:val="multilevel"/>
    <w:tmpl w:val="000006D1"/>
    <w:lvl w:ilvl="0">
      <w:start w:val="1"/>
      <w:numFmt w:val="decimal"/>
      <w:suff w:val="nothing"/>
      <w:lvlText w:val="Subpart E-- Quality Measure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5">
    <w:nsid w:val="000006D2"/>
    <w:multiLevelType w:val="multilevel"/>
    <w:tmpl w:val="000006D2"/>
    <w:lvl w:ilvl="0">
      <w:start w:val="1"/>
      <w:numFmt w:val="decimal"/>
      <w:suff w:val="nothing"/>
      <w:lvlText w:val="§ 512.400 Quality measures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6">
    <w:nsid w:val="000006D3"/>
    <w:multiLevelType w:val="multilevel"/>
    <w:tmpl w:val="000006D3"/>
    <w:lvl w:ilvl="0">
      <w:start w:val="1"/>
      <w:numFmt w:val="decimal"/>
      <w:suff w:val="nothing"/>
      <w:lvlText w:val="(a) Reporting of quality measu"/>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7">
    <w:nsid w:val="000006D4"/>
    <w:multiLevelType w:val="multilevel"/>
    <w:tmpl w:val="000006D4"/>
    <w:lvl w:ilvl="0">
      <w:start w:val="1"/>
      <w:numFmt w:val="decimal"/>
      <w:suff w:val="space"/>
      <w:lvlText w:val="(b) Quality measur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8">
    <w:nsid w:val="000006D5"/>
    <w:multiLevelType w:val="multilevel"/>
    <w:tmpl w:val="000006D5"/>
    <w:lvl w:ilvl="0">
      <w:start w:val="1"/>
      <w:numFmt w:val="decimal"/>
      <w:suff w:val="space"/>
      <w:lvlText w:val="(c) Public report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9">
    <w:nsid w:val="000006D6"/>
    <w:multiLevelType w:val="multilevel"/>
    <w:tmpl w:val="000006D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0">
    <w:nsid w:val="000006D7"/>
    <w:multiLevelType w:val="multilevel"/>
    <w:tmpl w:val="000006D7"/>
    <w:lvl w:ilvl="0">
      <w:start w:val="1"/>
      <w:numFmt w:val="decimal"/>
      <w:suff w:val="nothing"/>
      <w:lvlText w:val="§ 512.411 Quality measures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1">
    <w:nsid w:val="000006D8"/>
    <w:multiLevelType w:val="multilevel"/>
    <w:tmpl w:val="000006D8"/>
    <w:lvl w:ilvl="0">
      <w:start w:val="1"/>
      <w:numFmt w:val="decimal"/>
      <w:suff w:val="space"/>
      <w:lvlText w:val="(a) Required measur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2">
    <w:nsid w:val="000006D9"/>
    <w:multiLevelType w:val="multilevel"/>
    <w:tmpl w:val="000006D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3">
    <w:nsid w:val="000006DA"/>
    <w:multiLevelType w:val="multilevel"/>
    <w:tmpl w:val="000006DA"/>
    <w:lvl w:ilvl="0">
      <w:start w:val="1"/>
      <w:numFmt w:val="decimal"/>
      <w:suff w:val="space"/>
      <w:lvlText w:val="(b) Voluntary measu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4">
    <w:nsid w:val="000006DB"/>
    <w:multiLevelType w:val="multilevel"/>
    <w:tmpl w:val="000006D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5">
    <w:nsid w:val="000006DC"/>
    <w:multiLevelType w:val="multilevel"/>
    <w:tmpl w:val="000006D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6">
    <w:nsid w:val="000006DD"/>
    <w:multiLevelType w:val="multilevel"/>
    <w:tmpl w:val="000006D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7">
    <w:nsid w:val="000006DE"/>
    <w:multiLevelType w:val="multilevel"/>
    <w:tmpl w:val="000006D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8">
    <w:nsid w:val="000006DF"/>
    <w:multiLevelType w:val="multilevel"/>
    <w:tmpl w:val="000006DF"/>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9">
    <w:nsid w:val="000006E0"/>
    <w:multiLevelType w:val="multilevel"/>
    <w:tmpl w:val="000006E0"/>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0">
    <w:nsid w:val="000006E1"/>
    <w:multiLevelType w:val="multilevel"/>
    <w:tmpl w:val="000006E1"/>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1">
    <w:nsid w:val="000006E2"/>
    <w:multiLevelType w:val="multilevel"/>
    <w:tmpl w:val="000006E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2">
    <w:nsid w:val="000006E3"/>
    <w:multiLevelType w:val="multilevel"/>
    <w:tmpl w:val="000006E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3">
    <w:nsid w:val="000006E4"/>
    <w:multiLevelType w:val="multilevel"/>
    <w:tmpl w:val="000006E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4">
    <w:nsid w:val="000006E5"/>
    <w:multiLevelType w:val="multilevel"/>
    <w:tmpl w:val="000006E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5">
    <w:nsid w:val="000006E6"/>
    <w:multiLevelType w:val="multilevel"/>
    <w:tmpl w:val="000006E6"/>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6">
    <w:nsid w:val="000006E7"/>
    <w:multiLevelType w:val="multilevel"/>
    <w:tmpl w:val="000006E7"/>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7">
    <w:nsid w:val="000006E8"/>
    <w:multiLevelType w:val="multilevel"/>
    <w:tmpl w:val="000006E8"/>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8">
    <w:nsid w:val="000006E9"/>
    <w:multiLevelType w:val="multilevel"/>
    <w:tmpl w:val="000006E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9">
    <w:nsid w:val="000006EA"/>
    <w:multiLevelType w:val="multilevel"/>
    <w:tmpl w:val="000006EA"/>
    <w:lvl w:ilvl="0">
      <w:start w:val="1"/>
      <w:numFmt w:val="decimal"/>
      <w:suff w:val="space"/>
      <w:lvlText w:val="(A) Year 1."/>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0">
    <w:nsid w:val="000006EB"/>
    <w:multiLevelType w:val="multilevel"/>
    <w:tmpl w:val="000006EB"/>
    <w:lvl w:ilvl="0">
      <w:start w:val="1"/>
      <w:numFmt w:val="decimal"/>
      <w:suff w:val="space"/>
      <w:lvlText w:val="(B) Year 2."/>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1">
    <w:nsid w:val="000006EC"/>
    <w:multiLevelType w:val="multilevel"/>
    <w:tmpl w:val="000006EC"/>
    <w:lvl w:ilvl="0">
      <w:start w:val="1"/>
      <w:numFmt w:val="decimal"/>
      <w:suff w:val="space"/>
      <w:lvlText w:val="(C) Year 3."/>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2">
    <w:nsid w:val="000006ED"/>
    <w:multiLevelType w:val="multilevel"/>
    <w:tmpl w:val="000006ED"/>
    <w:lvl w:ilvl="0">
      <w:start w:val="1"/>
      <w:numFmt w:val="decimal"/>
      <w:suff w:val="space"/>
      <w:lvlText w:val="(D) Year 4."/>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3">
    <w:nsid w:val="000006EE"/>
    <w:multiLevelType w:val="multilevel"/>
    <w:tmpl w:val="000006EE"/>
    <w:lvl w:ilvl="0">
      <w:start w:val="1"/>
      <w:numFmt w:val="decimal"/>
      <w:suff w:val="space"/>
      <w:lvlText w:val="(E) Year 5."/>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4">
    <w:nsid w:val="000006EF"/>
    <w:multiLevelType w:val="multilevel"/>
    <w:tmpl w:val="000006EF"/>
    <w:lvl w:ilvl="0">
      <w:start w:val="1"/>
      <w:numFmt w:val="decimal"/>
      <w:suff w:val="nothing"/>
      <w:lvlText w:val="§ 512.412 Quality measures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5">
    <w:nsid w:val="000006F0"/>
    <w:multiLevelType w:val="multilevel"/>
    <w:tmpl w:val="000006F0"/>
    <w:lvl w:ilvl="0">
      <w:start w:val="1"/>
      <w:numFmt w:val="decimal"/>
      <w:suff w:val="space"/>
      <w:lvlText w:val="(a) Required measur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6">
    <w:nsid w:val="000006F1"/>
    <w:multiLevelType w:val="multilevel"/>
    <w:tmpl w:val="000006F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7">
    <w:nsid w:val="000006F2"/>
    <w:multiLevelType w:val="multilevel"/>
    <w:tmpl w:val="000006F2"/>
    <w:lvl w:ilvl="0">
      <w:start w:val="1"/>
      <w:numFmt w:val="decimal"/>
      <w:lvlText w:val="(b)"/>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807"/>
  </w:num>
  <w:num w:numId="809">
    <w:abstractNumId w:val="808"/>
  </w:num>
  <w:num w:numId="810">
    <w:abstractNumId w:val="809"/>
  </w:num>
  <w:num w:numId="811">
    <w:abstractNumId w:val="810"/>
  </w:num>
  <w:num w:numId="812">
    <w:abstractNumId w:val="811"/>
  </w:num>
  <w:num w:numId="813">
    <w:abstractNumId w:val="812"/>
  </w:num>
  <w:num w:numId="814">
    <w:abstractNumId w:val="813"/>
  </w:num>
  <w:num w:numId="815">
    <w:abstractNumId w:val="814"/>
  </w:num>
  <w:num w:numId="816">
    <w:abstractNumId w:val="815"/>
  </w:num>
  <w:num w:numId="817">
    <w:abstractNumId w:val="816"/>
  </w:num>
  <w:num w:numId="818">
    <w:abstractNumId w:val="817"/>
  </w:num>
  <w:num w:numId="819">
    <w:abstractNumId w:val="818"/>
  </w:num>
  <w:num w:numId="820">
    <w:abstractNumId w:val="819"/>
  </w:num>
  <w:num w:numId="821">
    <w:abstractNumId w:val="820"/>
  </w:num>
  <w:num w:numId="822">
    <w:abstractNumId w:val="821"/>
  </w:num>
  <w:num w:numId="823">
    <w:abstractNumId w:val="822"/>
  </w:num>
  <w:num w:numId="824">
    <w:abstractNumId w:val="823"/>
  </w:num>
  <w:num w:numId="825">
    <w:abstractNumId w:val="824"/>
  </w:num>
  <w:num w:numId="826">
    <w:abstractNumId w:val="825"/>
  </w:num>
  <w:num w:numId="827">
    <w:abstractNumId w:val="826"/>
  </w:num>
  <w:num w:numId="828">
    <w:abstractNumId w:val="827"/>
  </w:num>
  <w:num w:numId="829">
    <w:abstractNumId w:val="828"/>
  </w:num>
  <w:num w:numId="830">
    <w:abstractNumId w:val="829"/>
  </w:num>
  <w:num w:numId="831">
    <w:abstractNumId w:val="830"/>
  </w:num>
  <w:num w:numId="832">
    <w:abstractNumId w:val="831"/>
  </w:num>
  <w:num w:numId="833">
    <w:abstractNumId w:val="832"/>
  </w:num>
  <w:num w:numId="834">
    <w:abstractNumId w:val="833"/>
  </w:num>
  <w:num w:numId="835">
    <w:abstractNumId w:val="834"/>
  </w:num>
  <w:num w:numId="836">
    <w:abstractNumId w:val="835"/>
  </w:num>
  <w:num w:numId="837">
    <w:abstractNumId w:val="836"/>
  </w:num>
  <w:num w:numId="838">
    <w:abstractNumId w:val="837"/>
  </w:num>
  <w:num w:numId="839">
    <w:abstractNumId w:val="838"/>
  </w:num>
  <w:num w:numId="840">
    <w:abstractNumId w:val="839"/>
  </w:num>
  <w:num w:numId="841">
    <w:abstractNumId w:val="840"/>
  </w:num>
  <w:num w:numId="842">
    <w:abstractNumId w:val="841"/>
  </w:num>
  <w:num w:numId="843">
    <w:abstractNumId w:val="842"/>
  </w:num>
  <w:num w:numId="844">
    <w:abstractNumId w:val="843"/>
  </w:num>
  <w:num w:numId="845">
    <w:abstractNumId w:val="844"/>
  </w:num>
  <w:num w:numId="846">
    <w:abstractNumId w:val="845"/>
  </w:num>
  <w:num w:numId="847">
    <w:abstractNumId w:val="846"/>
  </w:num>
  <w:num w:numId="848">
    <w:abstractNumId w:val="847"/>
  </w:num>
  <w:num w:numId="849">
    <w:abstractNumId w:val="848"/>
  </w:num>
  <w:num w:numId="850">
    <w:abstractNumId w:val="849"/>
  </w:num>
  <w:num w:numId="851">
    <w:abstractNumId w:val="850"/>
  </w:num>
  <w:num w:numId="852">
    <w:abstractNumId w:val="851"/>
  </w:num>
  <w:num w:numId="853">
    <w:abstractNumId w:val="852"/>
  </w:num>
  <w:num w:numId="854">
    <w:abstractNumId w:val="853"/>
  </w:num>
  <w:num w:numId="855">
    <w:abstractNumId w:val="854"/>
  </w:num>
  <w:num w:numId="856">
    <w:abstractNumId w:val="855"/>
  </w:num>
  <w:num w:numId="857">
    <w:abstractNumId w:val="856"/>
  </w:num>
  <w:num w:numId="858">
    <w:abstractNumId w:val="857"/>
  </w:num>
  <w:num w:numId="859">
    <w:abstractNumId w:val="858"/>
  </w:num>
  <w:num w:numId="860">
    <w:abstractNumId w:val="859"/>
  </w:num>
  <w:num w:numId="861">
    <w:abstractNumId w:val="860"/>
  </w:num>
  <w:num w:numId="862">
    <w:abstractNumId w:val="861"/>
  </w:num>
  <w:num w:numId="863">
    <w:abstractNumId w:val="862"/>
  </w:num>
  <w:num w:numId="864">
    <w:abstractNumId w:val="863"/>
  </w:num>
  <w:num w:numId="865">
    <w:abstractNumId w:val="864"/>
  </w:num>
  <w:num w:numId="866">
    <w:abstractNumId w:val="865"/>
  </w:num>
  <w:num w:numId="867">
    <w:abstractNumId w:val="866"/>
  </w:num>
  <w:num w:numId="868">
    <w:abstractNumId w:val="867"/>
  </w:num>
  <w:num w:numId="869">
    <w:abstractNumId w:val="868"/>
  </w:num>
  <w:num w:numId="870">
    <w:abstractNumId w:val="869"/>
  </w:num>
  <w:num w:numId="871">
    <w:abstractNumId w:val="870"/>
  </w:num>
  <w:num w:numId="872">
    <w:abstractNumId w:val="871"/>
  </w:num>
  <w:num w:numId="873">
    <w:abstractNumId w:val="872"/>
  </w:num>
  <w:num w:numId="874">
    <w:abstractNumId w:val="873"/>
  </w:num>
  <w:num w:numId="875">
    <w:abstractNumId w:val="874"/>
  </w:num>
  <w:num w:numId="876">
    <w:abstractNumId w:val="875"/>
  </w:num>
  <w:num w:numId="877">
    <w:abstractNumId w:val="876"/>
  </w:num>
  <w:num w:numId="878">
    <w:abstractNumId w:val="877"/>
  </w:num>
  <w:num w:numId="879">
    <w:abstractNumId w:val="878"/>
  </w:num>
  <w:num w:numId="880">
    <w:abstractNumId w:val="879"/>
  </w:num>
  <w:num w:numId="881">
    <w:abstractNumId w:val="880"/>
  </w:num>
  <w:num w:numId="882">
    <w:abstractNumId w:val="881"/>
  </w:num>
  <w:num w:numId="883">
    <w:abstractNumId w:val="882"/>
  </w:num>
  <w:num w:numId="884">
    <w:abstractNumId w:val="883"/>
  </w:num>
  <w:num w:numId="885">
    <w:abstractNumId w:val="884"/>
  </w:num>
  <w:num w:numId="886">
    <w:abstractNumId w:val="885"/>
  </w:num>
  <w:num w:numId="887">
    <w:abstractNumId w:val="886"/>
  </w:num>
  <w:num w:numId="888">
    <w:abstractNumId w:val="887"/>
  </w:num>
  <w:num w:numId="889">
    <w:abstractNumId w:val="888"/>
  </w:num>
  <w:num w:numId="890">
    <w:abstractNumId w:val="889"/>
  </w:num>
  <w:num w:numId="891">
    <w:abstractNumId w:val="890"/>
  </w:num>
  <w:num w:numId="892">
    <w:abstractNumId w:val="891"/>
  </w:num>
  <w:num w:numId="893">
    <w:abstractNumId w:val="892"/>
  </w:num>
  <w:num w:numId="894">
    <w:abstractNumId w:val="893"/>
  </w:num>
  <w:num w:numId="895">
    <w:abstractNumId w:val="894"/>
  </w:num>
  <w:num w:numId="896">
    <w:abstractNumId w:val="895"/>
  </w:num>
  <w:num w:numId="897">
    <w:abstractNumId w:val="896"/>
  </w:num>
  <w:num w:numId="898">
    <w:abstractNumId w:val="897"/>
  </w:num>
  <w:num w:numId="899">
    <w:abstractNumId w:val="898"/>
  </w:num>
  <w:num w:numId="900">
    <w:abstractNumId w:val="899"/>
  </w:num>
  <w:num w:numId="901">
    <w:abstractNumId w:val="900"/>
  </w:num>
  <w:num w:numId="902">
    <w:abstractNumId w:val="901"/>
  </w:num>
  <w:num w:numId="903">
    <w:abstractNumId w:val="902"/>
  </w:num>
  <w:num w:numId="904">
    <w:abstractNumId w:val="903"/>
  </w:num>
  <w:num w:numId="905">
    <w:abstractNumId w:val="904"/>
  </w:num>
  <w:num w:numId="906">
    <w:abstractNumId w:val="905"/>
  </w:num>
  <w:num w:numId="907">
    <w:abstractNumId w:val="906"/>
  </w:num>
  <w:num w:numId="908">
    <w:abstractNumId w:val="907"/>
  </w:num>
  <w:num w:numId="909">
    <w:abstractNumId w:val="908"/>
  </w:num>
  <w:num w:numId="910">
    <w:abstractNumId w:val="909"/>
  </w:num>
  <w:num w:numId="911">
    <w:abstractNumId w:val="910"/>
  </w:num>
  <w:num w:numId="912">
    <w:abstractNumId w:val="911"/>
  </w:num>
  <w:num w:numId="913">
    <w:abstractNumId w:val="912"/>
  </w:num>
  <w:num w:numId="914">
    <w:abstractNumId w:val="913"/>
  </w:num>
  <w:num w:numId="915">
    <w:abstractNumId w:val="914"/>
  </w:num>
  <w:num w:numId="916">
    <w:abstractNumId w:val="915"/>
  </w:num>
  <w:num w:numId="917">
    <w:abstractNumId w:val="916"/>
  </w:num>
  <w:num w:numId="918">
    <w:abstractNumId w:val="917"/>
  </w:num>
  <w:num w:numId="919">
    <w:abstractNumId w:val="918"/>
  </w:num>
  <w:num w:numId="920">
    <w:abstractNumId w:val="919"/>
  </w:num>
  <w:num w:numId="921">
    <w:abstractNumId w:val="920"/>
  </w:num>
  <w:num w:numId="922">
    <w:abstractNumId w:val="921"/>
  </w:num>
  <w:num w:numId="923">
    <w:abstractNumId w:val="922"/>
  </w:num>
  <w:num w:numId="924">
    <w:abstractNumId w:val="923"/>
  </w:num>
  <w:num w:numId="925">
    <w:abstractNumId w:val="924"/>
  </w:num>
  <w:num w:numId="926">
    <w:abstractNumId w:val="925"/>
  </w:num>
  <w:num w:numId="927">
    <w:abstractNumId w:val="926"/>
  </w:num>
  <w:num w:numId="928">
    <w:abstractNumId w:val="927"/>
  </w:num>
  <w:num w:numId="929">
    <w:abstractNumId w:val="928"/>
  </w:num>
  <w:num w:numId="930">
    <w:abstractNumId w:val="929"/>
  </w:num>
  <w:num w:numId="931">
    <w:abstractNumId w:val="930"/>
  </w:num>
  <w:num w:numId="932">
    <w:abstractNumId w:val="931"/>
  </w:num>
  <w:num w:numId="933">
    <w:abstractNumId w:val="932"/>
  </w:num>
  <w:num w:numId="934">
    <w:abstractNumId w:val="933"/>
  </w:num>
  <w:num w:numId="935">
    <w:abstractNumId w:val="934"/>
  </w:num>
  <w:num w:numId="936">
    <w:abstractNumId w:val="935"/>
  </w:num>
  <w:num w:numId="937">
    <w:abstractNumId w:val="936"/>
  </w:num>
  <w:num w:numId="938">
    <w:abstractNumId w:val="937"/>
  </w:num>
  <w:num w:numId="939">
    <w:abstractNumId w:val="938"/>
  </w:num>
  <w:num w:numId="940">
    <w:abstractNumId w:val="939"/>
  </w:num>
  <w:num w:numId="941">
    <w:abstractNumId w:val="940"/>
  </w:num>
  <w:num w:numId="942">
    <w:abstractNumId w:val="941"/>
  </w:num>
  <w:num w:numId="943">
    <w:abstractNumId w:val="942"/>
  </w:num>
  <w:num w:numId="944">
    <w:abstractNumId w:val="943"/>
  </w:num>
  <w:num w:numId="945">
    <w:abstractNumId w:val="944"/>
  </w:num>
  <w:num w:numId="946">
    <w:abstractNumId w:val="945"/>
  </w:num>
  <w:num w:numId="947">
    <w:abstractNumId w:val="946"/>
  </w:num>
  <w:num w:numId="948">
    <w:abstractNumId w:val="947"/>
  </w:num>
  <w:num w:numId="949">
    <w:abstractNumId w:val="948"/>
  </w:num>
  <w:num w:numId="950">
    <w:abstractNumId w:val="949"/>
  </w:num>
  <w:num w:numId="951">
    <w:abstractNumId w:val="950"/>
  </w:num>
  <w:num w:numId="952">
    <w:abstractNumId w:val="951"/>
  </w:num>
  <w:num w:numId="953">
    <w:abstractNumId w:val="952"/>
  </w:num>
  <w:num w:numId="954">
    <w:abstractNumId w:val="953"/>
  </w:num>
  <w:num w:numId="955">
    <w:abstractNumId w:val="954"/>
  </w:num>
  <w:num w:numId="956">
    <w:abstractNumId w:val="955"/>
  </w:num>
  <w:num w:numId="957">
    <w:abstractNumId w:val="956"/>
  </w:num>
  <w:num w:numId="958">
    <w:abstractNumId w:val="957"/>
  </w:num>
  <w:num w:numId="959">
    <w:abstractNumId w:val="958"/>
  </w:num>
  <w:num w:numId="960">
    <w:abstractNumId w:val="959"/>
  </w:num>
  <w:num w:numId="961">
    <w:abstractNumId w:val="960"/>
  </w:num>
  <w:num w:numId="962">
    <w:abstractNumId w:val="961"/>
  </w:num>
  <w:num w:numId="963">
    <w:abstractNumId w:val="962"/>
  </w:num>
  <w:num w:numId="964">
    <w:abstractNumId w:val="963"/>
  </w:num>
  <w:num w:numId="965">
    <w:abstractNumId w:val="964"/>
  </w:num>
  <w:num w:numId="966">
    <w:abstractNumId w:val="965"/>
  </w:num>
  <w:num w:numId="967">
    <w:abstractNumId w:val="966"/>
  </w:num>
  <w:num w:numId="968">
    <w:abstractNumId w:val="967"/>
  </w:num>
  <w:num w:numId="969">
    <w:abstractNumId w:val="968"/>
  </w:num>
  <w:num w:numId="970">
    <w:abstractNumId w:val="969"/>
  </w:num>
  <w:num w:numId="971">
    <w:abstractNumId w:val="970"/>
  </w:num>
  <w:num w:numId="972">
    <w:abstractNumId w:val="971"/>
  </w:num>
  <w:num w:numId="973">
    <w:abstractNumId w:val="972"/>
  </w:num>
  <w:num w:numId="974">
    <w:abstractNumId w:val="973"/>
  </w:num>
  <w:num w:numId="975">
    <w:abstractNumId w:val="974"/>
  </w:num>
  <w:num w:numId="976">
    <w:abstractNumId w:val="975"/>
  </w:num>
  <w:num w:numId="977">
    <w:abstractNumId w:val="976"/>
  </w:num>
  <w:num w:numId="978">
    <w:abstractNumId w:val="977"/>
  </w:num>
  <w:num w:numId="979">
    <w:abstractNumId w:val="978"/>
  </w:num>
  <w:num w:numId="980">
    <w:abstractNumId w:val="979"/>
  </w:num>
  <w:num w:numId="981">
    <w:abstractNumId w:val="980"/>
  </w:num>
  <w:num w:numId="982">
    <w:abstractNumId w:val="981"/>
  </w:num>
  <w:num w:numId="983">
    <w:abstractNumId w:val="982"/>
  </w:num>
  <w:num w:numId="984">
    <w:abstractNumId w:val="983"/>
  </w:num>
  <w:num w:numId="985">
    <w:abstractNumId w:val="984"/>
  </w:num>
  <w:num w:numId="986">
    <w:abstractNumId w:val="985"/>
  </w:num>
  <w:num w:numId="987">
    <w:abstractNumId w:val="986"/>
  </w:num>
  <w:num w:numId="988">
    <w:abstractNumId w:val="987"/>
  </w:num>
  <w:num w:numId="989">
    <w:abstractNumId w:val="988"/>
  </w:num>
  <w:num w:numId="990">
    <w:abstractNumId w:val="989"/>
  </w:num>
  <w:num w:numId="991">
    <w:abstractNumId w:val="990"/>
  </w:num>
  <w:num w:numId="992">
    <w:abstractNumId w:val="991"/>
  </w:num>
  <w:num w:numId="993">
    <w:abstractNumId w:val="992"/>
  </w:num>
  <w:num w:numId="994">
    <w:abstractNumId w:val="993"/>
  </w:num>
  <w:num w:numId="995">
    <w:abstractNumId w:val="994"/>
  </w:num>
  <w:num w:numId="996">
    <w:abstractNumId w:val="995"/>
  </w:num>
  <w:num w:numId="997">
    <w:abstractNumId w:val="996"/>
  </w:num>
  <w:num w:numId="998">
    <w:abstractNumId w:val="997"/>
  </w:num>
  <w:num w:numId="999">
    <w:abstractNumId w:val="998"/>
  </w:num>
  <w:num w:numId="1000">
    <w:abstractNumId w:val="999"/>
  </w:num>
  <w:num w:numId="1001">
    <w:abstractNumId w:val="1000"/>
  </w:num>
  <w:num w:numId="1002">
    <w:abstractNumId w:val="1001"/>
  </w:num>
  <w:num w:numId="1003">
    <w:abstractNumId w:val="1002"/>
  </w:num>
  <w:num w:numId="1004">
    <w:abstractNumId w:val="1003"/>
  </w:num>
  <w:num w:numId="1005">
    <w:abstractNumId w:val="1004"/>
  </w:num>
  <w:num w:numId="1006">
    <w:abstractNumId w:val="1005"/>
  </w:num>
  <w:num w:numId="1007">
    <w:abstractNumId w:val="1006"/>
  </w:num>
  <w:num w:numId="1008">
    <w:abstractNumId w:val="1007"/>
  </w:num>
  <w:num w:numId="1009">
    <w:abstractNumId w:val="1008"/>
  </w:num>
  <w:num w:numId="1010">
    <w:abstractNumId w:val="1009"/>
  </w:num>
  <w:num w:numId="1011">
    <w:abstractNumId w:val="1010"/>
  </w:num>
  <w:num w:numId="1012">
    <w:abstractNumId w:val="1011"/>
  </w:num>
  <w:num w:numId="1013">
    <w:abstractNumId w:val="1012"/>
  </w:num>
  <w:num w:numId="1014">
    <w:abstractNumId w:val="1013"/>
  </w:num>
  <w:num w:numId="1015">
    <w:abstractNumId w:val="1014"/>
  </w:num>
  <w:num w:numId="1016">
    <w:abstractNumId w:val="1015"/>
  </w:num>
  <w:num w:numId="1017">
    <w:abstractNumId w:val="1016"/>
  </w:num>
  <w:num w:numId="1018">
    <w:abstractNumId w:val="1017"/>
  </w:num>
  <w:num w:numId="1019">
    <w:abstractNumId w:val="1018"/>
  </w:num>
  <w:num w:numId="1020">
    <w:abstractNumId w:val="1019"/>
  </w:num>
  <w:num w:numId="1021">
    <w:abstractNumId w:val="1020"/>
  </w:num>
  <w:num w:numId="1022">
    <w:abstractNumId w:val="1021"/>
  </w:num>
  <w:num w:numId="1023">
    <w:abstractNumId w:val="1022"/>
  </w:num>
  <w:num w:numId="1024">
    <w:abstractNumId w:val="1023"/>
  </w:num>
  <w:num w:numId="1025">
    <w:abstractNumId w:val="1024"/>
  </w:num>
  <w:num w:numId="1026">
    <w:abstractNumId w:val="1025"/>
  </w:num>
  <w:num w:numId="1027">
    <w:abstractNumId w:val="1026"/>
  </w:num>
  <w:num w:numId="1028">
    <w:abstractNumId w:val="1027"/>
  </w:num>
  <w:num w:numId="1029">
    <w:abstractNumId w:val="1028"/>
  </w:num>
  <w:num w:numId="1030">
    <w:abstractNumId w:val="1029"/>
  </w:num>
  <w:num w:numId="1031">
    <w:abstractNumId w:val="1030"/>
  </w:num>
  <w:num w:numId="1032">
    <w:abstractNumId w:val="1031"/>
  </w:num>
  <w:num w:numId="1033">
    <w:abstractNumId w:val="1032"/>
  </w:num>
  <w:num w:numId="1034">
    <w:abstractNumId w:val="1033"/>
  </w:num>
  <w:num w:numId="1035">
    <w:abstractNumId w:val="1034"/>
  </w:num>
  <w:num w:numId="1036">
    <w:abstractNumId w:val="1035"/>
  </w:num>
  <w:num w:numId="1037">
    <w:abstractNumId w:val="1036"/>
  </w:num>
  <w:num w:numId="1038">
    <w:abstractNumId w:val="1037"/>
  </w:num>
  <w:num w:numId="1039">
    <w:abstractNumId w:val="1038"/>
  </w:num>
  <w:num w:numId="1040">
    <w:abstractNumId w:val="1039"/>
  </w:num>
  <w:num w:numId="1041">
    <w:abstractNumId w:val="1040"/>
  </w:num>
  <w:num w:numId="1042">
    <w:abstractNumId w:val="1041"/>
  </w:num>
  <w:num w:numId="1043">
    <w:abstractNumId w:val="1042"/>
  </w:num>
  <w:num w:numId="1044">
    <w:abstractNumId w:val="1043"/>
  </w:num>
  <w:num w:numId="1045">
    <w:abstractNumId w:val="1044"/>
  </w:num>
  <w:num w:numId="1046">
    <w:abstractNumId w:val="1045"/>
  </w:num>
  <w:num w:numId="1047">
    <w:abstractNumId w:val="1046"/>
  </w:num>
  <w:num w:numId="1048">
    <w:abstractNumId w:val="1047"/>
  </w:num>
  <w:num w:numId="1049">
    <w:abstractNumId w:val="1048"/>
  </w:num>
  <w:num w:numId="1050">
    <w:abstractNumId w:val="1049"/>
  </w:num>
  <w:num w:numId="1051">
    <w:abstractNumId w:val="1050"/>
  </w:num>
  <w:num w:numId="1052">
    <w:abstractNumId w:val="1051"/>
  </w:num>
  <w:num w:numId="1053">
    <w:abstractNumId w:val="1052"/>
  </w:num>
  <w:num w:numId="1054">
    <w:abstractNumId w:val="1053"/>
  </w:num>
  <w:num w:numId="1055">
    <w:abstractNumId w:val="1054"/>
  </w:num>
  <w:num w:numId="1056">
    <w:abstractNumId w:val="1055"/>
  </w:num>
  <w:num w:numId="1057">
    <w:abstractNumId w:val="1056"/>
  </w:num>
  <w:num w:numId="1058">
    <w:abstractNumId w:val="1057"/>
  </w:num>
  <w:num w:numId="1059">
    <w:abstractNumId w:val="1058"/>
  </w:num>
  <w:num w:numId="1060">
    <w:abstractNumId w:val="1059"/>
  </w:num>
  <w:num w:numId="1061">
    <w:abstractNumId w:val="1060"/>
  </w:num>
  <w:num w:numId="1062">
    <w:abstractNumId w:val="1061"/>
  </w:num>
  <w:num w:numId="1063">
    <w:abstractNumId w:val="1062"/>
  </w:num>
  <w:num w:numId="1064">
    <w:abstractNumId w:val="1063"/>
  </w:num>
  <w:num w:numId="1065">
    <w:abstractNumId w:val="1064"/>
  </w:num>
  <w:num w:numId="1066">
    <w:abstractNumId w:val="1065"/>
  </w:num>
  <w:num w:numId="1067">
    <w:abstractNumId w:val="1066"/>
  </w:num>
  <w:num w:numId="1068">
    <w:abstractNumId w:val="1067"/>
  </w:num>
  <w:num w:numId="1069">
    <w:abstractNumId w:val="1068"/>
  </w:num>
  <w:num w:numId="1070">
    <w:abstractNumId w:val="1069"/>
  </w:num>
  <w:num w:numId="1071">
    <w:abstractNumId w:val="1070"/>
  </w:num>
  <w:num w:numId="1072">
    <w:abstractNumId w:val="1071"/>
  </w:num>
  <w:num w:numId="1073">
    <w:abstractNumId w:val="1072"/>
  </w:num>
  <w:num w:numId="1074">
    <w:abstractNumId w:val="1073"/>
  </w:num>
  <w:num w:numId="1075">
    <w:abstractNumId w:val="1074"/>
  </w:num>
  <w:num w:numId="1076">
    <w:abstractNumId w:val="1075"/>
  </w:num>
  <w:num w:numId="1077">
    <w:abstractNumId w:val="1076"/>
  </w:num>
  <w:num w:numId="1078">
    <w:abstractNumId w:val="1077"/>
  </w:num>
  <w:num w:numId="1079">
    <w:abstractNumId w:val="1078"/>
  </w:num>
  <w:num w:numId="1080">
    <w:abstractNumId w:val="1079"/>
  </w:num>
  <w:num w:numId="1081">
    <w:abstractNumId w:val="1080"/>
  </w:num>
  <w:num w:numId="1082">
    <w:abstractNumId w:val="1081"/>
  </w:num>
  <w:num w:numId="1083">
    <w:abstractNumId w:val="1082"/>
  </w:num>
  <w:num w:numId="1084">
    <w:abstractNumId w:val="1083"/>
  </w:num>
  <w:num w:numId="1085">
    <w:abstractNumId w:val="1084"/>
  </w:num>
  <w:num w:numId="1086">
    <w:abstractNumId w:val="1085"/>
  </w:num>
  <w:num w:numId="1087">
    <w:abstractNumId w:val="1086"/>
  </w:num>
  <w:num w:numId="1088">
    <w:abstractNumId w:val="1087"/>
  </w:num>
  <w:num w:numId="1089">
    <w:abstractNumId w:val="1088"/>
  </w:num>
  <w:num w:numId="1090">
    <w:abstractNumId w:val="1089"/>
  </w:num>
  <w:num w:numId="1091">
    <w:abstractNumId w:val="1090"/>
  </w:num>
  <w:num w:numId="1092">
    <w:abstractNumId w:val="1091"/>
  </w:num>
  <w:num w:numId="1093">
    <w:abstractNumId w:val="1092"/>
  </w:num>
  <w:num w:numId="1094">
    <w:abstractNumId w:val="1093"/>
  </w:num>
  <w:num w:numId="1095">
    <w:abstractNumId w:val="1094"/>
  </w:num>
  <w:num w:numId="1096">
    <w:abstractNumId w:val="1095"/>
  </w:num>
  <w:num w:numId="1097">
    <w:abstractNumId w:val="1096"/>
  </w:num>
  <w:num w:numId="1098">
    <w:abstractNumId w:val="1097"/>
  </w:num>
  <w:num w:numId="1099">
    <w:abstractNumId w:val="1098"/>
  </w:num>
  <w:num w:numId="1100">
    <w:abstractNumId w:val="1099"/>
  </w:num>
  <w:num w:numId="1101">
    <w:abstractNumId w:val="1100"/>
  </w:num>
  <w:num w:numId="1102">
    <w:abstractNumId w:val="1101"/>
  </w:num>
  <w:num w:numId="1103">
    <w:abstractNumId w:val="1102"/>
  </w:num>
  <w:num w:numId="1104">
    <w:abstractNumId w:val="1103"/>
  </w:num>
  <w:num w:numId="1105">
    <w:abstractNumId w:val="1104"/>
  </w:num>
  <w:num w:numId="1106">
    <w:abstractNumId w:val="1105"/>
  </w:num>
  <w:num w:numId="1107">
    <w:abstractNumId w:val="1106"/>
  </w:num>
  <w:num w:numId="1108">
    <w:abstractNumId w:val="1107"/>
  </w:num>
  <w:num w:numId="1109">
    <w:abstractNumId w:val="1108"/>
  </w:num>
  <w:num w:numId="1110">
    <w:abstractNumId w:val="1109"/>
  </w:num>
  <w:num w:numId="1111">
    <w:abstractNumId w:val="1110"/>
  </w:num>
  <w:num w:numId="1112">
    <w:abstractNumId w:val="1111"/>
  </w:num>
  <w:num w:numId="1113">
    <w:abstractNumId w:val="1112"/>
  </w:num>
  <w:num w:numId="1114">
    <w:abstractNumId w:val="1113"/>
  </w:num>
  <w:num w:numId="1115">
    <w:abstractNumId w:val="1114"/>
  </w:num>
  <w:num w:numId="1116">
    <w:abstractNumId w:val="1115"/>
  </w:num>
  <w:num w:numId="1117">
    <w:abstractNumId w:val="1116"/>
  </w:num>
  <w:num w:numId="1118">
    <w:abstractNumId w:val="1117"/>
  </w:num>
  <w:num w:numId="1119">
    <w:abstractNumId w:val="1118"/>
  </w:num>
  <w:num w:numId="1120">
    <w:abstractNumId w:val="1119"/>
  </w:num>
  <w:num w:numId="1121">
    <w:abstractNumId w:val="1120"/>
  </w:num>
  <w:num w:numId="1122">
    <w:abstractNumId w:val="1121"/>
  </w:num>
  <w:num w:numId="1123">
    <w:abstractNumId w:val="1122"/>
  </w:num>
  <w:num w:numId="1124">
    <w:abstractNumId w:val="1123"/>
  </w:num>
  <w:num w:numId="1125">
    <w:abstractNumId w:val="1124"/>
  </w:num>
  <w:num w:numId="1126">
    <w:abstractNumId w:val="1125"/>
  </w:num>
  <w:num w:numId="1127">
    <w:abstractNumId w:val="1126"/>
  </w:num>
  <w:num w:numId="1128">
    <w:abstractNumId w:val="1127"/>
  </w:num>
  <w:num w:numId="1129">
    <w:abstractNumId w:val="1128"/>
  </w:num>
  <w:num w:numId="1130">
    <w:abstractNumId w:val="1129"/>
  </w:num>
  <w:num w:numId="1131">
    <w:abstractNumId w:val="1130"/>
  </w:num>
  <w:num w:numId="1132">
    <w:abstractNumId w:val="1131"/>
  </w:num>
  <w:num w:numId="1133">
    <w:abstractNumId w:val="1132"/>
  </w:num>
  <w:num w:numId="1134">
    <w:abstractNumId w:val="1133"/>
  </w:num>
  <w:num w:numId="1135">
    <w:abstractNumId w:val="1134"/>
  </w:num>
  <w:num w:numId="1136">
    <w:abstractNumId w:val="1135"/>
  </w:num>
  <w:num w:numId="1137">
    <w:abstractNumId w:val="1136"/>
  </w:num>
  <w:num w:numId="1138">
    <w:abstractNumId w:val="1137"/>
  </w:num>
  <w:num w:numId="1139">
    <w:abstractNumId w:val="1138"/>
  </w:num>
  <w:num w:numId="1140">
    <w:abstractNumId w:val="1139"/>
  </w:num>
  <w:num w:numId="1141">
    <w:abstractNumId w:val="1140"/>
  </w:num>
  <w:num w:numId="1142">
    <w:abstractNumId w:val="1141"/>
  </w:num>
  <w:num w:numId="1143">
    <w:abstractNumId w:val="1142"/>
  </w:num>
  <w:num w:numId="1144">
    <w:abstractNumId w:val="1143"/>
  </w:num>
  <w:num w:numId="1145">
    <w:abstractNumId w:val="1144"/>
  </w:num>
  <w:num w:numId="1146">
    <w:abstractNumId w:val="1145"/>
  </w:num>
  <w:num w:numId="1147">
    <w:abstractNumId w:val="1146"/>
  </w:num>
  <w:num w:numId="1148">
    <w:abstractNumId w:val="1147"/>
  </w:num>
  <w:num w:numId="1149">
    <w:abstractNumId w:val="1148"/>
  </w:num>
  <w:num w:numId="1150">
    <w:abstractNumId w:val="1149"/>
  </w:num>
  <w:num w:numId="1151">
    <w:abstractNumId w:val="1150"/>
  </w:num>
  <w:num w:numId="1152">
    <w:abstractNumId w:val="1151"/>
  </w:num>
  <w:num w:numId="1153">
    <w:abstractNumId w:val="1152"/>
  </w:num>
  <w:num w:numId="1154">
    <w:abstractNumId w:val="1153"/>
  </w:num>
  <w:num w:numId="1155">
    <w:abstractNumId w:val="1154"/>
  </w:num>
  <w:num w:numId="1156">
    <w:abstractNumId w:val="1155"/>
  </w:num>
  <w:num w:numId="1157">
    <w:abstractNumId w:val="1156"/>
  </w:num>
  <w:num w:numId="1158">
    <w:abstractNumId w:val="1157"/>
  </w:num>
  <w:num w:numId="1159">
    <w:abstractNumId w:val="1158"/>
  </w:num>
  <w:num w:numId="1160">
    <w:abstractNumId w:val="1159"/>
  </w:num>
  <w:num w:numId="1161">
    <w:abstractNumId w:val="1160"/>
  </w:num>
  <w:num w:numId="1162">
    <w:abstractNumId w:val="1161"/>
  </w:num>
  <w:num w:numId="1163">
    <w:abstractNumId w:val="1162"/>
  </w:num>
  <w:num w:numId="1164">
    <w:abstractNumId w:val="1163"/>
  </w:num>
  <w:num w:numId="1165">
    <w:abstractNumId w:val="1164"/>
  </w:num>
  <w:num w:numId="1166">
    <w:abstractNumId w:val="1165"/>
  </w:num>
  <w:num w:numId="1167">
    <w:abstractNumId w:val="1166"/>
  </w:num>
  <w:num w:numId="1168">
    <w:abstractNumId w:val="1167"/>
  </w:num>
  <w:num w:numId="1169">
    <w:abstractNumId w:val="1168"/>
  </w:num>
  <w:num w:numId="1170">
    <w:abstractNumId w:val="1169"/>
  </w:num>
  <w:num w:numId="1171">
    <w:abstractNumId w:val="1170"/>
  </w:num>
  <w:num w:numId="1172">
    <w:abstractNumId w:val="1171"/>
  </w:num>
  <w:num w:numId="1173">
    <w:abstractNumId w:val="1172"/>
  </w:num>
  <w:num w:numId="1174">
    <w:abstractNumId w:val="1173"/>
  </w:num>
  <w:num w:numId="1175">
    <w:abstractNumId w:val="1174"/>
  </w:num>
  <w:num w:numId="1176">
    <w:abstractNumId w:val="1175"/>
  </w:num>
  <w:num w:numId="1177">
    <w:abstractNumId w:val="1176"/>
  </w:num>
  <w:num w:numId="1178">
    <w:abstractNumId w:val="1177"/>
  </w:num>
  <w:num w:numId="1179">
    <w:abstractNumId w:val="1178"/>
  </w:num>
  <w:num w:numId="1180">
    <w:abstractNumId w:val="1179"/>
  </w:num>
  <w:num w:numId="1181">
    <w:abstractNumId w:val="1180"/>
  </w:num>
  <w:num w:numId="1182">
    <w:abstractNumId w:val="1181"/>
  </w:num>
  <w:num w:numId="1183">
    <w:abstractNumId w:val="1182"/>
  </w:num>
  <w:num w:numId="1184">
    <w:abstractNumId w:val="1183"/>
  </w:num>
  <w:num w:numId="1185">
    <w:abstractNumId w:val="1184"/>
  </w:num>
  <w:num w:numId="1186">
    <w:abstractNumId w:val="1185"/>
  </w:num>
  <w:num w:numId="1187">
    <w:abstractNumId w:val="1186"/>
  </w:num>
  <w:num w:numId="1188">
    <w:abstractNumId w:val="1187"/>
  </w:num>
  <w:num w:numId="1189">
    <w:abstractNumId w:val="1188"/>
  </w:num>
  <w:num w:numId="1190">
    <w:abstractNumId w:val="1189"/>
  </w:num>
  <w:num w:numId="1191">
    <w:abstractNumId w:val="1190"/>
  </w:num>
  <w:num w:numId="1192">
    <w:abstractNumId w:val="1191"/>
  </w:num>
  <w:num w:numId="1193">
    <w:abstractNumId w:val="1192"/>
  </w:num>
  <w:num w:numId="1194">
    <w:abstractNumId w:val="1193"/>
  </w:num>
  <w:num w:numId="1195">
    <w:abstractNumId w:val="1194"/>
  </w:num>
  <w:num w:numId="1196">
    <w:abstractNumId w:val="1195"/>
  </w:num>
  <w:num w:numId="1197">
    <w:abstractNumId w:val="1196"/>
  </w:num>
  <w:num w:numId="1198">
    <w:abstractNumId w:val="1197"/>
  </w:num>
  <w:num w:numId="1199">
    <w:abstractNumId w:val="1198"/>
  </w:num>
  <w:num w:numId="1200">
    <w:abstractNumId w:val="1199"/>
  </w:num>
  <w:num w:numId="1201">
    <w:abstractNumId w:val="1200"/>
  </w:num>
  <w:num w:numId="1202">
    <w:abstractNumId w:val="1201"/>
  </w:num>
  <w:num w:numId="1203">
    <w:abstractNumId w:val="1202"/>
  </w:num>
  <w:num w:numId="1204">
    <w:abstractNumId w:val="1203"/>
  </w:num>
  <w:num w:numId="1205">
    <w:abstractNumId w:val="1204"/>
  </w:num>
  <w:num w:numId="1206">
    <w:abstractNumId w:val="1205"/>
  </w:num>
  <w:num w:numId="1207">
    <w:abstractNumId w:val="1206"/>
  </w:num>
  <w:num w:numId="1208">
    <w:abstractNumId w:val="1207"/>
  </w:num>
  <w:num w:numId="1209">
    <w:abstractNumId w:val="1208"/>
  </w:num>
  <w:num w:numId="1210">
    <w:abstractNumId w:val="1209"/>
  </w:num>
  <w:num w:numId="1211">
    <w:abstractNumId w:val="1210"/>
  </w:num>
  <w:num w:numId="1212">
    <w:abstractNumId w:val="1211"/>
  </w:num>
  <w:num w:numId="1213">
    <w:abstractNumId w:val="1212"/>
  </w:num>
  <w:num w:numId="1214">
    <w:abstractNumId w:val="1213"/>
  </w:num>
  <w:num w:numId="1215">
    <w:abstractNumId w:val="1214"/>
  </w:num>
  <w:num w:numId="1216">
    <w:abstractNumId w:val="1215"/>
  </w:num>
  <w:num w:numId="1217">
    <w:abstractNumId w:val="1216"/>
  </w:num>
  <w:num w:numId="1218">
    <w:abstractNumId w:val="1217"/>
  </w:num>
  <w:num w:numId="1219">
    <w:abstractNumId w:val="1218"/>
  </w:num>
  <w:num w:numId="1220">
    <w:abstractNumId w:val="1219"/>
  </w:num>
  <w:num w:numId="1221">
    <w:abstractNumId w:val="1220"/>
  </w:num>
  <w:num w:numId="1222">
    <w:abstractNumId w:val="1221"/>
  </w:num>
  <w:num w:numId="1223">
    <w:abstractNumId w:val="1222"/>
  </w:num>
  <w:num w:numId="1224">
    <w:abstractNumId w:val="1223"/>
  </w:num>
  <w:num w:numId="1225">
    <w:abstractNumId w:val="1224"/>
  </w:num>
  <w:num w:numId="1226">
    <w:abstractNumId w:val="1225"/>
  </w:num>
  <w:num w:numId="1227">
    <w:abstractNumId w:val="1226"/>
  </w:num>
  <w:num w:numId="1228">
    <w:abstractNumId w:val="1227"/>
  </w:num>
  <w:num w:numId="1229">
    <w:abstractNumId w:val="1228"/>
  </w:num>
  <w:num w:numId="1230">
    <w:abstractNumId w:val="1229"/>
  </w:num>
  <w:num w:numId="1231">
    <w:abstractNumId w:val="1230"/>
  </w:num>
  <w:num w:numId="1232">
    <w:abstractNumId w:val="1231"/>
  </w:num>
  <w:num w:numId="1233">
    <w:abstractNumId w:val="1232"/>
  </w:num>
  <w:num w:numId="1234">
    <w:abstractNumId w:val="1233"/>
  </w:num>
  <w:num w:numId="1235">
    <w:abstractNumId w:val="1234"/>
  </w:num>
  <w:num w:numId="1236">
    <w:abstractNumId w:val="1235"/>
  </w:num>
  <w:num w:numId="1237">
    <w:abstractNumId w:val="1236"/>
  </w:num>
  <w:num w:numId="1238">
    <w:abstractNumId w:val="1237"/>
  </w:num>
  <w:num w:numId="1239">
    <w:abstractNumId w:val="1238"/>
  </w:num>
  <w:num w:numId="1240">
    <w:abstractNumId w:val="1239"/>
  </w:num>
  <w:num w:numId="1241">
    <w:abstractNumId w:val="1240"/>
  </w:num>
  <w:num w:numId="1242">
    <w:abstractNumId w:val="1241"/>
  </w:num>
  <w:num w:numId="1243">
    <w:abstractNumId w:val="1242"/>
  </w:num>
  <w:num w:numId="1244">
    <w:abstractNumId w:val="1243"/>
  </w:num>
  <w:num w:numId="1245">
    <w:abstractNumId w:val="1244"/>
  </w:num>
  <w:num w:numId="1246">
    <w:abstractNumId w:val="1245"/>
  </w:num>
  <w:num w:numId="1247">
    <w:abstractNumId w:val="1246"/>
  </w:num>
  <w:num w:numId="1248">
    <w:abstractNumId w:val="1247"/>
  </w:num>
  <w:num w:numId="1249">
    <w:abstractNumId w:val="1248"/>
  </w:num>
  <w:num w:numId="1250">
    <w:abstractNumId w:val="1249"/>
  </w:num>
  <w:num w:numId="1251">
    <w:abstractNumId w:val="1250"/>
  </w:num>
  <w:num w:numId="1252">
    <w:abstractNumId w:val="1251"/>
  </w:num>
  <w:num w:numId="1253">
    <w:abstractNumId w:val="1252"/>
  </w:num>
  <w:num w:numId="1254">
    <w:abstractNumId w:val="1253"/>
  </w:num>
  <w:num w:numId="1255">
    <w:abstractNumId w:val="1254"/>
  </w:num>
  <w:num w:numId="1256">
    <w:abstractNumId w:val="1255"/>
  </w:num>
  <w:num w:numId="1257">
    <w:abstractNumId w:val="1256"/>
  </w:num>
  <w:num w:numId="1258">
    <w:abstractNumId w:val="1257"/>
  </w:num>
  <w:num w:numId="1259">
    <w:abstractNumId w:val="1258"/>
  </w:num>
  <w:num w:numId="1260">
    <w:abstractNumId w:val="1259"/>
  </w:num>
  <w:num w:numId="1261">
    <w:abstractNumId w:val="1260"/>
  </w:num>
  <w:num w:numId="1262">
    <w:abstractNumId w:val="1261"/>
  </w:num>
  <w:num w:numId="1263">
    <w:abstractNumId w:val="1262"/>
  </w:num>
  <w:num w:numId="1264">
    <w:abstractNumId w:val="1263"/>
  </w:num>
  <w:num w:numId="1265">
    <w:abstractNumId w:val="1264"/>
  </w:num>
  <w:num w:numId="1266">
    <w:abstractNumId w:val="1265"/>
  </w:num>
  <w:num w:numId="1267">
    <w:abstractNumId w:val="1266"/>
  </w:num>
  <w:num w:numId="1268">
    <w:abstractNumId w:val="1267"/>
  </w:num>
  <w:num w:numId="1269">
    <w:abstractNumId w:val="1268"/>
  </w:num>
  <w:num w:numId="1270">
    <w:abstractNumId w:val="1269"/>
  </w:num>
  <w:num w:numId="1271">
    <w:abstractNumId w:val="1270"/>
  </w:num>
  <w:num w:numId="1272">
    <w:abstractNumId w:val="1271"/>
  </w:num>
  <w:num w:numId="1273">
    <w:abstractNumId w:val="1272"/>
  </w:num>
  <w:num w:numId="1274">
    <w:abstractNumId w:val="1273"/>
  </w:num>
  <w:num w:numId="1275">
    <w:abstractNumId w:val="1274"/>
  </w:num>
  <w:num w:numId="1276">
    <w:abstractNumId w:val="1275"/>
  </w:num>
  <w:num w:numId="1277">
    <w:abstractNumId w:val="1276"/>
  </w:num>
  <w:num w:numId="1278">
    <w:abstractNumId w:val="1277"/>
  </w:num>
  <w:num w:numId="1279">
    <w:abstractNumId w:val="1278"/>
  </w:num>
  <w:num w:numId="1280">
    <w:abstractNumId w:val="1279"/>
  </w:num>
  <w:num w:numId="1281">
    <w:abstractNumId w:val="1280"/>
  </w:num>
  <w:num w:numId="1282">
    <w:abstractNumId w:val="1281"/>
  </w:num>
  <w:num w:numId="1283">
    <w:abstractNumId w:val="1282"/>
  </w:num>
  <w:num w:numId="1284">
    <w:abstractNumId w:val="1283"/>
  </w:num>
  <w:num w:numId="1285">
    <w:abstractNumId w:val="1284"/>
  </w:num>
  <w:num w:numId="1286">
    <w:abstractNumId w:val="1285"/>
  </w:num>
  <w:num w:numId="1287">
    <w:abstractNumId w:val="1286"/>
  </w:num>
  <w:num w:numId="1288">
    <w:abstractNumId w:val="1287"/>
  </w:num>
  <w:num w:numId="1289">
    <w:abstractNumId w:val="1288"/>
  </w:num>
  <w:num w:numId="1290">
    <w:abstractNumId w:val="1289"/>
  </w:num>
  <w:num w:numId="1291">
    <w:abstractNumId w:val="1290"/>
  </w:num>
  <w:num w:numId="1292">
    <w:abstractNumId w:val="1291"/>
  </w:num>
  <w:num w:numId="1293">
    <w:abstractNumId w:val="1292"/>
  </w:num>
  <w:num w:numId="1294">
    <w:abstractNumId w:val="1293"/>
  </w:num>
  <w:num w:numId="1295">
    <w:abstractNumId w:val="1294"/>
  </w:num>
  <w:num w:numId="1296">
    <w:abstractNumId w:val="1295"/>
  </w:num>
  <w:num w:numId="1297">
    <w:abstractNumId w:val="1296"/>
  </w:num>
  <w:num w:numId="1298">
    <w:abstractNumId w:val="1297"/>
  </w:num>
  <w:num w:numId="1299">
    <w:abstractNumId w:val="1298"/>
  </w:num>
  <w:num w:numId="1300">
    <w:abstractNumId w:val="1299"/>
  </w:num>
  <w:num w:numId="1301">
    <w:abstractNumId w:val="1300"/>
  </w:num>
  <w:num w:numId="1302">
    <w:abstractNumId w:val="1301"/>
  </w:num>
  <w:num w:numId="1303">
    <w:abstractNumId w:val="1302"/>
  </w:num>
  <w:num w:numId="1304">
    <w:abstractNumId w:val="1303"/>
  </w:num>
  <w:num w:numId="1305">
    <w:abstractNumId w:val="1304"/>
  </w:num>
  <w:num w:numId="1306">
    <w:abstractNumId w:val="1305"/>
  </w:num>
  <w:num w:numId="1307">
    <w:abstractNumId w:val="1306"/>
  </w:num>
  <w:num w:numId="1308">
    <w:abstractNumId w:val="1307"/>
  </w:num>
  <w:num w:numId="1309">
    <w:abstractNumId w:val="1308"/>
  </w:num>
  <w:num w:numId="1310">
    <w:abstractNumId w:val="1309"/>
  </w:num>
  <w:num w:numId="1311">
    <w:abstractNumId w:val="1310"/>
  </w:num>
  <w:num w:numId="1312">
    <w:abstractNumId w:val="1311"/>
  </w:num>
  <w:num w:numId="1313">
    <w:abstractNumId w:val="1312"/>
  </w:num>
  <w:num w:numId="1314">
    <w:abstractNumId w:val="1313"/>
  </w:num>
  <w:num w:numId="1315">
    <w:abstractNumId w:val="1314"/>
  </w:num>
  <w:num w:numId="1316">
    <w:abstractNumId w:val="1315"/>
  </w:num>
  <w:num w:numId="1317">
    <w:abstractNumId w:val="1316"/>
  </w:num>
  <w:num w:numId="1318">
    <w:abstractNumId w:val="1317"/>
  </w:num>
  <w:num w:numId="1319">
    <w:abstractNumId w:val="1318"/>
  </w:num>
  <w:num w:numId="1320">
    <w:abstractNumId w:val="1319"/>
  </w:num>
  <w:num w:numId="1321">
    <w:abstractNumId w:val="1320"/>
  </w:num>
  <w:num w:numId="1322">
    <w:abstractNumId w:val="1321"/>
  </w:num>
  <w:num w:numId="1323">
    <w:abstractNumId w:val="1322"/>
  </w:num>
  <w:num w:numId="1324">
    <w:abstractNumId w:val="1323"/>
  </w:num>
  <w:num w:numId="1325">
    <w:abstractNumId w:val="1324"/>
  </w:num>
  <w:num w:numId="1326">
    <w:abstractNumId w:val="1325"/>
  </w:num>
  <w:num w:numId="1327">
    <w:abstractNumId w:val="1326"/>
  </w:num>
  <w:num w:numId="1328">
    <w:abstractNumId w:val="1327"/>
  </w:num>
  <w:num w:numId="1329">
    <w:abstractNumId w:val="1328"/>
  </w:num>
  <w:num w:numId="1330">
    <w:abstractNumId w:val="1329"/>
  </w:num>
  <w:num w:numId="1331">
    <w:abstractNumId w:val="1330"/>
  </w:num>
  <w:num w:numId="1332">
    <w:abstractNumId w:val="1331"/>
  </w:num>
  <w:num w:numId="1333">
    <w:abstractNumId w:val="1332"/>
  </w:num>
  <w:num w:numId="1334">
    <w:abstractNumId w:val="1333"/>
  </w:num>
  <w:num w:numId="1335">
    <w:abstractNumId w:val="1334"/>
  </w:num>
  <w:num w:numId="1336">
    <w:abstractNumId w:val="1335"/>
  </w:num>
  <w:num w:numId="1337">
    <w:abstractNumId w:val="1336"/>
  </w:num>
  <w:num w:numId="1338">
    <w:abstractNumId w:val="1337"/>
  </w:num>
  <w:num w:numId="1339">
    <w:abstractNumId w:val="1338"/>
  </w:num>
  <w:num w:numId="1340">
    <w:abstractNumId w:val="1339"/>
  </w:num>
  <w:num w:numId="1341">
    <w:abstractNumId w:val="1340"/>
  </w:num>
  <w:num w:numId="1342">
    <w:abstractNumId w:val="1341"/>
  </w:num>
  <w:num w:numId="1343">
    <w:abstractNumId w:val="1342"/>
  </w:num>
  <w:num w:numId="1344">
    <w:abstractNumId w:val="1343"/>
  </w:num>
  <w:num w:numId="1345">
    <w:abstractNumId w:val="1344"/>
  </w:num>
  <w:num w:numId="1346">
    <w:abstractNumId w:val="1345"/>
  </w:num>
  <w:num w:numId="1347">
    <w:abstractNumId w:val="1346"/>
  </w:num>
  <w:num w:numId="1348">
    <w:abstractNumId w:val="1347"/>
  </w:num>
  <w:num w:numId="1349">
    <w:abstractNumId w:val="1348"/>
  </w:num>
  <w:num w:numId="1350">
    <w:abstractNumId w:val="1349"/>
  </w:num>
  <w:num w:numId="1351">
    <w:abstractNumId w:val="1350"/>
  </w:num>
  <w:num w:numId="1352">
    <w:abstractNumId w:val="1351"/>
  </w:num>
  <w:num w:numId="1353">
    <w:abstractNumId w:val="1352"/>
  </w:num>
  <w:num w:numId="1354">
    <w:abstractNumId w:val="1353"/>
  </w:num>
  <w:num w:numId="1355">
    <w:abstractNumId w:val="1354"/>
  </w:num>
  <w:num w:numId="1356">
    <w:abstractNumId w:val="1355"/>
  </w:num>
  <w:num w:numId="1357">
    <w:abstractNumId w:val="1356"/>
  </w:num>
  <w:num w:numId="1358">
    <w:abstractNumId w:val="1357"/>
  </w:num>
  <w:num w:numId="1359">
    <w:abstractNumId w:val="1358"/>
  </w:num>
  <w:num w:numId="1360">
    <w:abstractNumId w:val="1359"/>
  </w:num>
  <w:num w:numId="1361">
    <w:abstractNumId w:val="1360"/>
  </w:num>
  <w:num w:numId="1362">
    <w:abstractNumId w:val="1361"/>
  </w:num>
  <w:num w:numId="1363">
    <w:abstractNumId w:val="1362"/>
  </w:num>
  <w:num w:numId="1364">
    <w:abstractNumId w:val="1363"/>
  </w:num>
  <w:num w:numId="1365">
    <w:abstractNumId w:val="1364"/>
  </w:num>
  <w:num w:numId="1366">
    <w:abstractNumId w:val="1365"/>
  </w:num>
  <w:num w:numId="1367">
    <w:abstractNumId w:val="1366"/>
  </w:num>
  <w:num w:numId="1368">
    <w:abstractNumId w:val="1367"/>
  </w:num>
  <w:num w:numId="1369">
    <w:abstractNumId w:val="1368"/>
  </w:num>
  <w:num w:numId="1370">
    <w:abstractNumId w:val="1369"/>
  </w:num>
  <w:num w:numId="1371">
    <w:abstractNumId w:val="1370"/>
  </w:num>
  <w:num w:numId="1372">
    <w:abstractNumId w:val="1371"/>
  </w:num>
  <w:num w:numId="1373">
    <w:abstractNumId w:val="1372"/>
  </w:num>
  <w:num w:numId="1374">
    <w:abstractNumId w:val="1373"/>
  </w:num>
  <w:num w:numId="1375">
    <w:abstractNumId w:val="1374"/>
  </w:num>
  <w:num w:numId="1376">
    <w:abstractNumId w:val="1375"/>
  </w:num>
  <w:num w:numId="1377">
    <w:abstractNumId w:val="1376"/>
  </w:num>
  <w:num w:numId="1378">
    <w:abstractNumId w:val="1377"/>
  </w:num>
  <w:num w:numId="1379">
    <w:abstractNumId w:val="1378"/>
  </w:num>
  <w:num w:numId="1380">
    <w:abstractNumId w:val="1379"/>
  </w:num>
  <w:num w:numId="1381">
    <w:abstractNumId w:val="1380"/>
  </w:num>
  <w:num w:numId="1382">
    <w:abstractNumId w:val="1381"/>
  </w:num>
  <w:num w:numId="1383">
    <w:abstractNumId w:val="1382"/>
  </w:num>
  <w:num w:numId="1384">
    <w:abstractNumId w:val="1383"/>
  </w:num>
  <w:num w:numId="1385">
    <w:abstractNumId w:val="1384"/>
  </w:num>
  <w:num w:numId="1386">
    <w:abstractNumId w:val="1385"/>
  </w:num>
  <w:num w:numId="1387">
    <w:abstractNumId w:val="1386"/>
  </w:num>
  <w:num w:numId="1388">
    <w:abstractNumId w:val="1387"/>
  </w:num>
  <w:num w:numId="1389">
    <w:abstractNumId w:val="1388"/>
  </w:num>
  <w:num w:numId="1390">
    <w:abstractNumId w:val="1389"/>
  </w:num>
  <w:num w:numId="1391">
    <w:abstractNumId w:val="1390"/>
  </w:num>
  <w:num w:numId="1392">
    <w:abstractNumId w:val="1391"/>
  </w:num>
  <w:num w:numId="1393">
    <w:abstractNumId w:val="1392"/>
  </w:num>
  <w:num w:numId="1394">
    <w:abstractNumId w:val="1393"/>
  </w:num>
  <w:num w:numId="1395">
    <w:abstractNumId w:val="1394"/>
  </w:num>
  <w:num w:numId="1396">
    <w:abstractNumId w:val="1395"/>
  </w:num>
  <w:num w:numId="1397">
    <w:abstractNumId w:val="1396"/>
  </w:num>
  <w:num w:numId="1398">
    <w:abstractNumId w:val="1397"/>
  </w:num>
  <w:num w:numId="1399">
    <w:abstractNumId w:val="1398"/>
  </w:num>
  <w:num w:numId="1400">
    <w:abstractNumId w:val="1399"/>
  </w:num>
  <w:num w:numId="1401">
    <w:abstractNumId w:val="1400"/>
  </w:num>
  <w:num w:numId="1402">
    <w:abstractNumId w:val="1401"/>
  </w:num>
  <w:num w:numId="1403">
    <w:abstractNumId w:val="1402"/>
  </w:num>
  <w:num w:numId="1404">
    <w:abstractNumId w:val="1403"/>
  </w:num>
  <w:num w:numId="1405">
    <w:abstractNumId w:val="1404"/>
  </w:num>
  <w:num w:numId="1406">
    <w:abstractNumId w:val="1405"/>
  </w:num>
  <w:num w:numId="1407">
    <w:abstractNumId w:val="1406"/>
  </w:num>
  <w:num w:numId="1408">
    <w:abstractNumId w:val="1407"/>
  </w:num>
  <w:num w:numId="1409">
    <w:abstractNumId w:val="1408"/>
  </w:num>
  <w:num w:numId="1410">
    <w:abstractNumId w:val="1409"/>
  </w:num>
  <w:num w:numId="1411">
    <w:abstractNumId w:val="1410"/>
  </w:num>
  <w:num w:numId="1412">
    <w:abstractNumId w:val="1411"/>
  </w:num>
  <w:num w:numId="1413">
    <w:abstractNumId w:val="1412"/>
  </w:num>
  <w:num w:numId="1414">
    <w:abstractNumId w:val="1413"/>
  </w:num>
  <w:num w:numId="1415">
    <w:abstractNumId w:val="1414"/>
  </w:num>
  <w:num w:numId="1416">
    <w:abstractNumId w:val="1415"/>
  </w:num>
  <w:num w:numId="1417">
    <w:abstractNumId w:val="1416"/>
  </w:num>
  <w:num w:numId="1418">
    <w:abstractNumId w:val="1417"/>
  </w:num>
  <w:num w:numId="1419">
    <w:abstractNumId w:val="1418"/>
  </w:num>
  <w:num w:numId="1420">
    <w:abstractNumId w:val="1419"/>
  </w:num>
  <w:num w:numId="1421">
    <w:abstractNumId w:val="1420"/>
  </w:num>
  <w:num w:numId="1422">
    <w:abstractNumId w:val="1421"/>
  </w:num>
  <w:num w:numId="1423">
    <w:abstractNumId w:val="1422"/>
  </w:num>
  <w:num w:numId="1424">
    <w:abstractNumId w:val="1423"/>
  </w:num>
  <w:num w:numId="1425">
    <w:abstractNumId w:val="1424"/>
  </w:num>
  <w:num w:numId="1426">
    <w:abstractNumId w:val="1425"/>
  </w:num>
  <w:num w:numId="1427">
    <w:abstractNumId w:val="1426"/>
  </w:num>
  <w:num w:numId="1428">
    <w:abstractNumId w:val="1427"/>
  </w:num>
  <w:num w:numId="1429">
    <w:abstractNumId w:val="1428"/>
  </w:num>
  <w:num w:numId="1430">
    <w:abstractNumId w:val="1429"/>
  </w:num>
  <w:num w:numId="1431">
    <w:abstractNumId w:val="1430"/>
  </w:num>
  <w:num w:numId="1432">
    <w:abstractNumId w:val="1431"/>
  </w:num>
  <w:num w:numId="1433">
    <w:abstractNumId w:val="1432"/>
  </w:num>
  <w:num w:numId="1434">
    <w:abstractNumId w:val="1433"/>
  </w:num>
  <w:num w:numId="1435">
    <w:abstractNumId w:val="1434"/>
  </w:num>
  <w:num w:numId="1436">
    <w:abstractNumId w:val="1435"/>
  </w:num>
  <w:num w:numId="1437">
    <w:abstractNumId w:val="1436"/>
  </w:num>
  <w:num w:numId="1438">
    <w:abstractNumId w:val="1437"/>
  </w:num>
  <w:num w:numId="1439">
    <w:abstractNumId w:val="1438"/>
  </w:num>
  <w:num w:numId="1440">
    <w:abstractNumId w:val="1439"/>
  </w:num>
  <w:num w:numId="1441">
    <w:abstractNumId w:val="1440"/>
  </w:num>
  <w:num w:numId="1442">
    <w:abstractNumId w:val="1441"/>
  </w:num>
  <w:num w:numId="1443">
    <w:abstractNumId w:val="1442"/>
  </w:num>
  <w:num w:numId="1444">
    <w:abstractNumId w:val="1443"/>
  </w:num>
  <w:num w:numId="1445">
    <w:abstractNumId w:val="1444"/>
  </w:num>
  <w:num w:numId="1446">
    <w:abstractNumId w:val="1445"/>
  </w:num>
  <w:num w:numId="1447">
    <w:abstractNumId w:val="1446"/>
  </w:num>
  <w:num w:numId="1448">
    <w:abstractNumId w:val="1447"/>
  </w:num>
  <w:num w:numId="1449">
    <w:abstractNumId w:val="1448"/>
  </w:num>
  <w:num w:numId="1450">
    <w:abstractNumId w:val="1449"/>
  </w:num>
  <w:num w:numId="1451">
    <w:abstractNumId w:val="1450"/>
  </w:num>
  <w:num w:numId="1452">
    <w:abstractNumId w:val="1451"/>
  </w:num>
  <w:num w:numId="1453">
    <w:abstractNumId w:val="1452"/>
  </w:num>
  <w:num w:numId="1454">
    <w:abstractNumId w:val="1453"/>
  </w:num>
  <w:num w:numId="1455">
    <w:abstractNumId w:val="1454"/>
  </w:num>
  <w:num w:numId="1456">
    <w:abstractNumId w:val="1455"/>
  </w:num>
  <w:num w:numId="1457">
    <w:abstractNumId w:val="1456"/>
  </w:num>
  <w:num w:numId="1458">
    <w:abstractNumId w:val="1457"/>
  </w:num>
  <w:num w:numId="1459">
    <w:abstractNumId w:val="1458"/>
  </w:num>
  <w:num w:numId="1460">
    <w:abstractNumId w:val="1459"/>
  </w:num>
  <w:num w:numId="1461">
    <w:abstractNumId w:val="1460"/>
  </w:num>
  <w:num w:numId="1462">
    <w:abstractNumId w:val="1461"/>
  </w:num>
  <w:num w:numId="1463">
    <w:abstractNumId w:val="1462"/>
  </w:num>
  <w:num w:numId="1464">
    <w:abstractNumId w:val="1463"/>
  </w:num>
  <w:num w:numId="1465">
    <w:abstractNumId w:val="1464"/>
  </w:num>
  <w:num w:numId="1466">
    <w:abstractNumId w:val="1465"/>
  </w:num>
  <w:num w:numId="1467">
    <w:abstractNumId w:val="1466"/>
  </w:num>
  <w:num w:numId="1468">
    <w:abstractNumId w:val="1467"/>
  </w:num>
  <w:num w:numId="1469">
    <w:abstractNumId w:val="1468"/>
  </w:num>
  <w:num w:numId="1470">
    <w:abstractNumId w:val="1469"/>
  </w:num>
  <w:num w:numId="1471">
    <w:abstractNumId w:val="1470"/>
  </w:num>
  <w:num w:numId="1472">
    <w:abstractNumId w:val="1471"/>
  </w:num>
  <w:num w:numId="1473">
    <w:abstractNumId w:val="1472"/>
  </w:num>
  <w:num w:numId="1474">
    <w:abstractNumId w:val="1473"/>
  </w:num>
  <w:num w:numId="1475">
    <w:abstractNumId w:val="1474"/>
  </w:num>
  <w:num w:numId="1476">
    <w:abstractNumId w:val="1475"/>
  </w:num>
  <w:num w:numId="1477">
    <w:abstractNumId w:val="1476"/>
  </w:num>
  <w:num w:numId="1478">
    <w:abstractNumId w:val="1477"/>
  </w:num>
  <w:num w:numId="1479">
    <w:abstractNumId w:val="1478"/>
  </w:num>
  <w:num w:numId="1480">
    <w:abstractNumId w:val="1479"/>
  </w:num>
  <w:num w:numId="1481">
    <w:abstractNumId w:val="1480"/>
  </w:num>
  <w:num w:numId="1482">
    <w:abstractNumId w:val="1481"/>
  </w:num>
  <w:num w:numId="1483">
    <w:abstractNumId w:val="1482"/>
  </w:num>
  <w:num w:numId="1484">
    <w:abstractNumId w:val="1483"/>
  </w:num>
  <w:num w:numId="1485">
    <w:abstractNumId w:val="1484"/>
  </w:num>
  <w:num w:numId="1486">
    <w:abstractNumId w:val="1485"/>
  </w:num>
  <w:num w:numId="1487">
    <w:abstractNumId w:val="1486"/>
  </w:num>
  <w:num w:numId="1488">
    <w:abstractNumId w:val="1487"/>
  </w:num>
  <w:num w:numId="1489">
    <w:abstractNumId w:val="1488"/>
  </w:num>
  <w:num w:numId="1490">
    <w:abstractNumId w:val="1489"/>
  </w:num>
  <w:num w:numId="1491">
    <w:abstractNumId w:val="1490"/>
  </w:num>
  <w:num w:numId="1492">
    <w:abstractNumId w:val="1491"/>
  </w:num>
  <w:num w:numId="1493">
    <w:abstractNumId w:val="1492"/>
  </w:num>
  <w:num w:numId="1494">
    <w:abstractNumId w:val="1493"/>
  </w:num>
  <w:num w:numId="1495">
    <w:abstractNumId w:val="1494"/>
  </w:num>
  <w:num w:numId="1496">
    <w:abstractNumId w:val="1495"/>
  </w:num>
  <w:num w:numId="1497">
    <w:abstractNumId w:val="1496"/>
  </w:num>
  <w:num w:numId="1498">
    <w:abstractNumId w:val="1497"/>
  </w:num>
  <w:num w:numId="1499">
    <w:abstractNumId w:val="1498"/>
  </w:num>
  <w:num w:numId="1500">
    <w:abstractNumId w:val="1499"/>
  </w:num>
  <w:num w:numId="1501">
    <w:abstractNumId w:val="1500"/>
  </w:num>
  <w:num w:numId="1502">
    <w:abstractNumId w:val="1501"/>
  </w:num>
  <w:num w:numId="1503">
    <w:abstractNumId w:val="1502"/>
  </w:num>
  <w:num w:numId="1504">
    <w:abstractNumId w:val="1503"/>
  </w:num>
  <w:num w:numId="1505">
    <w:abstractNumId w:val="1504"/>
  </w:num>
  <w:num w:numId="1506">
    <w:abstractNumId w:val="1505"/>
  </w:num>
  <w:num w:numId="1507">
    <w:abstractNumId w:val="1506"/>
  </w:num>
  <w:num w:numId="1508">
    <w:abstractNumId w:val="1507"/>
  </w:num>
  <w:num w:numId="1509">
    <w:abstractNumId w:val="1508"/>
  </w:num>
  <w:num w:numId="1510">
    <w:abstractNumId w:val="1509"/>
  </w:num>
  <w:num w:numId="1511">
    <w:abstractNumId w:val="1510"/>
  </w:num>
  <w:num w:numId="1512">
    <w:abstractNumId w:val="1511"/>
  </w:num>
  <w:num w:numId="1513">
    <w:abstractNumId w:val="1512"/>
  </w:num>
  <w:num w:numId="1514">
    <w:abstractNumId w:val="1513"/>
  </w:num>
  <w:num w:numId="1515">
    <w:abstractNumId w:val="1514"/>
  </w:num>
  <w:num w:numId="1516">
    <w:abstractNumId w:val="1515"/>
  </w:num>
  <w:num w:numId="1517">
    <w:abstractNumId w:val="1516"/>
  </w:num>
  <w:num w:numId="1518">
    <w:abstractNumId w:val="1517"/>
  </w:num>
  <w:num w:numId="1519">
    <w:abstractNumId w:val="1518"/>
  </w:num>
  <w:num w:numId="1520">
    <w:abstractNumId w:val="1519"/>
  </w:num>
  <w:num w:numId="1521">
    <w:abstractNumId w:val="1520"/>
  </w:num>
  <w:num w:numId="1522">
    <w:abstractNumId w:val="1521"/>
  </w:num>
  <w:num w:numId="1523">
    <w:abstractNumId w:val="1522"/>
  </w:num>
  <w:num w:numId="1524">
    <w:abstractNumId w:val="1523"/>
  </w:num>
  <w:num w:numId="1525">
    <w:abstractNumId w:val="1524"/>
  </w:num>
  <w:num w:numId="1526">
    <w:abstractNumId w:val="1525"/>
  </w:num>
  <w:num w:numId="1527">
    <w:abstractNumId w:val="1526"/>
  </w:num>
  <w:num w:numId="1528">
    <w:abstractNumId w:val="1527"/>
  </w:num>
  <w:num w:numId="1529">
    <w:abstractNumId w:val="1528"/>
  </w:num>
  <w:num w:numId="1530">
    <w:abstractNumId w:val="1529"/>
  </w:num>
  <w:num w:numId="1531">
    <w:abstractNumId w:val="1530"/>
  </w:num>
  <w:num w:numId="1532">
    <w:abstractNumId w:val="1531"/>
  </w:num>
  <w:num w:numId="1533">
    <w:abstractNumId w:val="1532"/>
  </w:num>
  <w:num w:numId="1534">
    <w:abstractNumId w:val="1533"/>
  </w:num>
  <w:num w:numId="1535">
    <w:abstractNumId w:val="1534"/>
  </w:num>
  <w:num w:numId="1536">
    <w:abstractNumId w:val="1535"/>
  </w:num>
  <w:num w:numId="1537">
    <w:abstractNumId w:val="1536"/>
  </w:num>
  <w:num w:numId="1538">
    <w:abstractNumId w:val="1537"/>
  </w:num>
  <w:num w:numId="1539">
    <w:abstractNumId w:val="1538"/>
  </w:num>
  <w:num w:numId="1540">
    <w:abstractNumId w:val="1539"/>
  </w:num>
  <w:num w:numId="1541">
    <w:abstractNumId w:val="1540"/>
  </w:num>
  <w:num w:numId="1542">
    <w:abstractNumId w:val="1541"/>
  </w:num>
  <w:num w:numId="1543">
    <w:abstractNumId w:val="1542"/>
  </w:num>
  <w:num w:numId="1544">
    <w:abstractNumId w:val="1543"/>
  </w:num>
  <w:num w:numId="1545">
    <w:abstractNumId w:val="1544"/>
  </w:num>
  <w:num w:numId="1546">
    <w:abstractNumId w:val="1545"/>
  </w:num>
  <w:num w:numId="1547">
    <w:abstractNumId w:val="1546"/>
  </w:num>
  <w:num w:numId="1548">
    <w:abstractNumId w:val="1547"/>
  </w:num>
  <w:num w:numId="1549">
    <w:abstractNumId w:val="1548"/>
  </w:num>
  <w:num w:numId="1550">
    <w:abstractNumId w:val="1549"/>
  </w:num>
  <w:num w:numId="1551">
    <w:abstractNumId w:val="1550"/>
  </w:num>
  <w:num w:numId="1552">
    <w:abstractNumId w:val="1551"/>
  </w:num>
  <w:num w:numId="1553">
    <w:abstractNumId w:val="1552"/>
  </w:num>
  <w:num w:numId="1554">
    <w:abstractNumId w:val="1553"/>
  </w:num>
  <w:num w:numId="1555">
    <w:abstractNumId w:val="1554"/>
  </w:num>
  <w:num w:numId="1556">
    <w:abstractNumId w:val="1555"/>
  </w:num>
  <w:num w:numId="1557">
    <w:abstractNumId w:val="1556"/>
  </w:num>
  <w:num w:numId="1558">
    <w:abstractNumId w:val="1557"/>
  </w:num>
  <w:num w:numId="1559">
    <w:abstractNumId w:val="1558"/>
  </w:num>
  <w:num w:numId="1560">
    <w:abstractNumId w:val="1559"/>
  </w:num>
  <w:num w:numId="1561">
    <w:abstractNumId w:val="1560"/>
  </w:num>
  <w:num w:numId="1562">
    <w:abstractNumId w:val="1561"/>
  </w:num>
  <w:num w:numId="1563">
    <w:abstractNumId w:val="1562"/>
  </w:num>
  <w:num w:numId="1564">
    <w:abstractNumId w:val="1563"/>
  </w:num>
  <w:num w:numId="1565">
    <w:abstractNumId w:val="1564"/>
  </w:num>
  <w:num w:numId="1566">
    <w:abstractNumId w:val="1565"/>
  </w:num>
  <w:num w:numId="1567">
    <w:abstractNumId w:val="1566"/>
  </w:num>
  <w:num w:numId="1568">
    <w:abstractNumId w:val="1567"/>
  </w:num>
  <w:num w:numId="1569">
    <w:abstractNumId w:val="1568"/>
  </w:num>
  <w:num w:numId="1570">
    <w:abstractNumId w:val="1569"/>
  </w:num>
  <w:num w:numId="1571">
    <w:abstractNumId w:val="1570"/>
  </w:num>
  <w:num w:numId="1572">
    <w:abstractNumId w:val="1571"/>
  </w:num>
  <w:num w:numId="1573">
    <w:abstractNumId w:val="1572"/>
  </w:num>
  <w:num w:numId="1574">
    <w:abstractNumId w:val="1573"/>
  </w:num>
  <w:num w:numId="1575">
    <w:abstractNumId w:val="1574"/>
  </w:num>
  <w:num w:numId="1576">
    <w:abstractNumId w:val="1575"/>
  </w:num>
  <w:num w:numId="1577">
    <w:abstractNumId w:val="1576"/>
  </w:num>
  <w:num w:numId="1578">
    <w:abstractNumId w:val="1577"/>
  </w:num>
  <w:num w:numId="1579">
    <w:abstractNumId w:val="1578"/>
  </w:num>
  <w:num w:numId="1580">
    <w:abstractNumId w:val="1579"/>
  </w:num>
  <w:num w:numId="1581">
    <w:abstractNumId w:val="1580"/>
  </w:num>
  <w:num w:numId="1582">
    <w:abstractNumId w:val="1581"/>
  </w:num>
  <w:num w:numId="1583">
    <w:abstractNumId w:val="1582"/>
  </w:num>
  <w:num w:numId="1584">
    <w:abstractNumId w:val="1583"/>
  </w:num>
  <w:num w:numId="1585">
    <w:abstractNumId w:val="1584"/>
  </w:num>
  <w:num w:numId="1586">
    <w:abstractNumId w:val="1585"/>
  </w:num>
  <w:num w:numId="1587">
    <w:abstractNumId w:val="1586"/>
  </w:num>
  <w:num w:numId="1588">
    <w:abstractNumId w:val="1587"/>
  </w:num>
  <w:num w:numId="1589">
    <w:abstractNumId w:val="1588"/>
  </w:num>
  <w:num w:numId="1590">
    <w:abstractNumId w:val="1589"/>
  </w:num>
  <w:num w:numId="1591">
    <w:abstractNumId w:val="1590"/>
  </w:num>
  <w:num w:numId="1592">
    <w:abstractNumId w:val="1591"/>
  </w:num>
  <w:num w:numId="1593">
    <w:abstractNumId w:val="1592"/>
  </w:num>
  <w:num w:numId="1594">
    <w:abstractNumId w:val="1593"/>
  </w:num>
  <w:num w:numId="1595">
    <w:abstractNumId w:val="1594"/>
  </w:num>
  <w:num w:numId="1596">
    <w:abstractNumId w:val="1595"/>
  </w:num>
  <w:num w:numId="1597">
    <w:abstractNumId w:val="1596"/>
  </w:num>
  <w:num w:numId="1598">
    <w:abstractNumId w:val="1597"/>
  </w:num>
  <w:num w:numId="1599">
    <w:abstractNumId w:val="1598"/>
  </w:num>
  <w:num w:numId="1600">
    <w:abstractNumId w:val="1599"/>
  </w:num>
  <w:num w:numId="1601">
    <w:abstractNumId w:val="1600"/>
  </w:num>
  <w:num w:numId="1602">
    <w:abstractNumId w:val="1601"/>
  </w:num>
  <w:num w:numId="1603">
    <w:abstractNumId w:val="1602"/>
  </w:num>
  <w:num w:numId="1604">
    <w:abstractNumId w:val="1603"/>
  </w:num>
  <w:num w:numId="1605">
    <w:abstractNumId w:val="1604"/>
  </w:num>
  <w:num w:numId="1606">
    <w:abstractNumId w:val="1605"/>
  </w:num>
  <w:num w:numId="1607">
    <w:abstractNumId w:val="1606"/>
  </w:num>
  <w:num w:numId="1608">
    <w:abstractNumId w:val="1607"/>
  </w:num>
  <w:num w:numId="1609">
    <w:abstractNumId w:val="1608"/>
  </w:num>
  <w:num w:numId="1610">
    <w:abstractNumId w:val="1609"/>
  </w:num>
  <w:num w:numId="1611">
    <w:abstractNumId w:val="1610"/>
  </w:num>
  <w:num w:numId="1612">
    <w:abstractNumId w:val="1611"/>
  </w:num>
  <w:num w:numId="1613">
    <w:abstractNumId w:val="1612"/>
  </w:num>
  <w:num w:numId="1614">
    <w:abstractNumId w:val="1613"/>
  </w:num>
  <w:num w:numId="1615">
    <w:abstractNumId w:val="1614"/>
  </w:num>
  <w:num w:numId="1616">
    <w:abstractNumId w:val="1615"/>
  </w:num>
  <w:num w:numId="1617">
    <w:abstractNumId w:val="1616"/>
  </w:num>
  <w:num w:numId="1618">
    <w:abstractNumId w:val="1617"/>
  </w:num>
  <w:num w:numId="1619">
    <w:abstractNumId w:val="1618"/>
  </w:num>
  <w:num w:numId="1620">
    <w:abstractNumId w:val="1619"/>
  </w:num>
  <w:num w:numId="1621">
    <w:abstractNumId w:val="1620"/>
  </w:num>
  <w:num w:numId="1622">
    <w:abstractNumId w:val="1621"/>
  </w:num>
  <w:num w:numId="1623">
    <w:abstractNumId w:val="1622"/>
  </w:num>
  <w:num w:numId="1624">
    <w:abstractNumId w:val="1623"/>
  </w:num>
  <w:num w:numId="1625">
    <w:abstractNumId w:val="1624"/>
  </w:num>
  <w:num w:numId="1626">
    <w:abstractNumId w:val="1625"/>
  </w:num>
  <w:num w:numId="1627">
    <w:abstractNumId w:val="1626"/>
  </w:num>
  <w:num w:numId="1628">
    <w:abstractNumId w:val="1627"/>
  </w:num>
  <w:num w:numId="1629">
    <w:abstractNumId w:val="1628"/>
  </w:num>
  <w:num w:numId="1630">
    <w:abstractNumId w:val="1629"/>
  </w:num>
  <w:num w:numId="1631">
    <w:abstractNumId w:val="1630"/>
  </w:num>
  <w:num w:numId="1632">
    <w:abstractNumId w:val="1631"/>
  </w:num>
  <w:num w:numId="1633">
    <w:abstractNumId w:val="1632"/>
  </w:num>
  <w:num w:numId="1634">
    <w:abstractNumId w:val="1633"/>
  </w:num>
  <w:num w:numId="1635">
    <w:abstractNumId w:val="1634"/>
  </w:num>
  <w:num w:numId="1636">
    <w:abstractNumId w:val="1635"/>
  </w:num>
  <w:num w:numId="1637">
    <w:abstractNumId w:val="1636"/>
  </w:num>
  <w:num w:numId="1638">
    <w:abstractNumId w:val="1637"/>
  </w:num>
  <w:num w:numId="1639">
    <w:abstractNumId w:val="1638"/>
  </w:num>
  <w:num w:numId="1640">
    <w:abstractNumId w:val="1639"/>
  </w:num>
  <w:num w:numId="1641">
    <w:abstractNumId w:val="1640"/>
  </w:num>
  <w:num w:numId="1642">
    <w:abstractNumId w:val="1641"/>
  </w:num>
  <w:num w:numId="1643">
    <w:abstractNumId w:val="1642"/>
  </w:num>
  <w:num w:numId="1644">
    <w:abstractNumId w:val="1643"/>
  </w:num>
  <w:num w:numId="1645">
    <w:abstractNumId w:val="1644"/>
  </w:num>
  <w:num w:numId="1646">
    <w:abstractNumId w:val="1645"/>
  </w:num>
  <w:num w:numId="1647">
    <w:abstractNumId w:val="1646"/>
  </w:num>
  <w:num w:numId="1648">
    <w:abstractNumId w:val="1647"/>
  </w:num>
  <w:num w:numId="1649">
    <w:abstractNumId w:val="1648"/>
  </w:num>
  <w:num w:numId="1650">
    <w:abstractNumId w:val="1649"/>
  </w:num>
  <w:num w:numId="1651">
    <w:abstractNumId w:val="1650"/>
  </w:num>
  <w:num w:numId="1652">
    <w:abstractNumId w:val="1651"/>
  </w:num>
  <w:num w:numId="1653">
    <w:abstractNumId w:val="1652"/>
  </w:num>
  <w:num w:numId="1654">
    <w:abstractNumId w:val="1653"/>
  </w:num>
  <w:num w:numId="1655">
    <w:abstractNumId w:val="1654"/>
  </w:num>
  <w:num w:numId="1656">
    <w:abstractNumId w:val="1655"/>
  </w:num>
  <w:num w:numId="1657">
    <w:abstractNumId w:val="1656"/>
  </w:num>
  <w:num w:numId="1658">
    <w:abstractNumId w:val="1657"/>
  </w:num>
  <w:num w:numId="1659">
    <w:abstractNumId w:val="1658"/>
  </w:num>
  <w:num w:numId="1660">
    <w:abstractNumId w:val="1659"/>
  </w:num>
  <w:num w:numId="1661">
    <w:abstractNumId w:val="1660"/>
  </w:num>
  <w:num w:numId="1662">
    <w:abstractNumId w:val="1661"/>
  </w:num>
  <w:num w:numId="1663">
    <w:abstractNumId w:val="1662"/>
  </w:num>
  <w:num w:numId="1664">
    <w:abstractNumId w:val="1663"/>
  </w:num>
  <w:num w:numId="1665">
    <w:abstractNumId w:val="1664"/>
  </w:num>
  <w:num w:numId="1666">
    <w:abstractNumId w:val="1665"/>
  </w:num>
  <w:num w:numId="1667">
    <w:abstractNumId w:val="1666"/>
  </w:num>
  <w:num w:numId="1668">
    <w:abstractNumId w:val="1667"/>
  </w:num>
  <w:num w:numId="1669">
    <w:abstractNumId w:val="1668"/>
  </w:num>
  <w:num w:numId="1670">
    <w:abstractNumId w:val="1669"/>
  </w:num>
  <w:num w:numId="1671">
    <w:abstractNumId w:val="1670"/>
  </w:num>
  <w:num w:numId="1672">
    <w:abstractNumId w:val="1671"/>
  </w:num>
  <w:num w:numId="1673">
    <w:abstractNumId w:val="1672"/>
  </w:num>
  <w:num w:numId="1674">
    <w:abstractNumId w:val="1673"/>
  </w:num>
  <w:num w:numId="1675">
    <w:abstractNumId w:val="1674"/>
  </w:num>
  <w:num w:numId="1676">
    <w:abstractNumId w:val="1675"/>
  </w:num>
  <w:num w:numId="1677">
    <w:abstractNumId w:val="1676"/>
  </w:num>
  <w:num w:numId="1678">
    <w:abstractNumId w:val="1677"/>
  </w:num>
  <w:num w:numId="1679">
    <w:abstractNumId w:val="1678"/>
  </w:num>
  <w:num w:numId="1680">
    <w:abstractNumId w:val="1679"/>
  </w:num>
  <w:num w:numId="1681">
    <w:abstractNumId w:val="1680"/>
  </w:num>
  <w:num w:numId="1682">
    <w:abstractNumId w:val="1681"/>
  </w:num>
  <w:num w:numId="1683">
    <w:abstractNumId w:val="1682"/>
  </w:num>
  <w:num w:numId="1684">
    <w:abstractNumId w:val="1683"/>
  </w:num>
  <w:num w:numId="1685">
    <w:abstractNumId w:val="1684"/>
  </w:num>
  <w:num w:numId="1686">
    <w:abstractNumId w:val="1685"/>
  </w:num>
  <w:num w:numId="1687">
    <w:abstractNumId w:val="1686"/>
  </w:num>
  <w:num w:numId="1688">
    <w:abstractNumId w:val="1687"/>
  </w:num>
  <w:num w:numId="1689">
    <w:abstractNumId w:val="1688"/>
  </w:num>
  <w:num w:numId="1690">
    <w:abstractNumId w:val="1689"/>
  </w:num>
  <w:num w:numId="1691">
    <w:abstractNumId w:val="1690"/>
  </w:num>
  <w:num w:numId="1692">
    <w:abstractNumId w:val="1691"/>
  </w:num>
  <w:num w:numId="1693">
    <w:abstractNumId w:val="1692"/>
  </w:num>
  <w:num w:numId="1694">
    <w:abstractNumId w:val="1693"/>
  </w:num>
  <w:num w:numId="1695">
    <w:abstractNumId w:val="1694"/>
  </w:num>
  <w:num w:numId="1696">
    <w:abstractNumId w:val="1695"/>
  </w:num>
  <w:num w:numId="1697">
    <w:abstractNumId w:val="1696"/>
  </w:num>
  <w:num w:numId="1698">
    <w:abstractNumId w:val="1697"/>
  </w:num>
  <w:num w:numId="1699">
    <w:abstractNumId w:val="1698"/>
  </w:num>
  <w:num w:numId="1700">
    <w:abstractNumId w:val="1699"/>
  </w:num>
  <w:num w:numId="1701">
    <w:abstractNumId w:val="1700"/>
  </w:num>
  <w:num w:numId="1702">
    <w:abstractNumId w:val="1701"/>
  </w:num>
  <w:num w:numId="1703">
    <w:abstractNumId w:val="1702"/>
  </w:num>
  <w:num w:numId="1704">
    <w:abstractNumId w:val="1703"/>
  </w:num>
  <w:num w:numId="1705">
    <w:abstractNumId w:val="1704"/>
  </w:num>
  <w:num w:numId="1706">
    <w:abstractNumId w:val="1705"/>
  </w:num>
  <w:num w:numId="1707">
    <w:abstractNumId w:val="1706"/>
  </w:num>
  <w:num w:numId="1708">
    <w:abstractNumId w:val="1707"/>
  </w:num>
  <w:num w:numId="1709">
    <w:abstractNumId w:val="1708"/>
  </w:num>
  <w:num w:numId="1710">
    <w:abstractNumId w:val="1709"/>
  </w:num>
  <w:num w:numId="1711">
    <w:abstractNumId w:val="1710"/>
  </w:num>
  <w:num w:numId="1712">
    <w:abstractNumId w:val="1711"/>
  </w:num>
  <w:num w:numId="1713">
    <w:abstractNumId w:val="1712"/>
  </w:num>
  <w:num w:numId="1714">
    <w:abstractNumId w:val="1713"/>
  </w:num>
  <w:num w:numId="1715">
    <w:abstractNumId w:val="1714"/>
  </w:num>
  <w:num w:numId="1716">
    <w:abstractNumId w:val="1715"/>
  </w:num>
  <w:num w:numId="1717">
    <w:abstractNumId w:val="1716"/>
  </w:num>
  <w:num w:numId="1718">
    <w:abstractNumId w:val="1717"/>
  </w:num>
  <w:num w:numId="1719">
    <w:abstractNumId w:val="1718"/>
  </w:num>
  <w:num w:numId="1720">
    <w:abstractNumId w:val="1719"/>
  </w:num>
  <w:num w:numId="1721">
    <w:abstractNumId w:val="1720"/>
  </w:num>
  <w:num w:numId="1722">
    <w:abstractNumId w:val="1721"/>
  </w:num>
  <w:num w:numId="1723">
    <w:abstractNumId w:val="1722"/>
  </w:num>
  <w:num w:numId="1724">
    <w:abstractNumId w:val="1723"/>
  </w:num>
  <w:num w:numId="1725">
    <w:abstractNumId w:val="1724"/>
  </w:num>
  <w:num w:numId="1726">
    <w:abstractNumId w:val="1725"/>
  </w:num>
  <w:num w:numId="1727">
    <w:abstractNumId w:val="1726"/>
  </w:num>
  <w:num w:numId="1728">
    <w:abstractNumId w:val="1727"/>
  </w:num>
  <w:num w:numId="1729">
    <w:abstractNumId w:val="1728"/>
  </w:num>
  <w:num w:numId="1730">
    <w:abstractNumId w:val="1729"/>
  </w:num>
  <w:num w:numId="1731">
    <w:abstractNumId w:val="1730"/>
  </w:num>
  <w:num w:numId="1732">
    <w:abstractNumId w:val="1731"/>
  </w:num>
  <w:num w:numId="1733">
    <w:abstractNumId w:val="1732"/>
  </w:num>
  <w:num w:numId="1734">
    <w:abstractNumId w:val="1733"/>
  </w:num>
  <w:num w:numId="1735">
    <w:abstractNumId w:val="1734"/>
  </w:num>
  <w:num w:numId="1736">
    <w:abstractNumId w:val="1735"/>
  </w:num>
  <w:num w:numId="1737">
    <w:abstractNumId w:val="1736"/>
  </w:num>
  <w:num w:numId="1738">
    <w:abstractNumId w:val="1737"/>
  </w:num>
  <w:num w:numId="1739">
    <w:abstractNumId w:val="1738"/>
  </w:num>
  <w:num w:numId="1740">
    <w:abstractNumId w:val="1739"/>
  </w:num>
  <w:num w:numId="1741">
    <w:abstractNumId w:val="1740"/>
  </w:num>
  <w:num w:numId="1742">
    <w:abstractNumId w:val="1741"/>
  </w:num>
  <w:num w:numId="1743">
    <w:abstractNumId w:val="1742"/>
  </w:num>
  <w:num w:numId="1744">
    <w:abstractNumId w:val="1743"/>
  </w:num>
  <w:num w:numId="1745">
    <w:abstractNumId w:val="1744"/>
  </w:num>
  <w:num w:numId="1746">
    <w:abstractNumId w:val="1745"/>
  </w:num>
  <w:num w:numId="1747">
    <w:abstractNumId w:val="1746"/>
  </w:num>
  <w:num w:numId="1748">
    <w:abstractNumId w:val="1747"/>
  </w:num>
  <w:num w:numId="1749">
    <w:abstractNumId w:val="1748"/>
  </w:num>
  <w:num w:numId="1750">
    <w:abstractNumId w:val="1749"/>
  </w:num>
  <w:num w:numId="1751">
    <w:abstractNumId w:val="1750"/>
  </w:num>
  <w:num w:numId="1752">
    <w:abstractNumId w:val="1751"/>
  </w:num>
  <w:num w:numId="1753">
    <w:abstractNumId w:val="1752"/>
  </w:num>
  <w:num w:numId="1754">
    <w:abstractNumId w:val="1753"/>
  </w:num>
  <w:num w:numId="1755">
    <w:abstractNumId w:val="1754"/>
  </w:num>
  <w:num w:numId="1756">
    <w:abstractNumId w:val="1755"/>
  </w:num>
  <w:num w:numId="1757">
    <w:abstractNumId w:val="1756"/>
  </w:num>
  <w:num w:numId="1758">
    <w:abstractNumId w:val="1757"/>
  </w:num>
  <w:num w:numId="1759">
    <w:abstractNumId w:val="1758"/>
  </w:num>
  <w:num w:numId="1760">
    <w:abstractNumId w:val="1759"/>
  </w:num>
  <w:num w:numId="1761">
    <w:abstractNumId w:val="1760"/>
  </w:num>
  <w:num w:numId="1762">
    <w:abstractNumId w:val="1761"/>
  </w:num>
  <w:num w:numId="1763">
    <w:abstractNumId w:val="1762"/>
  </w:num>
  <w:num w:numId="1764">
    <w:abstractNumId w:val="1763"/>
  </w:num>
  <w:num w:numId="1765">
    <w:abstractNumId w:val="1764"/>
  </w:num>
  <w:num w:numId="1766">
    <w:abstractNumId w:val="1765"/>
  </w:num>
  <w:num w:numId="1767">
    <w:abstractNumId w:val="1766"/>
  </w:num>
  <w:num w:numId="1768">
    <w:abstractNumId w:val="1767"/>
  </w:num>
  <w:num w:numId="1769">
    <w:abstractNumId w:val="1768"/>
  </w:num>
  <w:num w:numId="1770">
    <w:abstractNumId w:val="1769"/>
  </w:num>
  <w:num w:numId="1771">
    <w:abstractNumId w:val="1770"/>
  </w:num>
  <w:num w:numId="1772">
    <w:abstractNumId w:val="1771"/>
  </w:num>
  <w:num w:numId="1773">
    <w:abstractNumId w:val="1772"/>
  </w:num>
  <w:num w:numId="1774">
    <w:abstractNumId w:val="1773"/>
  </w:num>
  <w:num w:numId="1775">
    <w:abstractNumId w:val="1774"/>
  </w:num>
  <w:num w:numId="1776">
    <w:abstractNumId w:val="1775"/>
  </w:num>
  <w:num w:numId="1777">
    <w:abstractNumId w:val="1776"/>
  </w:num>
  <w:num w:numId="1778">
    <w:abstractNumId w:val="177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www.hhs.gov/blog/2015/01/26/progress-towards-better-care-msarter-spending-healthier-people.html" TargetMode="External" /><Relationship Id="rId100" Type="http://schemas.openxmlformats.org/officeDocument/2006/relationships/hyperlink" Target="https://www.cms.gov/Regulations-and-Guidance/Guidance/Manuals/downloads/clm104c05.pdf" TargetMode="External" /><Relationship Id="rId101" Type="http://schemas.openxmlformats.org/officeDocument/2006/relationships/hyperlink" Target="https://advance.lexis.com/api/document?collection=administrative-codes&amp;id=urn:contentItem:5GRC-DX40-006W-847T-00000-00&amp;context=" TargetMode="External" /><Relationship Id="rId102" Type="http://schemas.openxmlformats.org/officeDocument/2006/relationships/hyperlink" Target="https://advance.lexis.com/api/document?collection=administrative-codes&amp;id=urn:contentItem:41BT-ST50-006W-81G2-00000-00&amp;context=" TargetMode="External" /><Relationship Id="rId103" Type="http://schemas.openxmlformats.org/officeDocument/2006/relationships/hyperlink" Target="https://advance.lexis.com/api/document?collection=administrative-codes&amp;id=urn:contentItem:5M1B-FKX0-006W-84G7-00000-00&amp;context=" TargetMode="External" /><Relationship Id="rId104" Type="http://schemas.openxmlformats.org/officeDocument/2006/relationships/image" Target="media/image12.png" /><Relationship Id="rId105" Type="http://schemas.openxmlformats.org/officeDocument/2006/relationships/image" Target="media/image13.png" /><Relationship Id="rId106" Type="http://schemas.openxmlformats.org/officeDocument/2006/relationships/hyperlink" Target="http://kff.org/medicare/issue-brief/an-overview-of-medicare" TargetMode="External" /><Relationship Id="rId107" Type="http://schemas.openxmlformats.org/officeDocument/2006/relationships/hyperlink" Target="https://advance.lexis.com/api/document?collection=administrative-codes&amp;id=urn:contentItem:5H2Y-0Y00-006W-83J2-00000-00&amp;context=" TargetMode="External" /><Relationship Id="rId108" Type="http://schemas.openxmlformats.org/officeDocument/2006/relationships/hyperlink" Target="https://advance.lexis.com/api/document?collection=administrative-codes&amp;id=urn:contentItem:5DKG-59V0-006W-84FN-00000-00&amp;context=" TargetMode="External" /><Relationship Id="rId109" Type="http://schemas.openxmlformats.org/officeDocument/2006/relationships/hyperlink" Target="https://advance.lexis.com/api/document?collection=administrative-codes&amp;id=urn:contentItem:5M5S-DW80-006W-81H2-00000-00&amp;context=" TargetMode="External" /><Relationship Id="rId11" Type="http://schemas.openxmlformats.org/officeDocument/2006/relationships/hyperlink" Target="https://advance.lexis.com/api/document?collection=administrative-codes&amp;id=urn:contentItem:545C-SJV0-006W-84K2-00000-00&amp;context=" TargetMode="External" /><Relationship Id="rId110" Type="http://schemas.openxmlformats.org/officeDocument/2006/relationships/hyperlink" Target="http://www.cms.gov/Medicare/Medicare-General-information/telehealth/" TargetMode="External" /><Relationship Id="rId111" Type="http://schemas.openxmlformats.org/officeDocument/2006/relationships/hyperlink" Target="http://www.ic4n.org/wp-content/uploads/2014/06/IoM-Telehealth-2012-Workshop-Summary.pdf" TargetMode="External" /><Relationship Id="rId112" Type="http://schemas.openxmlformats.org/officeDocument/2006/relationships/hyperlink" Target="http://www.medicare.gov/NursingHomeCompare/" TargetMode="External" /><Relationship Id="rId113" Type="http://schemas.openxmlformats.org/officeDocument/2006/relationships/hyperlink" Target="http://www.ncbi.nlm.nih.gov/pubmed/19817664" TargetMode="External" /><Relationship Id="rId114" Type="http://schemas.openxmlformats.org/officeDocument/2006/relationships/hyperlink" Target="https://www.cms.gov/Regulations-and-Guidance/Guidance/Manuals/Downloads/clm104c30.pdf" TargetMode="External" /><Relationship Id="rId115" Type="http://schemas.openxmlformats.org/officeDocument/2006/relationships/hyperlink" Target="https://www.medicare.gov/Pubs/pdf/10153.pdf" TargetMode="External" /><Relationship Id="rId116" Type="http://schemas.openxmlformats.org/officeDocument/2006/relationships/hyperlink" Target="https://www.cms.gov/Regulations-and-Guidance/Guidance/Manuals/downloads/bp102c08.odf" TargetMode="External" /><Relationship Id="rId117" Type="http://schemas.openxmlformats.org/officeDocument/2006/relationships/hyperlink" Target="https://advance.lexis.com/api/document?collection=administrative-codes&amp;id=urn:contentItem:5G5T-JV00-006W-810C-00000-00&amp;context=" TargetMode="External" /><Relationship Id="rId118" Type="http://schemas.openxmlformats.org/officeDocument/2006/relationships/hyperlink" Target="http://innovation.cms.gov/Files/fact-sheet/Pioneer-ACO-Model-Beneficiaries-Rights-Fact-Sheet.pdf" TargetMode="External" /><Relationship Id="rId119" Type="http://schemas.openxmlformats.org/officeDocument/2006/relationships/hyperlink" Target="https://advance.lexis.com/api/document?collection=administrative-codes&amp;id=urn:contentItem:5K5V-3CM0-006W-82GH-00000-00&amp;context=" TargetMode="External" /><Relationship Id="rId12" Type="http://schemas.openxmlformats.org/officeDocument/2006/relationships/hyperlink" Target="http://innovation.cms.gov/initiatives/Oncology-Care/" TargetMode="External" /><Relationship Id="rId120" Type="http://schemas.openxmlformats.org/officeDocument/2006/relationships/hyperlink" Target="http://www.resdac.org/cms-data/request/cms-data-request-center" TargetMode="External" /><Relationship Id="rId121" Type="http://schemas.openxmlformats.org/officeDocument/2006/relationships/hyperlink" Target="https://advance.lexis.com/api/document?collection=administrative-codes&amp;id=urn:contentItem:5S7T-7JH0-008H-034F-00000-00&amp;context=" TargetMode="External" /><Relationship Id="rId122" Type="http://schemas.openxmlformats.org/officeDocument/2006/relationships/hyperlink" Target="https://advance.lexis.com/api/document?collection=administrative-codes&amp;id=urn:contentItem:5S7T-7HY0-008H-04CG-00000-00&amp;context=" TargetMode="External" /><Relationship Id="rId123" Type="http://schemas.openxmlformats.org/officeDocument/2006/relationships/hyperlink" Target="https://advance.lexis.com/api/document?collection=administrative-codes&amp;id=urn:contentItem:5S7T-7JB0-008H-020P-00000-00&amp;context=" TargetMode="External" /><Relationship Id="rId124" Type="http://schemas.openxmlformats.org/officeDocument/2006/relationships/hyperlink" Target="https://advance.lexis.com/api/document?collection=administrative-codes&amp;id=urn:contentItem:5S7T-7HY0-008H-04CF-00000-00&amp;context=" TargetMode="External" /><Relationship Id="rId125" Type="http://schemas.openxmlformats.org/officeDocument/2006/relationships/hyperlink" Target="https://www.cms.gov/Medicare/Medicare-Fee-for-Service-Payment/PhysicianFeedbackProgram/Obtain-2013-QRUR.html" TargetMode="External" /><Relationship Id="rId126" Type="http://schemas.openxmlformats.org/officeDocument/2006/relationships/hyperlink" Target="https://advance.lexis.com/api/document?collection=administrative-codes&amp;id=urn:contentItem:5GF8-PRX0-006W-8560-00000-00&amp;context=" TargetMode="External" /><Relationship Id="rId127" Type="http://schemas.openxmlformats.org/officeDocument/2006/relationships/hyperlink" Target="https://advance.lexis.com/api/document?collection=administrative-codes&amp;id=urn:contentItem:5SJS-1750-008H-021Y-00000-00&amp;context=" TargetMode="External" /><Relationship Id="rId128" Type="http://schemas.openxmlformats.org/officeDocument/2006/relationships/hyperlink" Target="https://advance.lexis.com/api/document?collection=administrative-codes&amp;id=urn:contentItem:5SJS-1750-008H-0220-00000-00&amp;context=" TargetMode="External" /><Relationship Id="rId129" Type="http://schemas.openxmlformats.org/officeDocument/2006/relationships/image" Target="media/image14.png" /><Relationship Id="rId13" Type="http://schemas.openxmlformats.org/officeDocument/2006/relationships/hyperlink" Target="http://innovation.cms.gov/initiatives/ACE/" TargetMode="External" /><Relationship Id="rId130" Type="http://schemas.openxmlformats.org/officeDocument/2006/relationships/image" Target="media/image15.png" /><Relationship Id="rId131" Type="http://schemas.openxmlformats.org/officeDocument/2006/relationships/hyperlink" Target="https://advance.lexis.com/api/document?collection=administrative-codes&amp;id=urn:contentItem:5RKF-XC60-008H-0401-00000-00&amp;context=" TargetMode="External" /><Relationship Id="rId132" Type="http://schemas.openxmlformats.org/officeDocument/2006/relationships/hyperlink" Target="https://www.cms.gov/Regulations-and-Guidance/Guidance/Manuals/downloads/bp102c08.pdf" TargetMode="External" /><Relationship Id="rId133" Type="http://schemas.openxmlformats.org/officeDocument/2006/relationships/hyperlink" Target="https://www.medicare.gov/coverage/cardiac-rehab-programs.html" TargetMode="External" /><Relationship Id="rId134" Type="http://schemas.openxmlformats.org/officeDocument/2006/relationships/hyperlink" Target="https://advance.lexis.com/api/document?collection=administrative-codes&amp;id=urn:contentItem:5S1D-40P0-008H-026F-00000-00&amp;context=" TargetMode="External" /><Relationship Id="rId135" Type="http://schemas.openxmlformats.org/officeDocument/2006/relationships/hyperlink" Target="https://www.cms.gov/Medicare/Medicare-General-Information/MedicareApprovedFacilitie/ICR.html" TargetMode="External" /><Relationship Id="rId136" Type="http://schemas.openxmlformats.org/officeDocument/2006/relationships/hyperlink" Target="https://advance.lexis.com/api/document?collection=administrative-codes&amp;id=urn:contentItem:4XSN-02R0-006W-80B7-00000-00&amp;context=" TargetMode="External" /><Relationship Id="rId137" Type="http://schemas.openxmlformats.org/officeDocument/2006/relationships/image" Target="media/image16.png" /><Relationship Id="rId138" Type="http://schemas.openxmlformats.org/officeDocument/2006/relationships/image" Target="media/image17.png" /><Relationship Id="rId139" Type="http://schemas.openxmlformats.org/officeDocument/2006/relationships/hyperlink" Target="http://www.rand.org/pubs/research_reports/RR306.html" TargetMode="External" /><Relationship Id="rId14" Type="http://schemas.openxmlformats.org/officeDocument/2006/relationships/hyperlink" Target="http://innovation.cms.gov/initiatives/BPCI-Model-2/" TargetMode="External" /><Relationship Id="rId140" Type="http://schemas.openxmlformats.org/officeDocument/2006/relationships/hyperlink" Target="https://advance.lexis.com/api/document?collection=statutes-legislation&amp;id=urn:contentItem:5CD7-HSK0-01XN-S228-00000-00&amp;context=" TargetMode="External" /><Relationship Id="rId141" Type="http://schemas.openxmlformats.org/officeDocument/2006/relationships/hyperlink" Target="https://advance.lexis.com/api/document?collection=statutes-legislation&amp;id=urn:contentItem:4YF7-GTB1-NRF4-40PP-00000-00&amp;context=" TargetMode="External" /><Relationship Id="rId142" Type="http://schemas.openxmlformats.org/officeDocument/2006/relationships/hyperlink" Target="http://www.sba.gov/content/smallbusiness-size-standards" TargetMode="External" /><Relationship Id="rId143" Type="http://schemas.openxmlformats.org/officeDocument/2006/relationships/hyperlink" Target="http://www.whitehouse.gov/omb/circulars_a004_a-4" TargetMode="External" /><Relationship Id="rId144" Type="http://schemas.openxmlformats.org/officeDocument/2006/relationships/hyperlink" Target="https://advance.lexis.com/api/document?collection=statutes-legislation&amp;id=urn:contentItem:4YF7-GM31-NRF4-40JV-00000-00&amp;context=" TargetMode="External" /><Relationship Id="rId145" Type="http://schemas.openxmlformats.org/officeDocument/2006/relationships/hyperlink" Target="https://advance.lexis.com/api/document?collection=statutes-legislation&amp;id=urn:contentItem:4YF7-GJG1-NRF4-40HP-00000-00&amp;context=" TargetMode="External" /><Relationship Id="rId146" Type="http://schemas.openxmlformats.org/officeDocument/2006/relationships/hyperlink" Target="https://advance.lexis.com/api/document?collection=statutes-legislation&amp;id=urn:contentItem:4YF7-GKD1-NRF4-453S-00000-00&amp;context=" TargetMode="External" /><Relationship Id="rId147" Type="http://schemas.openxmlformats.org/officeDocument/2006/relationships/hyperlink" Target="https://advance.lexis.com/api/document?collection=administrative-codes&amp;id=urn:contentItem:5J86-9SR0-008H-02TK-00000-00&amp;context=" TargetMode="External" /><Relationship Id="rId148" Type="http://schemas.openxmlformats.org/officeDocument/2006/relationships/hyperlink" Target="mailto:EPMRULE@cms.hhs.gov" TargetMode="External" /><Relationship Id="rId149" Type="http://schemas.openxmlformats.org/officeDocument/2006/relationships/numbering" Target="numbering.xml" /><Relationship Id="rId15" Type="http://schemas.openxmlformats.org/officeDocument/2006/relationships/hyperlink" Target="https://advance.lexis.com/api/document?collection=administrative-codes&amp;id=urn:contentItem:5M3D-MP10-006W-80MT-00000-00&amp;context=" TargetMode="External" /><Relationship Id="rId150" Type="http://schemas.openxmlformats.org/officeDocument/2006/relationships/styles" Target="styles.xml" /><Relationship Id="rId16" Type="http://schemas.openxmlformats.org/officeDocument/2006/relationships/hyperlink" Target="https://advance.lexis.com/api/document?collection=administrative-codes&amp;id=urn:contentItem:5SJB-2W30-008H-048G-00000-00&amp;context=" TargetMode="External" /><Relationship Id="rId17" Type="http://schemas.openxmlformats.org/officeDocument/2006/relationships/hyperlink" Target="https://advance.lexis.com/api/document?collection=administrative-codes&amp;id=urn:contentItem:51FY-MTV0-00H6-R1RT-00000-00&amp;context=" TargetMode="External" /><Relationship Id="rId18" Type="http://schemas.openxmlformats.org/officeDocument/2006/relationships/hyperlink" Target="https://advance.lexis.com/api/document?collection=administrative-codes&amp;id=urn:contentItem:50J9-R8K0-0121-00D1-00000-00&amp;context=" TargetMode="External" /><Relationship Id="rId19" Type="http://schemas.openxmlformats.org/officeDocument/2006/relationships/hyperlink" Target="https://innovation.cms.gov/initiatives/bundled-payments/" TargetMode="External" /><Relationship Id="rId2" Type="http://schemas.openxmlformats.org/officeDocument/2006/relationships/webSettings" Target="webSettings.xml" /><Relationship Id="rId20" Type="http://schemas.openxmlformats.org/officeDocument/2006/relationships/hyperlink" Target="https://innovation.cms.gov/Files/x/bpcianalyticfile.xlsx" TargetMode="External" /><Relationship Id="rId21" Type="http://schemas.openxmlformats.org/officeDocument/2006/relationships/hyperlink" Target="https://advance.lexis.com/api/document?collection=administrative-codes&amp;id=urn:contentItem:5HFM-V8J0-006W-83WD-00000-00&amp;context=" TargetMode="External" /><Relationship Id="rId22" Type="http://schemas.openxmlformats.org/officeDocument/2006/relationships/hyperlink" Target="http://www.hhs.gov/blog/2015/01/26/progress-towards-better-care-smarter-spending-healthier-people.html" TargetMode="External" /><Relationship Id="rId23" Type="http://schemas.openxmlformats.org/officeDocument/2006/relationships/hyperlink" Target="http://orthoinfo.aaos.org" TargetMode="External" /><Relationship Id="rId24" Type="http://schemas.openxmlformats.org/officeDocument/2006/relationships/hyperlink" Target="https://innovation.cms.gov/initiatives/Million-Hearts-CVDRRM/" TargetMode="External" /><Relationship Id="rId25" Type="http://schemas.openxmlformats.org/officeDocument/2006/relationships/hyperlink" Target="https://advance.lexis.com/api/document?collection=administrative-codes&amp;id=urn:contentItem:5JR6-TD50-006W-8163-00000-00&amp;context=" TargetMode="External" /><Relationship Id="rId26" Type="http://schemas.openxmlformats.org/officeDocument/2006/relationships/hyperlink" Target="https://innovation.cms.gov/Share-Your-Ideas/Submit/index.html" TargetMode="External" /><Relationship Id="rId27" Type="http://schemas.openxmlformats.org/officeDocument/2006/relationships/hyperlink" Target="https://www.medicaid.gov/federal-policy-guidance/downloads/SMD16003.pdf" TargetMode="External" /><Relationship Id="rId28" Type="http://schemas.openxmlformats.org/officeDocument/2006/relationships/hyperlink" Target="mailto:epm@cms.hhs.gov" TargetMode="External" /><Relationship Id="rId29" Type="http://schemas.openxmlformats.org/officeDocument/2006/relationships/hyperlink" Target="http://innovation.cms.gov/initiatives/epm" TargetMode="External" /><Relationship Id="rId3" Type="http://schemas.openxmlformats.org/officeDocument/2006/relationships/fontTable" Target="fontTable.xml" /><Relationship Id="rId30" Type="http://schemas.openxmlformats.org/officeDocument/2006/relationships/hyperlink" Target="http://support.sas.com/documentation/cdl/en/statug/63033/HTML/default/viewer.htm#statug_surveyselect_sect003.htm/" TargetMode="External" /><Relationship Id="rId31" Type="http://schemas.openxmlformats.org/officeDocument/2006/relationships/hyperlink" Target="https://innovation.cms.gov/initiatives/epm/" TargetMode="External" /><Relationship Id="rId32" Type="http://schemas.openxmlformats.org/officeDocument/2006/relationships/hyperlink" Target="https://www.cms.gov/Medicare/Medicare-Fee-for-Service-Payment/HospitalOutpatientPPS/Hospital-Outpatient-Regulations-and-Notices-Items/CMS-1656-FC.html" TargetMode="External" /><Relationship Id="rId33" Type="http://schemas.openxmlformats.org/officeDocument/2006/relationships/hyperlink" Target="https://www.cms.gov/Medicare/Medicare-Fee-for-Service-Payment/AcuteInpatientPPS/FY2016-IPPS-Final-Rule-Home-Page-Items/FY2016-IPPS-Final-Rule-Data-Files.html" TargetMode="External" /><Relationship Id="rId34" Type="http://schemas.openxmlformats.org/officeDocument/2006/relationships/hyperlink" Target="http://www.cdc.gov/nchs/data/icd/icd10cm_guidelines_2014.pdf" TargetMode="External" /><Relationship Id="rId35" Type="http://schemas.openxmlformats.org/officeDocument/2006/relationships/hyperlink" Target="https://advance.lexis.com/api/document?collection=administrative-codes&amp;id=urn:contentItem:5GPH-H7W0-006W-83P1-00000-00&amp;context=" TargetMode="External" /><Relationship Id="rId36" Type="http://schemas.openxmlformats.org/officeDocument/2006/relationships/hyperlink" Target="https://innovation.cms.gov/initiatives/epm" TargetMode="External" /><Relationship Id="rId37" Type="http://schemas.openxmlformats.org/officeDocument/2006/relationships/hyperlink" Target="https://www.ncbi.nlm.nih.gov/books/NBK37817/" TargetMode="External" /><Relationship Id="rId38" Type="http://schemas.openxmlformats.org/officeDocument/2006/relationships/hyperlink" Target="https://advance.lexis.com/api/document?collection=administrative-codes&amp;id=urn:contentItem:3SD3-YY70-0011-V0F3-00000-00&amp;context=" TargetMode="External" /><Relationship Id="rId39" Type="http://schemas.openxmlformats.org/officeDocument/2006/relationships/hyperlink" Target="https://advance.lexis.com/api/document?collection=administrative-codes&amp;id=urn:contentItem:5M11-SWW0-006W-84BX-00000-00&amp;context=" TargetMode="External" /><Relationship Id="rId4" Type="http://schemas.openxmlformats.org/officeDocument/2006/relationships/header" Target="header1.xml" /><Relationship Id="rId40" Type="http://schemas.openxmlformats.org/officeDocument/2006/relationships/hyperlink" Target="https://www.cms.gov/Medicare/Quality-Initiatives-Patient-Assessment-Instruments/HospitalQualityInits/Downloads/HIQR-ICD9-to-ICD10-Tables.pdf" TargetMode="External" /><Relationship Id="rId41" Type="http://schemas.openxmlformats.org/officeDocument/2006/relationships/hyperlink" Target="https://advance.lexis.com/api/document?collection=administrative-codes&amp;id=urn:contentItem:5FVV-WFK0-006W-815V-00000-00&amp;context=" TargetMode="External" /><Relationship Id="rId42" Type="http://schemas.openxmlformats.org/officeDocument/2006/relationships/hyperlink" Target="https://www.cms.gov/Medicare/Quality-Initiatives-Patient-Assessment-Instruments/HospitalQualityInits/Measure-Methodology.html" TargetMode="External" /><Relationship Id="rId43" Type="http://schemas.openxmlformats.org/officeDocument/2006/relationships/hyperlink" Target="http://www.beckershospitalreview.com/finance/the-truth-behind-variation-in-episode-payments.html" TargetMode="External" /><Relationship Id="rId44" Type="http://schemas.openxmlformats.org/officeDocument/2006/relationships/hyperlink" Target="https://www.medicare.gov/hospitalcompare/search.html" TargetMode="External" /><Relationship Id="rId45" Type="http://schemas.openxmlformats.org/officeDocument/2006/relationships/hyperlink" Target="http://www.qualitynet.org/dcs/ContentServer?c=Page&amp;pagename=QnetPublic%2FPage%2FQnetTier4&amp;cid=1228772057350" TargetMode="External" /><Relationship Id="rId46" Type="http://schemas.openxmlformats.org/officeDocument/2006/relationships/hyperlink" Target="https://innovation.cms.gov/inititatives/epm" TargetMode="External" /><Relationship Id="rId47" Type="http://schemas.openxmlformats.org/officeDocument/2006/relationships/hyperlink" Target="https://advance.lexis.com/api/document?collection=administrative-codes&amp;id=urn:contentItem:5GPH-H7W0-006W-83P0-00000-00&amp;context=" TargetMode="External" /><Relationship Id="rId48" Type="http://schemas.openxmlformats.org/officeDocument/2006/relationships/hyperlink" Target="https://www.census.gov/geo/reference/gtc/gtc_census_divreg.html" TargetMode="External" /><Relationship Id="rId49" Type="http://schemas.openxmlformats.org/officeDocument/2006/relationships/hyperlink" Target="http://www.eia.gov/consumption/commercial/census_maps.cfm" TargetMode="External" /><Relationship Id="rId5" Type="http://schemas.openxmlformats.org/officeDocument/2006/relationships/footer" Target="footer1.xml" /><Relationship Id="rId50" Type="http://schemas.openxmlformats.org/officeDocument/2006/relationships/image" Target="media/image1.png" /><Relationship Id="rId51" Type="http://schemas.openxmlformats.org/officeDocument/2006/relationships/image" Target="media/image2.png" /><Relationship Id="rId52" Type="http://schemas.openxmlformats.org/officeDocument/2006/relationships/image" Target="media/image3.png" /><Relationship Id="rId53" Type="http://schemas.openxmlformats.org/officeDocument/2006/relationships/image" Target="media/image4.png" /><Relationship Id="rId54" Type="http://schemas.openxmlformats.org/officeDocument/2006/relationships/image" Target="media/image5.png" /><Relationship Id="rId55" Type="http://schemas.openxmlformats.org/officeDocument/2006/relationships/image" Target="media/image6.png" /><Relationship Id="rId56" Type="http://schemas.openxmlformats.org/officeDocument/2006/relationships/image" Target="media/image7.png" /><Relationship Id="rId57" Type="http://schemas.openxmlformats.org/officeDocument/2006/relationships/image" Target="media/image8.png" /><Relationship Id="rId58" Type="http://schemas.openxmlformats.org/officeDocument/2006/relationships/image" Target="media/image9.png" /><Relationship Id="rId59" Type="http://schemas.openxmlformats.org/officeDocument/2006/relationships/image" Target="media/image10.png" /><Relationship Id="rId6" Type="http://schemas.openxmlformats.org/officeDocument/2006/relationships/footer" Target="footer2.xml" /><Relationship Id="rId60" Type="http://schemas.openxmlformats.org/officeDocument/2006/relationships/image" Target="media/image11.png" /><Relationship Id="rId61" Type="http://schemas.openxmlformats.org/officeDocument/2006/relationships/hyperlink" Target="https://advance.lexis.com/api/document?collection=statutes-legislation&amp;id=urn:contentItem:5CDM-HXT0-01XN-S15K-00000-00&amp;context=" TargetMode="External" /><Relationship Id="rId62" Type="http://schemas.openxmlformats.org/officeDocument/2006/relationships/hyperlink" Target="http://www.ncbi.nlm.nih.gov/pubmed/27075832" TargetMode="External" /><Relationship Id="rId63" Type="http://schemas.openxmlformats.org/officeDocument/2006/relationships/hyperlink" Target="http://www.ncbi.nlm.nih.gov/pubmed/25875195" TargetMode="External" /><Relationship Id="rId64" Type="http://schemas.openxmlformats.org/officeDocument/2006/relationships/hyperlink" Target="https://innovation.cms.gov/Files/x/cjr-pbpmexclusions.xlsx" TargetMode="External" /><Relationship Id="rId65" Type="http://schemas.openxmlformats.org/officeDocument/2006/relationships/hyperlink" Target="https://advance.lexis.com/api/document?collection=administrative-codes&amp;id=urn:contentItem:5J22-RB40-006W-8127-00000-00&amp;context=" TargetMode="External" /><Relationship Id="rId66" Type="http://schemas.openxmlformats.org/officeDocument/2006/relationships/hyperlink" Target="https://advance.lexis.com/api/document?collection=administrative-codes&amp;id=urn:contentItem:5F87-5G30-006W-82F4-00000-00&amp;context=" TargetMode="External" /><Relationship Id="rId67" Type="http://schemas.openxmlformats.org/officeDocument/2006/relationships/hyperlink" Target="https://advance.lexis.com/api/document?collection=administrative-codes&amp;id=urn:contentItem:5CYT-69P0-006W-81BJ-00000-00&amp;context=" TargetMode="External" /><Relationship Id="rId68" Type="http://schemas.openxmlformats.org/officeDocument/2006/relationships/hyperlink" Target="http://hcupnet.ahrq.gov/" TargetMode="External" /><Relationship Id="rId69" Type="http://schemas.openxmlformats.org/officeDocument/2006/relationships/hyperlink" Target="https://advance.lexis.com/api/document?collection=administrative-codes&amp;id=urn:contentItem:52T1-3TG0-006W-835Y-00000-00&amp;context=" TargetMode="External" /><Relationship Id="rId7" Type="http://schemas.openxmlformats.org/officeDocument/2006/relationships/hyperlink" Target="https://advance.lexis.com/api/document?collection=administrative-codes&amp;id=urn:contentItem:5MJ6-DY90-006W-81SX-00000-00&amp;context=" TargetMode="External" /><Relationship Id="rId70" Type="http://schemas.openxmlformats.org/officeDocument/2006/relationships/hyperlink" Target="http://cms.gov/Medicare/Quality-Initiatives-Patient-Assessment-Instruments/HospitalQualityInits/Measure-Methodology.html" TargetMode="External" /><Relationship Id="rId71" Type="http://schemas.openxmlformats.org/officeDocument/2006/relationships/hyperlink" Target="https://www.qualitynet.org/dcs/ContentServer?c=Page&amp;pagename=QnetPublic%2FPage%2FQnetTier4&amp;cid=1219069856694" TargetMode="External" /><Relationship Id="rId72" Type="http://schemas.openxmlformats.org/officeDocument/2006/relationships/hyperlink" Target="https://advance.lexis.com/api/document?collection=administrative-codes&amp;id=urn:contentItem:4TY9-STD0-006W-80YC-00000-00&amp;context=" TargetMode="External" /><Relationship Id="rId73" Type="http://schemas.openxmlformats.org/officeDocument/2006/relationships/hyperlink" Target="http://www.cms.gov/Medicare/Quality-Initiatives-Patient-Assessment-Instruments/HospitalQualityInits/Downloads/-Medicare-Hospital-Quality-Chartbook-2013.pdf" TargetMode="External" /><Relationship Id="rId74" Type="http://schemas.openxmlformats.org/officeDocument/2006/relationships/hyperlink" Target="http://www.qualityforum.org/SES_Trial_Period.aspx" TargetMode="External" /><Relationship Id="rId75" Type="http://schemas.openxmlformats.org/officeDocument/2006/relationships/hyperlink" Target="http://www.qualityforum.org/ProjectMaterials.aspx?projectID=75367" TargetMode="External" /><Relationship Id="rId76" Type="http://schemas.openxmlformats.org/officeDocument/2006/relationships/hyperlink" Target="https://advance.lexis.com/api/document?collection=administrative-codes&amp;id=urn:contentItem:56GV-SP50-006W-822S-00000-00&amp;context=" TargetMode="External" /><Relationship Id="rId77" Type="http://schemas.openxmlformats.org/officeDocument/2006/relationships/hyperlink" Target="https://advance.lexis.com/api/document?collection=administrative-codes&amp;id=urn:contentItem:5H5B-72Y0-006W-851S-00000-00&amp;context=" TargetMode="External" /><Relationship Id="rId78" Type="http://schemas.openxmlformats.org/officeDocument/2006/relationships/hyperlink" Target="https://advance.lexis.com/api/document?collection=administrative-codes&amp;id=urn:contentItem:5FW9-2MY0-006W-81M9-00000-00&amp;context=" TargetMode="External" /><Relationship Id="rId79" Type="http://schemas.openxmlformats.org/officeDocument/2006/relationships/hyperlink" Target="http://www.qualityforum.org/SES_Trial_" TargetMode="External" /><Relationship Id="rId8" Type="http://schemas.openxmlformats.org/officeDocument/2006/relationships/hyperlink" Target="http://www.gpo.gov/fdsys/" TargetMode="External" /><Relationship Id="rId80" Type="http://schemas.openxmlformats.org/officeDocument/2006/relationships/hyperlink" Target="http://www.sts.org/sts-public-reporting-online/cabg-composite-score" TargetMode="External" /><Relationship Id="rId81" Type="http://schemas.openxmlformats.org/officeDocument/2006/relationships/hyperlink" Target="http://www.cms.gov/Medicare/Quality-Initiatives-Patient-Assessment-Instruments/HospitalQualityInits/Measure-Methodology.html" TargetMode="External" /><Relationship Id="rId82" Type="http://schemas.openxmlformats.org/officeDocument/2006/relationships/hyperlink" Target="http://www.qualityforum.org/Publications/2012/02/MAP_Pre-Rulemaking_Report__Input_on_Measures_Under_Consideration_by_HHS_for_2012_Rulemaking.aspx" TargetMode="External" /><Relationship Id="rId83" Type="http://schemas.openxmlformats.org/officeDocument/2006/relationships/hyperlink" Target="https://advance.lexis.com/api/document?collection=administrative-codes&amp;id=urn:contentItem:56G1-CG00-006W-81X8-00000-00&amp;context=" TargetMode="External" /><Relationship Id="rId84" Type="http://schemas.openxmlformats.org/officeDocument/2006/relationships/hyperlink" Target="https://www.qualitynet.org/dcs/ContentServer?c=Page&amp;pagename=QnetPublic%2FPage%2FQnetTier4&amp;cid=1228772782693" TargetMode="External" /><Relationship Id="rId85" Type="http://schemas.openxmlformats.org/officeDocument/2006/relationships/hyperlink" Target="http://cms.gov/Regulations-and-Guidance/Legislation/EHRIncentivePrograms/Downloads/eCQM_2014_EP_June2015.zip" TargetMode="External" /><Relationship Id="rId86" Type="http://schemas.openxmlformats.org/officeDocument/2006/relationships/hyperlink" Target="http://www.cms.gov/Medicare/Quality-Initiatives-Patient-Assessment-Instruments/HospitalQualityInits/Downloads/Statistical-Issues-in-Assessing-Hospital-Performance.pdf" TargetMode="External" /><Relationship Id="rId87" Type="http://schemas.openxmlformats.org/officeDocument/2006/relationships/hyperlink" Target="http://www.hcahpsonline.org" TargetMode="External" /><Relationship Id="rId88" Type="http://schemas.openxmlformats.org/officeDocument/2006/relationships/hyperlink" Target="http://www.hcahpsonline.org/qaguidelines.aspx" TargetMode="External" /><Relationship Id="rId89" Type="http://schemas.openxmlformats.org/officeDocument/2006/relationships/hyperlink" Target="http://www.hcahpsonline.org/modeadjustment.aspx" TargetMode="External" /><Relationship Id="rId9" Type="http://schemas.openxmlformats.org/officeDocument/2006/relationships/hyperlink" Target="https://advance.lexis.com/api/document?collection=administrative-codes&amp;id=urn:contentItem:5KCC-BWR0-006W-802V-00000-00&amp;context=" TargetMode="External" /><Relationship Id="rId90" Type="http://schemas.openxmlformats.org/officeDocument/2006/relationships/hyperlink" Target="https://data.medicare.gov/data/hospital-compare?sort=relevance&amp;tag=patient%20survey%20results" TargetMode="External" /><Relationship Id="rId91" Type="http://schemas.openxmlformats.org/officeDocument/2006/relationships/hyperlink" Target="http://www.hcahpsonline.org/StarRatings.aspx" TargetMode="External" /><Relationship Id="rId92" Type="http://schemas.openxmlformats.org/officeDocument/2006/relationships/hyperlink" Target="http://www.hcahpsonline.org/files/HCAHPS_Stars_Tech_Notes_Apr2015.pdf" TargetMode="External" /><Relationship Id="rId93" Type="http://schemas.openxmlformats.org/officeDocument/2006/relationships/hyperlink" Target="http://www.hcahpsonline.org/SummaryAnalyses.aspx" TargetMode="External" /><Relationship Id="rId94" Type="http://schemas.openxmlformats.org/officeDocument/2006/relationships/hyperlink" Target="http://www.hospitalcompare.hhs.gov" TargetMode="External" /><Relationship Id="rId95" Type="http://schemas.openxmlformats.org/officeDocument/2006/relationships/hyperlink" Target="http://www.qualityreportingcenter.com/wpcontent/uploads/2015/07/IQR_FY-2017_Hospital-IQR-Program-ReferenceChecklist_Tool_7.21.2015_FINAL508.pdf" TargetMode="External" /><Relationship Id="rId96" Type="http://schemas.openxmlformats.org/officeDocument/2006/relationships/hyperlink" Target="http://www.hospitalcompare.hhs.gov/" TargetMode="External" /><Relationship Id="rId97" Type="http://schemas.openxmlformats.org/officeDocument/2006/relationships/hyperlink" Target="https://advance.lexis.com/api/document?collection=administrative-codes&amp;id=urn:contentItem:5958-GRH0-006W-83G6-00000-00&amp;context=" TargetMode="External" /><Relationship Id="rId98" Type="http://schemas.openxmlformats.org/officeDocument/2006/relationships/hyperlink" Target="https://www.cms.gov/Medicare/Fraud-and-Abuse/PhysicianSelfReferral/Fraud-and-Abuse-Waivers.html" TargetMode="External" /><Relationship Id="rId99" Type="http://schemas.openxmlformats.org/officeDocument/2006/relationships/hyperlink" Target="mailto:cjr@cms.hhs.gov"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 v. Ojezua</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71338759</vt:lpwstr>
  </property>
  <property fmtid="{D5CDD505-2E9C-101B-9397-08002B2CF9AE}" pid="3" name="LADocCount">
    <vt:lpwstr>1</vt:lpwstr>
  </property>
  <property fmtid="{D5CDD505-2E9C-101B-9397-08002B2CF9AE}" pid="4" name="UserPermID">
    <vt:lpwstr>urn:user:PA185916758</vt:lpwstr>
  </property>
</Properties>
</file>