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18747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076, Friday, April 21,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18747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April 21,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Educational Technology, Media, and Materials for Individuals With Disabilities--Stepping-Up Technology Implementation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Education is issuing a notice inviting applications for new awards for fiscal year (FY) 2017 for Educational Technology, Media, and Materials for Individuals with Disabilities--Stepping-up Technology Implementation, Catalog of Federal </w:t>
      </w:r>
      <w:r>
        <w:rPr>
          <w:rFonts w:ascii="arial" w:eastAsia="arial" w:hAnsi="arial" w:cs="arial"/>
          <w:b/>
          <w:i w:val="0"/>
          <w:strike w:val="0"/>
          <w:noProof w:val="0"/>
          <w:color w:val="000000"/>
          <w:position w:val="0"/>
          <w:sz w:val="20"/>
          <w:u w:val="none"/>
          <w:vertAlign w:val="baseline"/>
        </w:rPr>
        <w:t> [*18748] </w:t>
      </w:r>
      <w:r>
        <w:rPr>
          <w:rFonts w:ascii="arial" w:eastAsia="arial" w:hAnsi="arial" w:cs="arial"/>
          <w:b w:val="0"/>
          <w:i w:val="0"/>
          <w:strike w:val="0"/>
          <w:noProof w:val="0"/>
          <w:color w:val="000000"/>
          <w:position w:val="0"/>
          <w:sz w:val="20"/>
          <w:u w:val="none"/>
          <w:vertAlign w:val="baseline"/>
        </w:rPr>
        <w:t xml:space="preserve"> Domestic Assistance (CFDA) Number 84.327S.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purposes of the Educational Technology, Media, and Materials for Individuals with Disabilities Program are to: (1) Improve results for students with disabilities by promoting the development, demonstration, and use of technology; (2) support educational activities designed to be of educational value in the classroom for students with disabilities; (3) provide support for captioning and video description that is appropriate for use in the classroom; and (4) provide accessible educational materials to students with disabilities in a timely manner.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Applicants should note that other laws, including the Americans with Disabilities Act of 1990 (</w:t>
      </w:r>
      <w:hyperlink r:id="rId8" w:history="1">
        <w:r>
          <w:rPr>
            <w:rFonts w:ascii="arial" w:eastAsia="arial" w:hAnsi="arial" w:cs="arial"/>
            <w:b w:val="0"/>
            <w:i/>
            <w:strike w:val="0"/>
            <w:noProof w:val="0"/>
            <w:color w:val="0077CC"/>
            <w:position w:val="0"/>
            <w:sz w:val="20"/>
            <w:u w:val="single"/>
            <w:vertAlign w:val="baseline"/>
          </w:rPr>
          <w:t>42 U.S.C. 12101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28 CFR part 35) and Section 504 of the Rehabilitation Act of 1973 (</w:t>
      </w:r>
      <w:hyperlink r:id="rId9" w:history="1">
        <w:r>
          <w:rPr>
            <w:rFonts w:ascii="arial" w:eastAsia="arial" w:hAnsi="arial" w:cs="arial"/>
            <w:b w:val="0"/>
            <w:i/>
            <w:strike w:val="0"/>
            <w:noProof w:val="0"/>
            <w:color w:val="0077CC"/>
            <w:position w:val="0"/>
            <w:sz w:val="20"/>
            <w:u w:val="single"/>
            <w:vertAlign w:val="baseline"/>
          </w:rPr>
          <w:t>29 U.S.C. 794</w:t>
        </w:r>
      </w:hyperlink>
      <w:r>
        <w:rPr>
          <w:rFonts w:ascii="arial" w:eastAsia="arial" w:hAnsi="arial" w:cs="arial"/>
          <w:b w:val="0"/>
          <w:i w:val="0"/>
          <w:strike w:val="0"/>
          <w:noProof w:val="0"/>
          <w:color w:val="000000"/>
          <w:position w:val="0"/>
          <w:sz w:val="20"/>
          <w:u w:val="none"/>
          <w:vertAlign w:val="baseline"/>
        </w:rPr>
        <w:t xml:space="preserve">; 34 CFR part 104), may require that State educational agencies (SEAs) and local educational agencies (LEAs) provide captioning, video description, and other accessible educational materials to students with disabilities when such materials are necessary to provide students with disabilities with equally integrated and equally effective access to the benefits of the educational program or activity, or as part of a "free appropriate public education" as defined in the Department of Education's Section 504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w:t>
      </w:r>
      <w:hyperlink r:id="rId10" w:history="1">
        <w:r>
          <w:rPr>
            <w:rFonts w:ascii="arial" w:eastAsia="arial" w:hAnsi="arial" w:cs="arial"/>
            <w:b w:val="0"/>
            <w:i/>
            <w:strike w:val="0"/>
            <w:noProof w:val="0"/>
            <w:color w:val="0077CC"/>
            <w:position w:val="0"/>
            <w:sz w:val="20"/>
            <w:u w:val="single"/>
            <w:vertAlign w:val="baseline"/>
          </w:rPr>
          <w:t>34 CFR 75.105(b)(2)(v)</w:t>
        </w:r>
      </w:hyperlink>
      <w:r>
        <w:rPr>
          <w:rFonts w:ascii="arial" w:eastAsia="arial" w:hAnsi="arial" w:cs="arial"/>
          <w:b w:val="0"/>
          <w:i w:val="0"/>
          <w:strike w:val="0"/>
          <w:noProof w:val="0"/>
          <w:color w:val="000000"/>
          <w:position w:val="0"/>
          <w:sz w:val="20"/>
          <w:u w:val="none"/>
          <w:vertAlign w:val="baseline"/>
        </w:rPr>
        <w:t xml:space="preserve">, this priority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within this priority are from allowable activities specified in the statute (see sections 674(c)(1)(D) and 681(d) of the Individuals with Disabilities Education Act (IDEA) (</w:t>
      </w:r>
      <w:hyperlink r:id="rId11" w:history="1">
        <w:r>
          <w:rPr>
            <w:rFonts w:ascii="arial" w:eastAsia="arial" w:hAnsi="arial" w:cs="arial"/>
            <w:b w:val="0"/>
            <w:i/>
            <w:strike w:val="0"/>
            <w:noProof w:val="0"/>
            <w:color w:val="0077CC"/>
            <w:position w:val="0"/>
            <w:sz w:val="20"/>
            <w:u w:val="single"/>
            <w:vertAlign w:val="baseline"/>
          </w:rPr>
          <w:t>20 U.S.C. 1474(c)(1)(D)</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1481(d)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absolute priority. Under </w:t>
      </w:r>
      <w:hyperlink r:id="rId10"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we consider only applications that meet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Stepping-up Technology Implementation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purpose of this priority is to fund cooperative agreements to:</w:t>
      </w:r>
      <w:r>
        <w:rPr>
          <w:rFonts w:ascii="arial" w:eastAsia="arial" w:hAnsi="arial" w:cs="arial"/>
          <w:b w:val="0"/>
          <w:i w:val="0"/>
          <w:strike w:val="0"/>
          <w:noProof w:val="0"/>
          <w:color w:val="000000"/>
          <w:position w:val="0"/>
          <w:sz w:val="20"/>
          <w:u w:val="none"/>
          <w:vertAlign w:val="baseline"/>
        </w:rPr>
        <w:t xml:space="preserve"> identify strategies needed to effectively implement research-based technology tools n2 that benefit students with disabilities, and develop and disseminate products n3 that will help a broad range of schools to effectively implement these technology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For the purposes of this priority, "technology tools" may include, but are not limited to, digital math text readers for students with visual impairments, reading software to improve literacy and communication development, and text-to-speech software to improve reading performance. These tools must assist or otherwise benefit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For the purposes of this priority, "products" may include, but are not limited to, instruction manuals, lesson plans, demonstration videos, ancillary instructional materials, and professional development modules such as collaborative groups, coaching, mentoring, or online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recognized in IDEA that "almost 30 years of research and experience has demonstrated that the education of children with disabilities can be made more effective by . . . supporting the development and use of technology, including assistive technology devices and assistive technology services, to maximize accessibility for children with disabilities" (section 601(c)(5)(H)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Technology can be the great equalizer in a classroom for students with disabilities. The use of technology, including assistive technology devices and assistive technology services, enhances instruction and access to the general education curriculum. Innovative technology tools, programs, and software can be used to promote engagement and enhance the learning experience (Brunvand &amp; Byrd, 2011). Innovative technology tools and programs are especially helpful as educators work to engage and motivate students who struggle with the general education curriculum. Additionally, the development of newer technologies for, and their presence in, early childhood education is rapidly increasing. When media-rich content is integrated into the curriculum and supported with adult guidance, technology experiences for young children are associated with better language, literacy, and mathematics outcomes. Additionally, technology integration in early childhood settings has been linked to increased social awareness and collaborative behaviors, improved abstract reasoning and problem solving abilities, and enhanced visual-motor coordination (McManis &amp; Gunnewig,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Technologies can support State educational agencies (SEAs) and local educational agencies (LEAs) by: (a) Improving student learning and engagement; (b) accommodating the special needs of students; (c) facilitating student and teacher access to digital content and resources; and (d) improving the quality of instruction through personalized learning and data (Duffey &amp; Fox, 2012; Fletcher, Schaffhauser, &amp; Levi, 2012; U.S. Department of Education, 2010). As stipulated in section 4109 of the Every Student Succeeds Act, technologies can be used to support LEAs and SEAs to increase student access to personalized, rigorous learning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Notwithstanding the potential benefits of using technology to improve learning outcomes, research suggests that implementation can be a significant challenge. For example, data from a survey of more than 1,000 kindergarten through grade 12 (K-12) teachers, principals, and assistant principals indicated that simply providing teachers with technology does not ensure that it will be used (Grunwald &amp; Associates, 2010). Additionally, Perlman and Redding (2011) found that in order to be used most effectively, technology must be implemented in ways that align with curricular and teacher goals and offer students opportunities to use these tools in their learning. Even as schools have started to deliver coursework online, and the number of students involved in online learning has grown, many of these online learning technologies have not been designed to be accessible to students with disabilities (Center on Online Learning and Students with Disabilities, 2012). These findings demonstrate a need for products and resources that can assist educators to readily implement technology tools for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this need, Stepping-up Technology Implementation projects have built on technology development efforts by identifying, developing, and disseminating products and resources that promote the effective implementation n4 of instructional and </w:t>
      </w:r>
      <w:r>
        <w:rPr>
          <w:rFonts w:ascii="arial" w:eastAsia="arial" w:hAnsi="arial" w:cs="arial"/>
          <w:b/>
          <w:i w:val="0"/>
          <w:strike w:val="0"/>
          <w:noProof w:val="0"/>
          <w:color w:val="000000"/>
          <w:position w:val="0"/>
          <w:sz w:val="20"/>
          <w:u w:val="none"/>
          <w:vertAlign w:val="baseline"/>
        </w:rPr>
        <w:t> [*18749] </w:t>
      </w:r>
      <w:r>
        <w:rPr>
          <w:rFonts w:ascii="arial" w:eastAsia="arial" w:hAnsi="arial" w:cs="arial"/>
          <w:b w:val="0"/>
          <w:i w:val="0"/>
          <w:strike w:val="0"/>
          <w:noProof w:val="0"/>
          <w:color w:val="000000"/>
          <w:position w:val="0"/>
          <w:sz w:val="20"/>
          <w:u w:val="none"/>
          <w:vertAlign w:val="baseline"/>
        </w:rPr>
        <w:t xml:space="preserve"> assistive technology tools in early childhood or K-12 settings.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In this context, "effective implementation" means "making better use of research findings in typical service settings through the use of processes and activities (such as accountable implementation teams) that are purposeful and described in sufficient detail such that independent observers can detect the presence and strength of these processes and activities" (Fixsen, Naoom, Blase, Friedman, &amp; Wallace,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For the purposes of this priority, "settings" include general education classrooms, special education classrooms, high-quality early childhood programs, or any place where school-based instruction occurs.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priority is to fund five cooperative agreements to: (a) Identify strategies needed to readily implement existing technology tools based on evidence that benefit students with disabilities; and (b) develop and disseminate products (See footnote 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instruction manuals, lesson plans, demonstration videos, ancillary instructional materials) that will assist personnel in early childhood or K-12 settings to readily use, understand, and implement these technology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considered for funding under this priority, applicants must meet the application requirements. Any project funded under this absolute priority must also meet the programmatic and administrative requirements specified in the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applicant must include in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project design supported by strong theory (as defined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logic model (as defined in this notice) or conceptual framework that depicts at a minimum, the goals, activities, project evaluation, methods, performance measures, outputs, and outcomes of the proposed project.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Web sites provide more information on logic models: </w:t>
      </w:r>
      <w:hyperlink r:id="rId13" w:history="1">
        <w:r>
          <w:rPr>
            <w:rFonts w:ascii="arial" w:eastAsia="arial" w:hAnsi="arial" w:cs="arial"/>
            <w:b w:val="0"/>
            <w:i/>
            <w:strike w:val="0"/>
            <w:noProof w:val="0"/>
            <w:color w:val="0077CC"/>
            <w:position w:val="0"/>
            <w:sz w:val="20"/>
            <w:u w:val="single"/>
            <w:vertAlign w:val="baseline"/>
          </w:rPr>
          <w:t>www.osepideasthatwork.org/logicModel</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vertAlign w:val="baseline"/>
          </w:rPr>
          <w:t>www.osepideasthatwork.org/resources-grantees/program-areas/ta-ta/tad-project-logic-model-and-conceptual-framework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A plan to implement the activities described in the </w:t>
      </w:r>
      <w:r>
        <w:rPr>
          <w:rFonts w:ascii="arial" w:eastAsia="arial" w:hAnsi="arial" w:cs="arial"/>
          <w:b w:val="0"/>
          <w:i/>
          <w:strike w:val="0"/>
          <w:noProof w:val="0"/>
          <w:color w:val="000000"/>
          <w:position w:val="0"/>
          <w:sz w:val="20"/>
          <w:u w:val="none"/>
          <w:vertAlign w:val="baseline"/>
        </w:rPr>
        <w:t>Project Activities</w:t>
      </w:r>
      <w:r>
        <w:rPr>
          <w:rFonts w:ascii="arial" w:eastAsia="arial" w:hAnsi="arial" w:cs="arial"/>
          <w:b w:val="0"/>
          <w:i w:val="0"/>
          <w:strike w:val="0"/>
          <w:noProof w:val="0"/>
          <w:color w:val="000000"/>
          <w:position w:val="0"/>
          <w:sz w:val="20"/>
          <w:u w:val="none"/>
          <w:vertAlign w:val="baseline"/>
        </w:rPr>
        <w:t xml:space="preserve"> section of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plan, linked to the proposed project's logic model, for a formative evaluation of the proposed project's activities. The plan must describe how the formative evaluation will use clear performance objectives to ensure continuous improvement in the operation of the proposed project, including objective measures of progress in implementing the project and ensuring the quality of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Documentation that the technology tool is fully developed, is based on evidence, and addresses, at a minimum, the following principles of universal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Multiple means of presentation so that students can approach information in more than one way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specialized software and Web sites, screen readers that include features such as text-to-speech, changeable color contrast, alterable text size, or selection of different reading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Multiple means of expression so that all students can demonstrate knowledge through options such as writing, online concept mapping, or speech-to-text programs, where appropriate;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Multiple means of engagement to stimulate interest in and motivation for learning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options among several different learning activities or content for a particular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or skill and providing opportunities for increased collaboration or scaffolding);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For more information on the principles of universal design, see </w:t>
      </w:r>
      <w:hyperlink r:id="rId15" w:history="1">
        <w:r>
          <w:rPr>
            <w:rFonts w:ascii="arial" w:eastAsia="arial" w:hAnsi="arial" w:cs="arial"/>
            <w:b w:val="0"/>
            <w:i/>
            <w:strike w:val="0"/>
            <w:noProof w:val="0"/>
            <w:color w:val="0077CC"/>
            <w:position w:val="0"/>
            <w:sz w:val="20"/>
            <w:u w:val="single"/>
            <w:vertAlign w:val="baseline"/>
          </w:rPr>
          <w:t>www.udlcenter.org/aboutudl/whatisudl/3principles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 plan for how the project will sustain the proposed technology tool or strategy, supported by evidence, after funding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 plan for recruiting and selecting n7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For more information on recruiting and selecting sites, refer to Assessing Sites for Model Demonstration: Lessons Learned from OSEP Grantees at </w:t>
      </w:r>
      <w:hyperlink r:id="rId16" w:history="1">
        <w:r>
          <w:rPr>
            <w:rFonts w:ascii="arial" w:eastAsia="arial" w:hAnsi="arial" w:cs="arial"/>
            <w:b w:val="0"/>
            <w:i/>
            <w:strike w:val="0"/>
            <w:noProof w:val="0"/>
            <w:color w:val="0077CC"/>
            <w:position w:val="0"/>
            <w:sz w:val="20"/>
            <w:u w:val="single"/>
            <w:vertAlign w:val="baseline"/>
          </w:rPr>
          <w:t>http://mdcc.sri.com/documents/reports/MDCC_Site_Assessment_Brief_09-30-11.pdf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Three development schools. Development schools are the sites in which iterative development n8 of the products and resources intended to support the implementation of technology tools will occur. The project must start implementing the technology tool with one development school in year one of the project period and two additional development schools in year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For the purposes of this priority, "iterative development" refers to a process of testing, systematically securing feedback, and then revising the educational intervention that leads to revisions in the intervention to increase the likelihood that it will be implemented with fidelity (Diamond &amp; Powell,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Four pilot schools. Pilot schools are the sites in which try-out, formative evaluation, and refinement of the products and resources will occur. The project must work with the four pilot schools during years three and four of the project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Ten dissemination schools. Dissemination schools will be selected if the project is extended for a fifth year. Dissemination schools will be used to (a) refine the products for use by teachers and (b) evaluate the performance of the tool. Dissemination schools will receive less technical assistance (TA) from the project than development or pilot schools. Also, at this stage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fifth year), dissemination schools will extend the benefits of the technology tool to additional students. To be selected as a dissemination school, eligible schools and LEAs must commit to working with the project to implement the research-based technology tool. A school may not serve in more than one category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development, pilot, dissemination);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School site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elementary, middle, high school or early childhood setting; persistently lowest-achieving school or high-needs school (as defined in this notice)) about the development, pilot, and dissemination schools; student demographics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race or ethnicity, percentage of students eligible for free or reduced-price lunch); and other pertinent data;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budget for attendance at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one and one-half day kick-off meeting to be held in Washington, DC, after receipt of the award, and an annual planning meeting held in Washington, DC, with the OSEP project officer and other relevant staff during each subsequent year of the project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Within 30 days of receipt of the award, a post-award teleconference must be held between the OSEP project officer and the grantee's project director or other authorized representative.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three-day project directors' conference in Washington, DC, during each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Two two-day trips annually to attend Department briefings, Department-sponsored conferences, and other meetings, as requested by OSEP.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meet the requirements of this priority, the project, at a minimum, must conduct the following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Recruit a minimum of three development schools in one LEA and four pilot schools across at least two LEAs in accordance with the plan proposed under paragraph (g) of the </w:t>
      </w: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Final site selection will be determined in consultation with the OSEP project officer following the kick-off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Identify and develop resources and products that, when used to support technology tool implementation, create accessible learning opportunities for all children, including children with disabilities, and will support the sustained implementation of the selected technology tool. Development of the products must be an iterative process beginning in a single development school and continuing through repeated cycles of development and refinement in the other development schools, followed by a </w:t>
      </w:r>
      <w:r>
        <w:rPr>
          <w:rFonts w:ascii="arial" w:eastAsia="arial" w:hAnsi="arial" w:cs="arial"/>
          <w:b/>
          <w:i w:val="0"/>
          <w:strike w:val="0"/>
          <w:noProof w:val="0"/>
          <w:color w:val="000000"/>
          <w:position w:val="0"/>
          <w:sz w:val="20"/>
          <w:u w:val="none"/>
          <w:vertAlign w:val="baseline"/>
        </w:rPr>
        <w:t> [*18750] </w:t>
      </w:r>
      <w:r>
        <w:rPr>
          <w:rFonts w:ascii="arial" w:eastAsia="arial" w:hAnsi="arial" w:cs="arial"/>
          <w:b w:val="0"/>
          <w:i w:val="0"/>
          <w:strike w:val="0"/>
          <w:noProof w:val="0"/>
          <w:color w:val="000000"/>
          <w:position w:val="0"/>
          <w:sz w:val="20"/>
          <w:u w:val="none"/>
          <w:vertAlign w:val="baseline"/>
        </w:rPr>
        <w:t xml:space="preserve"> formative evaluation and refinement in the pilot schools. To support implementation of the technology tool the products and resources must, at a minimum,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instrument or method for assessing--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Whether the technology tool has achieved its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school staff's current technology uses and needs, current technology investments, firewall issues, and the knowledge and availability of dedicated on-site technology personnel;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readiness of development and pilot sites to implement the technology tool. Any instruments and methods for assessing readiness may include resource inventory checklists, school self-study guides, and survey of teachers'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ongoing professional development activities necessary for teachers to implement the technology tool with fidelity and to integrate it into the curriculum.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Collect and analyze data on whether the technology tool has achieved its intended outcomes for early childhood development, academic achievement, or college- and career-readiness.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Collect formative and summative data from the development and pilot schools to refine and evaluate the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If the project is extended to a fifth year, provide the products and the technology tool to no fewer than 10 dissemination schools that are not the same schools used as development or pilot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Collect summative data about the success of the products in supporting implementation of the technology tool in the dissemination schools;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By the end of the project period,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Information on the products and resources, as supported by the project evaluation, including any accessibility features, that will enable other schools to implement and sustain implementation of the technology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plan for implementing the technology that includes relevant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data on how teachers used the technology, data on how technology impacted student outcomes, how technology was implemented with fidelity, features of universal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Information on how the technology tool achieved its intended outcomes related to early childhood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data to assess how well the project addressed the goals of the project as described in the logic model), academic achievement, or college- and career-readiness for children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plan for disseminating the technology tool and accompanying products beyond the schools directly involved in the project.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Cohort Collaboration and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OSEP project officer(s) will provide coordination support among the projects. Each project funded under this priority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Participate in monthly conference-call discussions to share and collaborate around implementation and specific project issues;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Provide information annually using a template that captures descriptive data on project site selection, processes for installation of technology, and the use of technology and sustainability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process of technology implementation).</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following Web site provides more information about implementation research: </w:t>
      </w:r>
      <w:hyperlink r:id="rId17" w:history="1">
        <w:r>
          <w:rPr>
            <w:rFonts w:ascii="arial" w:eastAsia="arial" w:hAnsi="arial" w:cs="arial"/>
            <w:b w:val="0"/>
            <w:i/>
            <w:strike w:val="0"/>
            <w:noProof w:val="0"/>
            <w:color w:val="0077CC"/>
            <w:position w:val="0"/>
            <w:sz w:val="20"/>
            <w:u w:val="single"/>
            <w:vertAlign w:val="baseline"/>
          </w:rPr>
          <w:t>http://nirn.fpg.unc.edu/learn-implementation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Fifth Year of Project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may extend a project one year beyond 48 months to work with dissemination schools if the grantee is achieving the intended outcomes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provides data that demonstrate the project addressed the goals of the project as described in the logic model) and making a positive contribution to the implementation of a research-based technology tool in the development and pilot schools. Each applicant must include in its application a plan for the full 60-month award. In deciding whether to continue funding the project for the fifth year, the Secretary will consider the requirements of </w:t>
      </w:r>
      <w:hyperlink r:id="rId18" w:history="1">
        <w:r>
          <w:rPr>
            <w:rFonts w:ascii="arial" w:eastAsia="arial" w:hAnsi="arial" w:cs="arial"/>
            <w:b w:val="0"/>
            <w:i/>
            <w:strike w:val="0"/>
            <w:noProof w:val="0"/>
            <w:color w:val="0077CC"/>
            <w:position w:val="0"/>
            <w:sz w:val="20"/>
            <w:u w:val="single"/>
            <w:vertAlign w:val="baseline"/>
          </w:rPr>
          <w:t>34 CFR 75.253(a)</w:t>
        </w:r>
      </w:hyperlink>
      <w:r>
        <w:rPr>
          <w:rFonts w:ascii="arial" w:eastAsia="arial" w:hAnsi="arial" w:cs="arial"/>
          <w:b w:val="0"/>
          <w:i w:val="0"/>
          <w:strike w:val="0"/>
          <w:noProof w:val="0"/>
          <w:color w:val="000000"/>
          <w:position w:val="0"/>
          <w:sz w:val="20"/>
          <w:u w:val="none"/>
          <w:vertAlign w:val="baseline"/>
        </w:rPr>
        <w:t>, and will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recommendation of a review team consisting of the OSEP project officer and other experts selected by the Secretary. This review will be held during the last half of the third year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success and timeliness with which the requirements of the negotiated cooperative agreement have been or are being met by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Evidence of the degree to which the project's activities have contributed to changed practices and improved early childhood outcomes, academic achievement, or college- and career-readiness for students with disabilities.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Within this absolute priority, we give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applications that address the following priorities. Under </w:t>
      </w:r>
      <w:hyperlink r:id="rId10"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an additional two points to an application that meets one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Applicants may address only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Applications will only be awarded two or zero points and must identify which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they are addressing.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Under each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no more than one application will be funded based solely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points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exceeded the funding cut-off score as a result of receiving the two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1--Students with the Most Significant Cognitive Disabilities. (Two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projects must be designed to support teachers in providing access through technology to the general education curriculum aligned with State grade-level content standards or alternate academic achievement standards in mathematics and English language arts (K-12) for students with the most significant cognitive disabilities. Teachers of students with the most significant cognitive disabilities will be able to use the technology to differentiate grade-level instruction effectively and will be able to better track student progress toward grade-level proficiency. Applicants responding to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Identify technology tools based on evidence needed to implement an English language arts or mathematics curriculum aligned with State grade-level content standards or alternate academic achievement standards for students with the most significant cognitive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Identify a curriculum and performance tracking tool for use by teachers for the purpose of assessing the outcomes of the technology's intended use on individualized instruction aligned to K-12 grade--level content standards, or alternate academic achievement standards, in English language arts and mathematics appropriate to students with the most significant cognitive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Develop and disseminate accessible products and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instruction manuals, lesson plans, demonstration videos, ancillary instructional materials) that will assist teachers in K-12 settings to implement the technology.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2--Projects Supported by Evidence of Promise (Two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applicants must include in the </w:t>
      </w:r>
      <w:r>
        <w:rPr>
          <w:rFonts w:ascii="arial" w:eastAsia="arial" w:hAnsi="arial" w:cs="arial"/>
          <w:b/>
          <w:i w:val="0"/>
          <w:strike w:val="0"/>
          <w:noProof w:val="0"/>
          <w:color w:val="000000"/>
          <w:position w:val="0"/>
          <w:sz w:val="20"/>
          <w:u w:val="none"/>
          <w:vertAlign w:val="baseline"/>
        </w:rPr>
        <w:t> [*18751] </w:t>
      </w:r>
      <w:r>
        <w:rPr>
          <w:rFonts w:ascii="arial" w:eastAsia="arial" w:hAnsi="arial" w:cs="arial"/>
          <w:b w:val="0"/>
          <w:i w:val="0"/>
          <w:strike w:val="0"/>
          <w:noProof w:val="0"/>
          <w:color w:val="000000"/>
          <w:position w:val="0"/>
          <w:sz w:val="20"/>
          <w:u w:val="none"/>
          <w:vertAlign w:val="baseline"/>
        </w:rPr>
        <w:t xml:space="preserve"> literature review required under the absolute priority (paragraph (a) under the heading </w:t>
      </w:r>
      <w:r>
        <w:rPr>
          <w:rFonts w:ascii="arial" w:eastAsia="arial" w:hAnsi="arial" w:cs="arial"/>
          <w:b w:val="0"/>
          <w:i/>
          <w:strike w:val="0"/>
          <w:noProof w:val="0"/>
          <w:color w:val="000000"/>
          <w:position w:val="0"/>
          <w:sz w:val="20"/>
          <w:u w:val="none"/>
          <w:vertAlign w:val="baseline"/>
        </w:rPr>
        <w:t>Application Requirements</w:t>
      </w:r>
      <w:r>
        <w:rPr>
          <w:rFonts w:ascii="arial" w:eastAsia="arial" w:hAnsi="arial" w:cs="arial"/>
          <w:b w:val="0"/>
          <w:i w:val="0"/>
          <w:strike w:val="0"/>
          <w:noProof w:val="0"/>
          <w:color w:val="000000"/>
          <w:position w:val="0"/>
          <w:sz w:val="20"/>
          <w:u w:val="none"/>
          <w:vertAlign w:val="baseline"/>
        </w:rPr>
        <w:t>) research that meets at least the evidence of promise standard and that supports the promise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evidence base) of the proposed model under the absolute priority and its components and processes.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An applicant addressing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must identify no more than two study citations that meet this standard.</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3--Technology to Support Instructors and Students in Juvenile Correctional Facilities (Two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meet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projects must provide technology to support instructors and students in juvenile correctional facilities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Allows instructors to immediately assess a student's current grade-level ability when the student moves into a juvenile correctional facility without having the appropriate educational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individualized education program, section 504 plans, behavior intervention plans). Technology can also allow instructors to develop education plans in addition to individualized education programs required for students with disabilities under IDEA and plans that describe services required for students with disabilities under section 504 of the Rehabilitation Act of 1973;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Equips instructors with tools and resources to enhance the classroom experience, such as flipped classrooms, blended learning, and other models and methods that would allow students to make educational gains in and outside of the classroom;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Expands the reach of correctional education services to provide more incarcerated individuals with the knowledge and skills needed to graduate.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Brunvand, S., &amp; Byrd, S. (2011). Using VoiceThread to promote learning engagement and success for all students. </w:t>
      </w:r>
      <w:r>
        <w:rPr>
          <w:rFonts w:ascii="arial" w:eastAsia="arial" w:hAnsi="arial" w:cs="arial"/>
          <w:b w:val="0"/>
          <w:i/>
          <w:strike w:val="0"/>
          <w:noProof w:val="0"/>
          <w:color w:val="000000"/>
          <w:position w:val="0"/>
          <w:sz w:val="20"/>
          <w:u w:val="none"/>
          <w:vertAlign w:val="baseline"/>
        </w:rPr>
        <w:t>Teaching Exceptional Children, 43</w:t>
      </w:r>
      <w:r>
        <w:rPr>
          <w:rFonts w:ascii="arial" w:eastAsia="arial" w:hAnsi="arial" w:cs="arial"/>
          <w:b w:val="0"/>
          <w:i w:val="0"/>
          <w:strike w:val="0"/>
          <w:noProof w:val="0"/>
          <w:color w:val="000000"/>
          <w:position w:val="0"/>
          <w:sz w:val="20"/>
          <w:u w:val="none"/>
          <w:vertAlign w:val="baseline"/>
        </w:rPr>
        <w:t xml:space="preserve"> (4), 28-37.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Center on Online Learning and Students with Disabilities (COLSD). (2012). The foundation of online learning for students with disabilities (COLSD White Paper). Lawrence, KS: Author. Retrieved from </w:t>
      </w:r>
      <w:hyperlink r:id="rId19" w:history="1">
        <w:r>
          <w:rPr>
            <w:rFonts w:ascii="arial" w:eastAsia="arial" w:hAnsi="arial" w:cs="arial"/>
            <w:b w:val="0"/>
            <w:i/>
            <w:strike w:val="0"/>
            <w:noProof w:val="0"/>
            <w:color w:val="0077CC"/>
            <w:position w:val="0"/>
            <w:sz w:val="20"/>
            <w:u w:val="single"/>
            <w:vertAlign w:val="baseline"/>
          </w:rPr>
          <w:t>http://centerononlinelearning.org/wp-content/uploads/Foundation_7_2012.pdf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Diamond, K.E., &amp; Powell, D.R. (2011). An iterative approach to the development of a professional development intervention for Head Start teachers. </w:t>
      </w:r>
      <w:r>
        <w:rPr>
          <w:rFonts w:ascii="arial" w:eastAsia="arial" w:hAnsi="arial" w:cs="arial"/>
          <w:b w:val="0"/>
          <w:i/>
          <w:strike w:val="0"/>
          <w:noProof w:val="0"/>
          <w:color w:val="000000"/>
          <w:position w:val="0"/>
          <w:sz w:val="20"/>
          <w:u w:val="none"/>
          <w:vertAlign w:val="baseline"/>
        </w:rPr>
        <w:t>Journal of Early Intervention, 33</w:t>
      </w:r>
      <w:r>
        <w:rPr>
          <w:rFonts w:ascii="arial" w:eastAsia="arial" w:hAnsi="arial" w:cs="arial"/>
          <w:b w:val="0"/>
          <w:i w:val="0"/>
          <w:strike w:val="0"/>
          <w:noProof w:val="0"/>
          <w:color w:val="000000"/>
          <w:position w:val="0"/>
          <w:sz w:val="20"/>
          <w:u w:val="none"/>
          <w:vertAlign w:val="baseline"/>
        </w:rPr>
        <w:t xml:space="preserve"> (1), 75-93.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Duffey, D., &amp; Fox, C. (2012). National Educational Technology Trends 2012: State Leadership Empowers Educators, Transforms Teaching and Learning. Washington, DC: State Educational Technology Directors Association. Retrieved from </w:t>
      </w:r>
      <w:hyperlink r:id="rId20" w:history="1">
        <w:r>
          <w:rPr>
            <w:rFonts w:ascii="arial" w:eastAsia="arial" w:hAnsi="arial" w:cs="arial"/>
            <w:b w:val="0"/>
            <w:i/>
            <w:strike w:val="0"/>
            <w:noProof w:val="0"/>
            <w:color w:val="0077CC"/>
            <w:position w:val="0"/>
            <w:sz w:val="20"/>
            <w:u w:val="single"/>
            <w:vertAlign w:val="baseline"/>
          </w:rPr>
          <w:t>https://eric.ed.gov/PDFS/ED536746.pdf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Fixsen, D.L., Naoom, S.F., Blase, K.A., Friedman, R.M., &amp; Wallace, F. (2005). Implementation research: A synthesis of the literature. Tampa, FL: University of South Florida, Louis de la Parte Florida Mental Health Institute, The National Implementation Research Network.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Fletcher, G., Schaffhauser, D. &amp; Levi, D. (2012). Out of print: Reimagining the K-12 textbook in a digital age. Washington, DC: State Educational Technology Directors Association. Retrieved from </w:t>
      </w:r>
      <w:hyperlink r:id="rId21" w:history="1">
        <w:r>
          <w:rPr>
            <w:rFonts w:ascii="arial" w:eastAsia="arial" w:hAnsi="arial" w:cs="arial"/>
            <w:b w:val="0"/>
            <w:i/>
            <w:strike w:val="0"/>
            <w:noProof w:val="0"/>
            <w:color w:val="0077CC"/>
            <w:position w:val="0"/>
            <w:sz w:val="20"/>
            <w:u w:val="single"/>
            <w:vertAlign w:val="baseline"/>
          </w:rPr>
          <w:t>www.setda.org/c/document_library/get_file?folderId=321&amp;name=DLFE-1587.pdf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Grunwald &amp; Associates. (2010). Educators, technology, and 21st century skills: Dispelling five myths. Retrieved from Walden University, Richard W. Riley College of Education Web site: </w:t>
      </w:r>
      <w:hyperlink r:id="rId22" w:history="1">
        <w:r>
          <w:rPr>
            <w:rFonts w:ascii="arial" w:eastAsia="arial" w:hAnsi="arial" w:cs="arial"/>
            <w:b w:val="0"/>
            <w:i/>
            <w:strike w:val="0"/>
            <w:noProof w:val="0"/>
            <w:color w:val="0077CC"/>
            <w:position w:val="0"/>
            <w:sz w:val="20"/>
            <w:u w:val="single"/>
            <w:vertAlign w:val="baseline"/>
          </w:rPr>
          <w:t>www.WaldenU.edu/fivemyths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McManis, L.D., &amp; Gunnewig, S.B. (2012). Finding the education in educational technology with early learners. </w:t>
      </w:r>
      <w:r>
        <w:rPr>
          <w:rFonts w:ascii="arial" w:eastAsia="arial" w:hAnsi="arial" w:cs="arial"/>
          <w:b w:val="0"/>
          <w:i/>
          <w:strike w:val="0"/>
          <w:noProof w:val="0"/>
          <w:color w:val="000000"/>
          <w:position w:val="0"/>
          <w:sz w:val="20"/>
          <w:u w:val="none"/>
          <w:vertAlign w:val="baseline"/>
        </w:rPr>
        <w:t>Young Children, 67</w:t>
      </w:r>
      <w:r>
        <w:rPr>
          <w:rFonts w:ascii="arial" w:eastAsia="arial" w:hAnsi="arial" w:cs="arial"/>
          <w:b w:val="0"/>
          <w:i w:val="0"/>
          <w:strike w:val="0"/>
          <w:noProof w:val="0"/>
          <w:color w:val="000000"/>
          <w:position w:val="0"/>
          <w:sz w:val="20"/>
          <w:u w:val="none"/>
          <w:vertAlign w:val="baseline"/>
        </w:rPr>
        <w:t xml:space="preserve"> (3), 14-24.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Perlman, C.L., &amp; Redding, S. (Eds.). (2011). Choosing and implementing technology wisely. Handbook on Effective Implementation of School Improvement Grants. Lincoln, IL: Academic Development Institute. Retrieved from </w:t>
      </w:r>
      <w:hyperlink r:id="rId23" w:history="1">
        <w:r>
          <w:rPr>
            <w:rFonts w:ascii="arial" w:eastAsia="arial" w:hAnsi="arial" w:cs="arial"/>
            <w:b w:val="0"/>
            <w:i/>
            <w:strike w:val="0"/>
            <w:noProof w:val="0"/>
            <w:color w:val="0077CC"/>
            <w:position w:val="0"/>
            <w:sz w:val="20"/>
            <w:u w:val="single"/>
            <w:vertAlign w:val="baseline"/>
          </w:rPr>
          <w:t>www.centerii.org/handbook</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Department of Education, Office of Educational Technology. (2010). Transforming American Education: Learning Powered by Technology. Washington, DC: Author. Retrieved from </w:t>
      </w:r>
      <w:hyperlink r:id="rId24" w:history="1">
        <w:r>
          <w:rPr>
            <w:rFonts w:ascii="arial" w:eastAsia="arial" w:hAnsi="arial" w:cs="arial"/>
            <w:b w:val="0"/>
            <w:i/>
            <w:strike w:val="0"/>
            <w:noProof w:val="0"/>
            <w:color w:val="0077CC"/>
            <w:position w:val="0"/>
            <w:sz w:val="20"/>
            <w:u w:val="single"/>
            <w:vertAlign w:val="baseline"/>
          </w:rPr>
          <w:t>www.ed.gov/sites/default/files/netp2010.pdf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definitions are from </w:t>
      </w:r>
      <w:hyperlink r:id="rId2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and the Department's notice of final supplemental priorities and definitions for discretionary grant programs (Supplemental Priorities),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26"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as marked.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definitions are from </w:t>
      </w:r>
      <w:hyperlink r:id="rId25"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Evidence of promise</w:t>
      </w:r>
      <w:r>
        <w:rPr>
          <w:rFonts w:ascii="arial" w:eastAsia="arial" w:hAnsi="arial" w:cs="arial"/>
          <w:b w:val="0"/>
          <w:i w:val="0"/>
          <w:strike w:val="0"/>
          <w:noProof w:val="0"/>
          <w:color w:val="000000"/>
          <w:position w:val="0"/>
          <w:sz w:val="20"/>
          <w:u w:val="none"/>
          <w:vertAlign w:val="baseline"/>
        </w:rPr>
        <w:t xml:space="preserve"> means there is empirical evidence to support the theoretical linkage(s) between at least one critical component and at least one relevant outcome presented in the logic model for the proposed process, product, strategy, or practice. Specifically, evidence of promise means the conditions in both paragraphs (i) and (ii) of this definition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There is at least one study that is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Correlational study with statistical controls for selection bias;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Quasi-experimental design study that meets the What Works Clearinghouse Evidence Standards with reservations;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Randomized controlled trial that meets the What Works Clearinghouse Evidence Standards with or without reservations.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study referenced in paragraph (i) of this definition found a statistically significant or substantively important (defined as a difference of 0.25 standard deviations or larger) favorable association between at least one critical component and one relevant outcome presented in the logic model for the proposed process, product, strategy, or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Logic model</w:t>
      </w:r>
      <w:r>
        <w:rPr>
          <w:rFonts w:ascii="arial" w:eastAsia="arial" w:hAnsi="arial" w:cs="arial"/>
          <w:b w:val="0"/>
          <w:i w:val="0"/>
          <w:strike w:val="0"/>
          <w:noProof w:val="0"/>
          <w:color w:val="000000"/>
          <w:position w:val="0"/>
          <w:sz w:val="20"/>
          <w:u w:val="none"/>
          <w:vertAlign w:val="baseline"/>
        </w:rPr>
        <w:t xml:space="preserve"> (also referred to as theory of action) means a well-specified conceptual framework that identifies key components of the proposed process, product, strategy, or practice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active "ingredients" that are hypothesized to be critical to achieving the relevant outcomes) and describes the relationships among the key components and outcomes, theoretically and operationally.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controlled trial</w:t>
      </w:r>
      <w:r>
        <w:rPr>
          <w:rFonts w:ascii="arial" w:eastAsia="arial" w:hAnsi="arial" w:cs="arial"/>
          <w:b w:val="0"/>
          <w:i w:val="0"/>
          <w:strike w:val="0"/>
          <w:noProof w:val="0"/>
          <w:color w:val="000000"/>
          <w:position w:val="0"/>
          <w:sz w:val="20"/>
          <w:u w:val="none"/>
          <w:vertAlign w:val="baseline"/>
        </w:rPr>
        <w:t xml:space="preserve"> means a study that employs random assignment of, for example, students, teachers, classrooms, schools, or districts to receive the intervention being evaluated (the treatment group) or not to receive the intervention (the control group). The estimated effectiveness of the intervention is the difference between the average outcomes for the treatment group and for the control group. These studies, depending on design and implementation, can meet What Works Clearinghouse Evidence Standards without reservations.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theory</w:t>
      </w:r>
      <w:r>
        <w:rPr>
          <w:rFonts w:ascii="arial" w:eastAsia="arial" w:hAnsi="arial" w:cs="arial"/>
          <w:b w:val="0"/>
          <w:i w:val="0"/>
          <w:strike w:val="0"/>
          <w:noProof w:val="0"/>
          <w:color w:val="000000"/>
          <w:position w:val="0"/>
          <w:sz w:val="20"/>
          <w:u w:val="none"/>
          <w:vertAlign w:val="baseline"/>
        </w:rPr>
        <w:t xml:space="preserve"> means a rationale for the proposed process, product, strategy, or practice that includes a logic model.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r>
        <w:rPr>
          <w:rFonts w:ascii="arial" w:eastAsia="arial" w:hAnsi="arial" w:cs="arial"/>
          <w:b w:val="0"/>
          <w:i/>
          <w:strike w:val="0"/>
          <w:noProof w:val="0"/>
          <w:color w:val="000000"/>
          <w:position w:val="0"/>
          <w:sz w:val="20"/>
          <w:u w:val="none"/>
          <w:vertAlign w:val="baseline"/>
        </w:rPr>
        <w:t xml:space="preserve">http:// </w:t>
      </w:r>
      <w:r>
        <w:rPr>
          <w:rFonts w:ascii="arial" w:eastAsia="arial" w:hAnsi="arial" w:cs="arial"/>
          <w:b/>
          <w:i/>
          <w:strike w:val="0"/>
          <w:noProof w:val="0"/>
          <w:color w:val="000000"/>
          <w:position w:val="0"/>
          <w:sz w:val="20"/>
          <w:u w:val="none"/>
          <w:vertAlign w:val="baseline"/>
        </w:rPr>
        <w:t> [*18752] </w:t>
      </w:r>
      <w:r>
        <w:rPr>
          <w:rFonts w:ascii="arial" w:eastAsia="arial" w:hAnsi="arial" w:cs="arial"/>
          <w:b w:val="0"/>
          <w:i/>
          <w:strike w:val="0"/>
          <w:noProof w:val="0"/>
          <w:color w:val="000000"/>
          <w:position w:val="0"/>
          <w:sz w:val="20"/>
          <w:u w:val="none"/>
          <w:vertAlign w:val="baseline"/>
        </w:rPr>
        <w:t xml:space="preserve"> ies.ed.gov/ncee/wwc/DocumentSum.aspx?sid=19.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definitions are from the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Persistently lowest-achieving school</w:t>
      </w:r>
      <w:r>
        <w:rPr>
          <w:rFonts w:ascii="arial" w:eastAsia="arial" w:hAnsi="arial" w:cs="arial"/>
          <w:b w:val="0"/>
          <w:i w:val="0"/>
          <w:strike w:val="0"/>
          <w:noProof w:val="0"/>
          <w:color w:val="000000"/>
          <w:position w:val="0"/>
          <w:sz w:val="20"/>
          <w:u w:val="none"/>
          <w:vertAlign w:val="baseline"/>
        </w:rPr>
        <w:t xml:space="preserve"> means, as determined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(a)(1) Any Title I school that has been identified for improvement, corrective action, or restructuring under section 1116 of the Elementary and Secondary Education Act of 1965, as amended (ESEA)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among the lowest-achieving five percent of Title I schools in improvement, corrective action, or restructuring or the lowest-achieving five Title I schools in improvement, corrective action, or restructuring in the State, whichever number of schools is greater;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Is a high school that has had a graduation rate, as defined in </w:t>
      </w:r>
      <w:hyperlink r:id="rId27" w:history="1">
        <w:r>
          <w:rPr>
            <w:rFonts w:ascii="arial" w:eastAsia="arial" w:hAnsi="arial" w:cs="arial"/>
            <w:b w:val="0"/>
            <w:i/>
            <w:strike w:val="0"/>
            <w:noProof w:val="0"/>
            <w:color w:val="0077CC"/>
            <w:position w:val="0"/>
            <w:sz w:val="20"/>
            <w:u w:val="single"/>
            <w:vertAlign w:val="baseline"/>
          </w:rPr>
          <w:t>34 CFR 200.19(b)</w:t>
        </w:r>
      </w:hyperlink>
      <w:r>
        <w:rPr>
          <w:rFonts w:ascii="arial" w:eastAsia="arial" w:hAnsi="arial" w:cs="arial"/>
          <w:b w:val="0"/>
          <w:i w:val="0"/>
          <w:strike w:val="0"/>
          <w:noProof w:val="0"/>
          <w:color w:val="000000"/>
          <w:position w:val="0"/>
          <w:sz w:val="20"/>
          <w:u w:val="none"/>
          <w:vertAlign w:val="baseline"/>
        </w:rPr>
        <w:t>, that is less than 60 percent over a number of years;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Any secondary school that is eligible for, but does not receive, Title I funds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among the lowest-achieving five percent of secondary schools or the lowest-achieving five secondary schools in the State that are eligible for, but do not receive, Title I funds, whichever number of schools is greater;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Is a high school that has had a graduation rate, as defined in </w:t>
      </w:r>
      <w:hyperlink r:id="rId27" w:history="1">
        <w:r>
          <w:rPr>
            <w:rFonts w:ascii="arial" w:eastAsia="arial" w:hAnsi="arial" w:cs="arial"/>
            <w:b w:val="0"/>
            <w:i/>
            <w:strike w:val="0"/>
            <w:noProof w:val="0"/>
            <w:color w:val="0077CC"/>
            <w:position w:val="0"/>
            <w:sz w:val="20"/>
            <w:u w:val="single"/>
            <w:vertAlign w:val="baseline"/>
          </w:rPr>
          <w:t>34 CFR 200.19(b)</w:t>
        </w:r>
      </w:hyperlink>
      <w:r>
        <w:rPr>
          <w:rFonts w:ascii="arial" w:eastAsia="arial" w:hAnsi="arial" w:cs="arial"/>
          <w:b w:val="0"/>
          <w:i w:val="0"/>
          <w:strike w:val="0"/>
          <w:noProof w:val="0"/>
          <w:color w:val="000000"/>
          <w:position w:val="0"/>
          <w:sz w:val="20"/>
          <w:u w:val="none"/>
          <w:vertAlign w:val="baseline"/>
        </w:rPr>
        <w:t>, that is less than 60 percent over a number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To identify the lowest-achieving schools, a State must take into account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academic achievement of the "all students" group in a school in terms of proficiency on the State's assessments under section 1111(b)(3) of the ESEA, in reading/language arts and mathematics combined;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school's lack of progress on those assessments over a number of years in the "all students"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the Department generally offers interested parties the opportunity to comment on proposed priorities. Section 681(d) of IDEA, however, makes the public comment requirements of the APA inapplicable to the priority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vertAlign w:val="baseline"/>
          </w:rPr>
          <w:t>20 U.S.C. 1474</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1481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Cooperative agreement.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$ 30,047,000 for the Educational Technology, Media, and Materials for Individuals with Disabilities program for FY 2017, of which we intend to use an estimated $ 2,500,000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$ 450,000 to $ 500,000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$ 471,352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We will reject any application that proposes a budget exceeding $ 500,000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48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SEAs; LEAs, including public charter schools that are considered LEAs under State law; IHEs; other public agencies; private nonprofit organizations; freely associated States and outlying areas;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w:t>
      </w:r>
      <w:hyperlink r:id="rId28" w:history="1">
        <w:r>
          <w:rPr>
            <w:rFonts w:ascii="arial" w:eastAsia="arial" w:hAnsi="arial" w:cs="arial"/>
            <w:b w:val="0"/>
            <w:i/>
            <w:strike w:val="0"/>
            <w:noProof w:val="0"/>
            <w:color w:val="0077CC"/>
            <w:position w:val="0"/>
            <w:sz w:val="20"/>
            <w:u w:val="single"/>
            <w:vertAlign w:val="baseline"/>
          </w:rPr>
          <w:t>34 CFR 75.708(b)</w:t>
        </w:r>
      </w:hyperlink>
      <w:r>
        <w:rPr>
          <w:rFonts w:ascii="arial" w:eastAsia="arial" w:hAnsi="arial" w:cs="arial"/>
          <w:b w:val="0"/>
          <w:i w:val="0"/>
          <w:strike w:val="0"/>
          <w:noProof w:val="0"/>
          <w:color w:val="000000"/>
          <w:position w:val="0"/>
          <w:sz w:val="20"/>
          <w:u w:val="none"/>
          <w:vertAlign w:val="baseline"/>
        </w:rPr>
        <w:t xml:space="preserve"> and (c) a grantee may award subgrants--to directly carry out project activities described in its application--to the following types of entities: SEAs; LEAs, including public charter schools that are considered LEAs under State law; IHEs; other public agencies; private nonprofit organizations; outlying areas; freely associated States; Indian tribes or tribal organizations; and for-profit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Recipients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must, with respect to the aspects of the proposed project relating to the absolute priority,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package via the internet or from the Education Publications Center (ED Pubs). To obtain a copy via the internet, use the following address: </w:t>
      </w:r>
      <w:hyperlink r:id="rId29"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ED Pubs, U.S. Department of Education, P.O. Box 22207, Alexandria, VA 22304. Telephone, toll free: 1-877-433-7827. FAX: (703) 605-6794. If you use a TDD or a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30"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31"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If you request an application package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xml:space="preserve"> as follows:</w:t>
      </w:r>
      <w:r>
        <w:rPr>
          <w:rFonts w:ascii="arial" w:eastAsia="arial" w:hAnsi="arial" w:cs="arial"/>
          <w:b w:val="0"/>
          <w:i w:val="0"/>
          <w:strike w:val="0"/>
          <w:noProof w:val="0"/>
          <w:color w:val="000000"/>
          <w:position w:val="0"/>
          <w:sz w:val="20"/>
          <w:u w:val="none"/>
          <w:vertAlign w:val="baseline"/>
        </w:rPr>
        <w:t xml:space="preserve"> CFDA number 84.327S.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w:t>
      </w:r>
      <w:r>
        <w:rPr>
          <w:rFonts w:ascii="arial" w:eastAsia="arial" w:hAnsi="arial" w:cs="arial"/>
          <w:b/>
          <w:i w:val="0"/>
          <w:strike w:val="0"/>
          <w:noProof w:val="0"/>
          <w:color w:val="000000"/>
          <w:position w:val="0"/>
          <w:sz w:val="20"/>
          <w:u w:val="none"/>
          <w:vertAlign w:val="baseline"/>
        </w:rPr>
        <w:t> [*18753] </w:t>
      </w:r>
      <w:r>
        <w:rPr>
          <w:rFonts w:ascii="arial" w:eastAsia="arial" w:hAnsi="arial" w:cs="arial"/>
          <w:b w:val="0"/>
          <w:i w:val="0"/>
          <w:strike w:val="0"/>
          <w:noProof w:val="0"/>
          <w:color w:val="000000"/>
          <w:position w:val="0"/>
          <w:sz w:val="20"/>
          <w:u w:val="none"/>
          <w:vertAlign w:val="baseline"/>
        </w:rPr>
        <w:t xml:space="preserve"> your application. You must limit Part III to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Use one of the following fonts:</w:t>
      </w:r>
      <w:r>
        <w:rPr>
          <w:rFonts w:ascii="arial" w:eastAsia="arial" w:hAnsi="arial" w:cs="arial"/>
          <w:b w:val="0"/>
          <w:i w:val="0"/>
          <w:strike w:val="0"/>
          <w:noProof w:val="0"/>
          <w:color w:val="000000"/>
          <w:position w:val="0"/>
          <w:sz w:val="20"/>
          <w:u w:val="none"/>
          <w:vertAlign w:val="baseline"/>
        </w:rPr>
        <w:t xml:space="preserve">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requirements do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 or if you apply standards other than those specified in this notice and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21,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You can obtain a DUNS number from Dun and Bradstreet at the following Web site: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33"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34"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Educational Technology, Media, and Materials for Individuals with Disabilities--Stepping-up Technology Implementation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84.327S,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3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Educational </w:t>
      </w:r>
      <w:r>
        <w:rPr>
          <w:rFonts w:ascii="arial" w:eastAsia="arial" w:hAnsi="arial" w:cs="arial"/>
          <w:b/>
          <w:i w:val="0"/>
          <w:strike w:val="0"/>
          <w:noProof w:val="0"/>
          <w:color w:val="000000"/>
          <w:position w:val="0"/>
          <w:sz w:val="20"/>
          <w:u w:val="none"/>
          <w:vertAlign w:val="baseline"/>
        </w:rPr>
        <w:t> [*18754] </w:t>
      </w:r>
      <w:r>
        <w:rPr>
          <w:rFonts w:ascii="arial" w:eastAsia="arial" w:hAnsi="arial" w:cs="arial"/>
          <w:b w:val="0"/>
          <w:i w:val="0"/>
          <w:strike w:val="0"/>
          <w:noProof w:val="0"/>
          <w:color w:val="000000"/>
          <w:position w:val="0"/>
          <w:sz w:val="20"/>
          <w:u w:val="none"/>
          <w:vertAlign w:val="baseline"/>
        </w:rPr>
        <w:t xml:space="preserve"> Technology, Media, and Materials for Individuals with Disabilities--Stepping-up Technology Implementation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3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84.327, not 84.327S).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36"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37"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You must submit all documents electronically, including all information you typically provide on the following forms:</w:t>
      </w:r>
      <w:r>
        <w:rPr>
          <w:rFonts w:ascii="arial" w:eastAsia="arial" w:hAnsi="arial" w:cs="arial"/>
          <w:b w:val="0"/>
          <w:i w:val="0"/>
          <w:strike w:val="0"/>
          <w:noProof w:val="0"/>
          <w:color w:val="000000"/>
          <w:position w:val="0"/>
          <w:sz w:val="20"/>
          <w:u w:val="none"/>
          <w:vertAlign w:val="baseline"/>
        </w:rPr>
        <w:t xml:space="preserve">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Portable Document Format (PDF). Do not upload an interactive or fillable PDF file. If you upload a file type other than a read-only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w:t>
      </w:r>
      <w:r>
        <w:rPr>
          <w:rFonts w:ascii="arial" w:eastAsia="arial" w:hAnsi="arial" w:cs="arial"/>
          <w:b/>
          <w:i w:val="0"/>
          <w:strike w:val="0"/>
          <w:noProof w:val="0"/>
          <w:color w:val="000000"/>
          <w:position w:val="0"/>
          <w:sz w:val="20"/>
          <w:u w:val="none"/>
          <w:vertAlign w:val="baseline"/>
        </w:rPr>
        <w:t> [*18755] </w:t>
      </w:r>
      <w:r>
        <w:rPr>
          <w:rFonts w:ascii="arial" w:eastAsia="arial" w:hAnsi="arial" w:cs="arial"/>
          <w:b w:val="0"/>
          <w:i w:val="0"/>
          <w:strike w:val="0"/>
          <w:noProof w:val="0"/>
          <w:color w:val="000000"/>
          <w:position w:val="0"/>
          <w:sz w:val="20"/>
          <w:u w:val="none"/>
          <w:vertAlign w:val="baseline"/>
        </w:rPr>
        <w:t xml:space="preserve">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Address and mail or fax your statement to:</w:t>
      </w:r>
      <w:r>
        <w:rPr>
          <w:rFonts w:ascii="arial" w:eastAsia="arial" w:hAnsi="arial" w:cs="arial"/>
          <w:b w:val="0"/>
          <w:i w:val="0"/>
          <w:strike w:val="0"/>
          <w:noProof w:val="0"/>
          <w:color w:val="000000"/>
          <w:position w:val="0"/>
          <w:sz w:val="20"/>
          <w:u w:val="none"/>
          <w:vertAlign w:val="baseline"/>
        </w:rPr>
        <w:t xml:space="preserve"> Terry Jackson, U.S. Department of Education, 400 Maryland Avenue SW., Room 5158, Potomac Center Plaza, Washington, DC 20202-5076. FAX: (202) 245-7590.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84.327S),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84.327S),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maximum score for all of the selection criteria is 100 points. The application narrative should include the following sections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Significance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significance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determining the significance of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significance of the problem or issue to be addressed, and the magnitude of the need for the services to be provided or carried out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specific gaps or weaknesses in services, infrastructure, or opportunities have been identified and how the specific gaps or weaknesses will be addressed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potential contribution of the proposed project to increase knowledge or understanding of educational problems, issues, or effective strategies and the development and advancement of theory, knowledge, and practices in the field of study;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to which the proposed project will focus on serving or otherwise addressing the needs of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project services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products and/or services to be provided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determining the quality of the products and/or services to be provided by the proposed project, the Secretary considers the quality and sufficiency of strategies for ensuring equal access and treatment for eligible project participants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addition,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products and/or services to be provided by the proposed project reflect current knowledge from research and effective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products and/or services are of sufficient quality, intensity, and duration to lead to outcomes as intended by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products and/or services to be provided by the proposed, project, involve the collaboration of appropriate partners for maximizing the effectiveness of project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likely utility of the products and/or services that will result from the proposed project, including the potential for their being used effectively in a variety of other settings;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extent to which the products and resources developed by the proposed project include accessible accessibility features, supporting the sustained implementation of the technology tool or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project design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design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 determining the quality of the design of the proposed project, the Secretary considers the following factors: </w:t>
      </w:r>
      <w:r>
        <w:rPr>
          <w:rFonts w:ascii="arial" w:eastAsia="arial" w:hAnsi="arial" w:cs="arial"/>
          <w:b/>
          <w:i w:val="0"/>
          <w:strike w:val="0"/>
          <w:noProof w:val="0"/>
          <w:color w:val="000000"/>
          <w:position w:val="0"/>
          <w:sz w:val="20"/>
          <w:u w:val="none"/>
          <w:vertAlign w:val="baseline"/>
        </w:rPr>
        <w:t> [*18756]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goals, objectives, and outcomes to be achieved by the proposed project are clearly specified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proposed logic model or conceptual framework depicts at a minimum, the goals, activities, outputs, and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design of the proposed project includes a thorough, high-quality review of the relevant literature, reflects current knowledge from research and effective practice; supported by strong theory; a high-quality plan for project implementation, and the use of appropriate methodological tools to ensure successful achievement of project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extent to which the proposed technology tool or strategy is fully-developed, evidence-based (as defined in this notice) and that can be implemented to improve early childhood outcomes, academic achievement, or college and career readiness;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extent to which the proposed technology tool or strategy addresses the following principles of universal design: (a) Multiple means of representation so students can approach information in more than one way; (b) multiple means of expression so that all students can demonstrate and express what they know; and (c) multiple means of engagement to stimulate interest in and motivation for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Quality of the management plan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management plan for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determining the quality of the management plan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the management plan to implement the activities described in the Project Activities section and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time commitments and qualifications of the project director and principal investigator, including relevant training and experience of key project personnel, project consultants or subcontractors are appropriate and adequate to meet the objectives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adequacy of the plan for recruiting and selecting: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three development schools (the sites in which iterative development of the implementation of technology tools and products will occur. The project must start implementing the technology tool with at least one development school in year one of the project period and two additional development schools in year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Four pilot schools (the sites in which try-out, formative evaluation, and refinement of technology tools and products will occur. The project must work with the four pilot schools during years three and four of the project period;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Ten dissemination schools. The dissemination schools will be selected if the project is extended for a fifth year. Dissemination schools will be used to conduct the final test of the effectiveness of the products and the final opportunity for the project to refine the products for use by teachers, but will receive less technical assistance (TA) from the project than the development and pilot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adequacy of the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early childhood setting; elementary, middle, or high school; persistently lowest-achieving school; priority school) about the development, pilot, and students eligible for free or reduced-price lunch); and other pertinent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The adequacy of the plan to which the results and accompanying products of the proposed project will be disseminated in ways that will enable others to use the information or strategies;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The adequacy of the plan to sustain the technology after funding 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Adequacy of resources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adequacy of resources for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determining the quality of project personnel, the Secretary considers the extent to which the applicant encourages applications for employment from persons who are members of groups that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determining the adequacy of resources for the proposed project,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adequacy of support, including facilities, equipment, supplies, and other resources, from the applicant organization or the lead applicant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relevance and demonstrated commitment of each partner in the proposed project to the implementation and success of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budget is adequate to support the proposed project; and the costs are reasonable in relation to the objectives, design, and potential significance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strike w:val="0"/>
          <w:noProof w:val="0"/>
          <w:color w:val="000000"/>
          <w:position w:val="0"/>
          <w:sz w:val="20"/>
          <w:u w:val="none"/>
          <w:vertAlign w:val="baseline"/>
        </w:rPr>
        <w:t>Quality of the project evaluation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considers the quality of the evaluation to be conducted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 determining the quality of the evaluation, the Secretary considers the following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extent to which the methods of evaluation are thorough, feasible, and appropriate to the context within which the project operates, and include the use of objective performance measures that are clearly related to the intended outcomes of the project and will produce quantitative and qualitative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extent to which the methods of evaluation provide for the examination of the effectiveness of project implementation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extent to which the methods of evaluation is linked to the proposed project's logic model is appropriate for the formative evaluation, describing how performance objectives in plan will ensure continuous performance feedback and improvement and assessment of progress toward achieving intended outcomes in the operation of the proposed project's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8"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w:t>
      </w:r>
      <w:hyperlink r:id="rId39"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w:t>
      </w:r>
      <w:r>
        <w:rPr>
          <w:rFonts w:ascii="arial" w:eastAsia="arial" w:hAnsi="arial" w:cs="arial"/>
          <w:b/>
          <w:i w:val="0"/>
          <w:strike w:val="0"/>
          <w:noProof w:val="0"/>
          <w:color w:val="000000"/>
          <w:position w:val="0"/>
          <w:sz w:val="20"/>
          <w:u w:val="none"/>
          <w:vertAlign w:val="baseline"/>
        </w:rPr>
        <w:t> [*18757] </w:t>
      </w:r>
      <w:r>
        <w:rPr>
          <w:rFonts w:ascii="arial" w:eastAsia="arial" w:hAnsi="arial" w:cs="arial"/>
          <w:b w:val="0"/>
          <w:i w:val="0"/>
          <w:strike w:val="0"/>
          <w:noProof w:val="0"/>
          <w:color w:val="000000"/>
          <w:position w:val="0"/>
          <w:sz w:val="20"/>
          <w:u w:val="none"/>
          <w:vertAlign w:val="baseline"/>
        </w:rPr>
        <w:t xml:space="preserve">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w:t>
      </w:r>
      <w:hyperlink r:id="rId44" w:history="1">
        <w:r>
          <w:rPr>
            <w:rFonts w:ascii="arial" w:eastAsia="arial" w:hAnsi="arial" w:cs="arial"/>
            <w:b w:val="0"/>
            <w:i/>
            <w:strike w:val="0"/>
            <w:noProof w:val="0"/>
            <w:color w:val="0077CC"/>
            <w:position w:val="0"/>
            <w:sz w:val="20"/>
            <w:u w:val="single"/>
            <w:vertAlign w:val="baseline"/>
          </w:rPr>
          <w:t>2 CFR 200.205</w:t>
        </w:r>
      </w:hyperlink>
      <w:r>
        <w:rPr>
          <w:rFonts w:ascii="arial" w:eastAsia="arial" w:hAnsi="arial" w:cs="arial"/>
          <w:b w:val="0"/>
          <w:i w:val="0"/>
          <w:strike w:val="0"/>
          <w:noProof w:val="0"/>
          <w:color w:val="000000"/>
          <w:position w:val="0"/>
          <w:sz w:val="20"/>
          <w:u w:val="none"/>
          <w:vertAlign w:val="baseline"/>
        </w:rPr>
        <w:t xml:space="preserve">,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w:t>
      </w:r>
      <w:hyperlink r:id="rId45"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w:t>
      </w:r>
      <w:hyperlink r:id="rId44" w:history="1">
        <w:r>
          <w:rPr>
            <w:rFonts w:ascii="arial" w:eastAsia="arial" w:hAnsi="arial" w:cs="arial"/>
            <w:b w:val="0"/>
            <w:i/>
            <w:strike w:val="0"/>
            <w:noProof w:val="0"/>
            <w:color w:val="0077CC"/>
            <w:position w:val="0"/>
            <w:sz w:val="20"/>
            <w:u w:val="single"/>
            <w:vertAlign w:val="baseline"/>
          </w:rPr>
          <w:t>2 CFR 200.205(a)(2)</w:t>
        </w:r>
      </w:hyperlink>
      <w:r>
        <w:rPr>
          <w:rFonts w:ascii="arial" w:eastAsia="arial" w:hAnsi="arial" w:cs="arial"/>
          <w:b w:val="0"/>
          <w:i w:val="0"/>
          <w:strike w:val="0"/>
          <w:noProof w:val="0"/>
          <w:color w:val="000000"/>
          <w:position w:val="0"/>
          <w:sz w:val="20"/>
          <w:u w:val="none"/>
          <w:vertAlign w:val="baseline"/>
        </w:rPr>
        <w:t>,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46"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47"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8"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9"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Under </w:t>
      </w:r>
      <w:hyperlink r:id="rId50"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the Department has established a set of performance measures, including long-term measures, that are designed to yield information on various aspects of the effectiveness and quality of the Educational Technology, Media, and Materials for Individuals with Disabilities Program. These measures are included in the application package and focus on the extent to which projects are of high quality, are relevant to improving outcomes of children with disabilities, contribute to improving outcomes for children with disabilities, and generate evidence of validity and availability to appropriate populations. Projects funded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required to submit data on these measures as directed by OSEP.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will be required to report information on their project's performance in annual performance reports and additional performance data to the Department (</w:t>
      </w:r>
      <w:hyperlink r:id="rId51" w:history="1">
        <w:r>
          <w:rPr>
            <w:rFonts w:ascii="arial" w:eastAsia="arial" w:hAnsi="arial" w:cs="arial"/>
            <w:b w:val="0"/>
            <w:i/>
            <w:strike w:val="0"/>
            <w:noProof w:val="0"/>
            <w:color w:val="0077CC"/>
            <w:position w:val="0"/>
            <w:sz w:val="20"/>
            <w:u w:val="single"/>
            <w:vertAlign w:val="baseline"/>
          </w:rPr>
          <w:t>34 CFR 75.590</w:t>
        </w:r>
      </w:hyperlink>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75.591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18"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9"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43"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Management Support Services Team, U.S. Department of Education, 400 Maryland Avenue SW., Room 5113, Potomac Center Plaza, Washington, DC 20202-2500. Telephone: (202) 245-7363. If you use a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53"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[*18758] </w:t>
      </w:r>
      <w:r>
        <w:rPr>
          <w:rFonts w:ascii="arial" w:eastAsia="arial" w:hAnsi="arial" w:cs="arial"/>
          <w:b w:val="0"/>
          <w:i w:val="0"/>
          <w:strike w:val="0"/>
          <w:noProof w:val="0"/>
          <w:color w:val="000000"/>
          <w:position w:val="0"/>
          <w:sz w:val="20"/>
          <w:u w:val="none"/>
          <w:vertAlign w:val="baseline"/>
        </w:rPr>
        <w:t xml:space="preserve">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You may also access documents of the Department published in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by using the article search feature at: </w:t>
      </w:r>
      <w:hyperlink r:id="rId54"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18,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Ruth E. Ryder,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Director, Office of Special Education Programs, delegated the duties of the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2017-08119 Filed 4-20-17;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21,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5,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4, 2017.</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Terry Jackson, U.S. Department of Education, 400 Maryland Avenue SW., Room 5158, Potomac Center Plaza, Washington, DC 20202-5076. Telephone: (202) 245-6039.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18747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GMB-DPB0-008H-02BK-00000-00&amp;context=" TargetMode="External" /><Relationship Id="rId11" Type="http://schemas.openxmlformats.org/officeDocument/2006/relationships/hyperlink" Target="https://advance.lexis.com/api/document?collection=statutes-legislation&amp;id=urn:contentItem:4YF7-GTC1-NRF4-41G0-00000-00&amp;context=" TargetMode="External" /><Relationship Id="rId12" Type="http://schemas.openxmlformats.org/officeDocument/2006/relationships/hyperlink" Target="https://advance.lexis.com/api/document?collection=statutes-legislation&amp;id=urn:contentItem:4YF7-GSJ1-NRF4-43PC-00000-00&amp;context=" TargetMode="External" /><Relationship Id="rId13" Type="http://schemas.openxmlformats.org/officeDocument/2006/relationships/hyperlink" Target="http://www.osepideasthatwork.org/logicModel" TargetMode="External" /><Relationship Id="rId14" Type="http://schemas.openxmlformats.org/officeDocument/2006/relationships/hyperlink" Target="http://www.osepideasthatwork.org/resources-grantees/program-areas/ta-ta/tad-project-logic-model-and-conceptual-framework" TargetMode="External" /><Relationship Id="rId15" Type="http://schemas.openxmlformats.org/officeDocument/2006/relationships/hyperlink" Target="http://www.udlcenter.org/aboutudl/whatisudl/3principles" TargetMode="External" /><Relationship Id="rId16" Type="http://schemas.openxmlformats.org/officeDocument/2006/relationships/hyperlink" Target="http://mdcc.sri.com/documents/reports/MDCC_Site_Assessment_Brief_09-30-11.pdf" TargetMode="External" /><Relationship Id="rId17" Type="http://schemas.openxmlformats.org/officeDocument/2006/relationships/hyperlink" Target="http://nirn.fpg.unc.edu/learn-implementation" TargetMode="External" /><Relationship Id="rId18" Type="http://schemas.openxmlformats.org/officeDocument/2006/relationships/hyperlink" Target="https://advance.lexis.com/api/document?collection=administrative-codes&amp;id=urn:contentItem:5GMB-DPB0-008H-02K8-00000-00&amp;context=" TargetMode="External" /><Relationship Id="rId19" Type="http://schemas.openxmlformats.org/officeDocument/2006/relationships/hyperlink" Target="http://centerononlinelearning.org/wp-content/uploads/Foundation_7_2012.pdf" TargetMode="External" /><Relationship Id="rId2" Type="http://schemas.openxmlformats.org/officeDocument/2006/relationships/webSettings" Target="webSettings.xml" /><Relationship Id="rId20" Type="http://schemas.openxmlformats.org/officeDocument/2006/relationships/hyperlink" Target="https://eric.ed.gov/PDFS/ED536746.pdf" TargetMode="External" /><Relationship Id="rId21" Type="http://schemas.openxmlformats.org/officeDocument/2006/relationships/hyperlink" Target="http://www.setda.org/c/document_library/get_file?folderId=321&amp;name=DLFE-1587.pdf" TargetMode="External" /><Relationship Id="rId22" Type="http://schemas.openxmlformats.org/officeDocument/2006/relationships/hyperlink" Target="http://www.WaldenU.edu/fivemyths" TargetMode="External" /><Relationship Id="rId23" Type="http://schemas.openxmlformats.org/officeDocument/2006/relationships/hyperlink" Target="http://www.centerii.org/handbook" TargetMode="External" /><Relationship Id="rId24" Type="http://schemas.openxmlformats.org/officeDocument/2006/relationships/hyperlink" Target="http://www.ed.gov/sites/default/files/netp2010.pdf" TargetMode="External" /><Relationship Id="rId25" Type="http://schemas.openxmlformats.org/officeDocument/2006/relationships/hyperlink" Target="https://advance.lexis.com/api/document?collection=administrative-codes&amp;id=urn:contentItem:5S7T-7HV0-008H-03HM-00000-00&amp;context=" TargetMode="External" /><Relationship Id="rId26" Type="http://schemas.openxmlformats.org/officeDocument/2006/relationships/hyperlink" Target="https://advance.lexis.com/api/document?collection=administrative-codes&amp;id=urn:contentItem:5DT7-0130-006W-81YP-00000-00&amp;context=" TargetMode="External" /><Relationship Id="rId27" Type="http://schemas.openxmlformats.org/officeDocument/2006/relationships/hyperlink" Target="https://advance.lexis.com/api/document?collection=administrative-codes&amp;id=urn:contentItem:5P25-NG20-008H-02V3-00000-00&amp;context=" TargetMode="External" /><Relationship Id="rId28" Type="http://schemas.openxmlformats.org/officeDocument/2006/relationships/hyperlink" Target="https://advance.lexis.com/api/document?collection=administrative-codes&amp;id=urn:contentItem:5GMB-DPC0-008H-02SJ-00000-00&amp;context=" TargetMode="External" /><Relationship Id="rId29" Type="http://schemas.openxmlformats.org/officeDocument/2006/relationships/hyperlink" Target="http://www.ed.gov/fund/grant/apply/grantapps/index.html" TargetMode="External" /><Relationship Id="rId3" Type="http://schemas.openxmlformats.org/officeDocument/2006/relationships/fontTable" Target="fontTable.xml" /><Relationship Id="rId30" Type="http://schemas.openxmlformats.org/officeDocument/2006/relationships/hyperlink" Target="http://www.EDPubs.gov" TargetMode="External" /><Relationship Id="rId31" Type="http://schemas.openxmlformats.org/officeDocument/2006/relationships/hyperlink" Target="mailto:edpubs@inet.ed.gov" TargetMode="External" /><Relationship Id="rId32" Type="http://schemas.openxmlformats.org/officeDocument/2006/relationships/hyperlink" Target="http://fedgov.dnb.com/webform" TargetMode="External" /><Relationship Id="rId33" Type="http://schemas.openxmlformats.org/officeDocument/2006/relationships/hyperlink" Target="http://www.SAM.gov" TargetMode="External" /><Relationship Id="rId34" Type="http://schemas.openxmlformats.org/officeDocument/2006/relationships/hyperlink" Target="http://www.grants.gov/web/grants/register.html" TargetMode="External" /><Relationship Id="rId35" Type="http://schemas.openxmlformats.org/officeDocument/2006/relationships/hyperlink" Target="http://www.Grants.gov" TargetMode="External" /><Relationship Id="rId36" Type="http://schemas.openxmlformats.org/officeDocument/2006/relationships/hyperlink" Target="http://www.G5.gov" TargetMode="External" /><Relationship Id="rId37" Type="http://schemas.openxmlformats.org/officeDocument/2006/relationships/hyperlink" Target="http://www.grants.gov/web/grants/applicants/apply-for-grants.html" TargetMode="External" /><Relationship Id="rId38" Type="http://schemas.openxmlformats.org/officeDocument/2006/relationships/hyperlink" Target="https://advance.lexis.com/api/document?collection=administrative-codes&amp;id=urn:contentItem:5GMB-DPB0-008H-02GP-00000-00&amp;context=" TargetMode="External" /><Relationship Id="rId39" Type="http://schemas.openxmlformats.org/officeDocument/2006/relationships/hyperlink" Target="https://advance.lexis.com/api/document?collection=administrative-codes&amp;id=urn:contentItem:5KS0-F5W0-008H-023P-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R5H-J1H0-008H-043K-00000-00&amp;context=" TargetMode="External" /><Relationship Id="rId41" Type="http://schemas.openxmlformats.org/officeDocument/2006/relationships/hyperlink" Target="https://advance.lexis.com/api/document?collection=administrative-codes&amp;id=urn:contentItem:5KS0-F5W0-008H-024V-00000-00&amp;context=" TargetMode="External" /><Relationship Id="rId42" Type="http://schemas.openxmlformats.org/officeDocument/2006/relationships/hyperlink" Target="https://advance.lexis.com/api/document?collection=administrative-codes&amp;id=urn:contentItem:5KS0-F600-008H-02PT-00000-00&amp;context=" TargetMode="External" /><Relationship Id="rId43" Type="http://schemas.openxmlformats.org/officeDocument/2006/relationships/hyperlink" Target="https://advance.lexis.com/api/document?collection=administrative-codes&amp;id=urn:contentItem:5KS0-F5W0-008H-025B-00000-00&amp;context=" TargetMode="External" /><Relationship Id="rId44" Type="http://schemas.openxmlformats.org/officeDocument/2006/relationships/hyperlink" Target="https://advance.lexis.com/api/document?collection=administrative-codes&amp;id=urn:contentItem:5HDM-DHF0-008G-Y2NJ-00000-00&amp;context=" TargetMode="External" /><Relationship Id="rId45" Type="http://schemas.openxmlformats.org/officeDocument/2006/relationships/hyperlink" Target="https://advance.lexis.com/api/document?collection=administrative-codes&amp;id=urn:contentItem:5F34-Y1R0-008G-Y1F9-00000-00&amp;context=" TargetMode="External" /><Relationship Id="rId46" Type="http://schemas.openxmlformats.org/officeDocument/2006/relationships/hyperlink" Target="https://advance.lexis.com/api/document?collection=administrative-codes&amp;id=urn:contentItem:5F2R-48P0-008G-Y31V-00000-00&amp;context=" TargetMode="External" /><Relationship Id="rId47" Type="http://schemas.openxmlformats.org/officeDocument/2006/relationships/hyperlink" Target="https://advance.lexis.com/api/document?collection=administrative-codes&amp;id=urn:contentItem:5GMB-DPC0-008H-02S7-00000-00&amp;context=" TargetMode="External" /><Relationship Id="rId48" Type="http://schemas.openxmlformats.org/officeDocument/2006/relationships/hyperlink" Target="https://advance.lexis.com/api/document?collection=administrative-codes&amp;id=urn:contentItem:5GMB-DPC0-008H-02SK-00000-00&amp;context=" TargetMode="External" /><Relationship Id="rId49" Type="http://schemas.openxmlformats.org/officeDocument/2006/relationships/hyperlink" Target="http://www.ed.gov/fund/grant/apply/appforms/appforms.html"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GMB-DPB0-008H-0272-00000-00&amp;context=" TargetMode="External" /><Relationship Id="rId51" Type="http://schemas.openxmlformats.org/officeDocument/2006/relationships/hyperlink" Target="https://advance.lexis.com/api/document?collection=administrative-codes&amp;id=urn:contentItem:5GMB-DPB0-008H-027J-00000-00&amp;context=" TargetMode="External" /><Relationship Id="rId52" Type="http://schemas.openxmlformats.org/officeDocument/2006/relationships/hyperlink" Target="https://advance.lexis.com/api/document?collection=administrative-codes&amp;id=urn:contentItem:5GMB-DPB0-008H-027K-00000-00&amp;context=" TargetMode="External" /><Relationship Id="rId53" Type="http://schemas.openxmlformats.org/officeDocument/2006/relationships/hyperlink" Target="http://www.gpo.gov/fdsys" TargetMode="External" /><Relationship Id="rId54" Type="http://schemas.openxmlformats.org/officeDocument/2006/relationships/hyperlink" Target="http://www.federalregister.gov" TargetMode="External" /><Relationship Id="rId55" Type="http://schemas.openxmlformats.org/officeDocument/2006/relationships/numbering" Target="numbering.xml" /><Relationship Id="rId56"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NC7-KP20-006W-81SR-00000-00&amp;context=" TargetMode="External" /><Relationship Id="rId8" Type="http://schemas.openxmlformats.org/officeDocument/2006/relationships/hyperlink" Target="https://advance.lexis.com/api/document?collection=statutes-legislation&amp;id=urn:contentItem:4YF7-GP51-NRF4-40G1-00000-00&amp;context=" TargetMode="External" /><Relationship Id="rId9" Type="http://schemas.openxmlformats.org/officeDocument/2006/relationships/hyperlink" Target="https://advance.lexis.com/api/document?collection=statutes-legislation&amp;id=urn:contentItem:4YF7-GVJ1-NRF4-42X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8486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71557696</vt:lpwstr>
  </property>
  <property fmtid="{D5CDD505-2E9C-101B-9397-08002B2CF9AE}" pid="3" name="LADocCount">
    <vt:lpwstr>1</vt:lpwstr>
  </property>
  <property fmtid="{D5CDD505-2E9C-101B-9397-08002B2CF9AE}" pid="4" name="UserPermID">
    <vt:lpwstr>urn:user:PA185916758</vt:lpwstr>
  </property>
</Properties>
</file>