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20461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083, Tuesday, May 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20461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Technical Assistance and Dissemination To Improve Services and Results for Children With Disabilities--National Technical Assistance Center for Inclusive Practices and Policies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Technical Assistance and Dissemination to Improve Services and Results for Children with Disabilities--National Technical Assistance Center for Inclusive Practices and Policies, Catalog of Federal Domestic Assistance (CFDA) Number 84.326Y.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Technical Assistance and Dissemination to Improve Services and Results for Children with Disabilities program is to promote academic achievement and to improve results for children with disabilities by providing technical assistance (TA), supporting model demonstration projects, disseminating useful information, and implementing activities that are supported by scientifically based research.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xml:space="preserve">, this priority is from allowable activities specified in the statute (see sections 663 and 681 of the Individuals with Disabilities Education Act (IDEA); </w:t>
      </w:r>
      <w:hyperlink r:id="rId9"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20 U.S.C. 1481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Technical Assistance Center for Inclusive Practices and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children with disabilities benefit when educators have high expectations of them and take steps to ensure their appropriate participation in the general education curriculum to the maximum extent possible. Furthermore, IDEA requires placement of children with disabilities in the least restrictive environment so they are educated with nondisabled children to the maximum extent appropriate. This general philosophy of inclusion is a cornerstone of IDEA and applies to all children with disabilities, including students with the most significant cognitive disabilities, who often need the most support. These most significant cognitive disabilities include, but are not limited to, </w:t>
      </w:r>
      <w:r>
        <w:rPr>
          <w:rFonts w:ascii="arial" w:eastAsia="arial" w:hAnsi="arial" w:cs="arial"/>
          <w:b/>
          <w:i w:val="0"/>
          <w:strike w:val="0"/>
          <w:noProof w:val="0"/>
          <w:color w:val="000000"/>
          <w:position w:val="0"/>
          <w:sz w:val="20"/>
          <w:u w:val="none"/>
          <w:vertAlign w:val="baseline"/>
        </w:rPr>
        <w:t> [*20462] </w:t>
      </w:r>
      <w:r>
        <w:rPr>
          <w:rFonts w:ascii="arial" w:eastAsia="arial" w:hAnsi="arial" w:cs="arial"/>
          <w:b w:val="0"/>
          <w:i w:val="0"/>
          <w:strike w:val="0"/>
          <w:noProof w:val="0"/>
          <w:color w:val="000000"/>
          <w:position w:val="0"/>
          <w:sz w:val="20"/>
          <w:u w:val="none"/>
          <w:vertAlign w:val="baseline"/>
        </w:rPr>
        <w:t xml:space="preserve"> intellectual disabilities, autism, multiple disabilities, and traumatic brain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with the most significant cognitive disabilities, however, continue to be educated in separate placements and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classrooms, schools, and out-of-district placements) where exposure to the general education classroom, peers, and core curriculum is limited. The wide variation in educational placements across the country suggests, at a minimum, that the placements of students with the most significant cognitive disabilities may not always be decided on the basis of their individual educational needs. Further, despite advances in identifying effective and practical inclusion tools and strategies for serving children with disabilities, implementation remains a challenge for school personnel who work with children with the most intensive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help address these circumstances and challenges.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The purpose of this priority is to fund a cooperative agreement to establish and operate a TA Center for Inclusive Practices and Policies (TA Center) to assist State educational agencies (SEAs) and local educational agencies (LEAs) to successfully implement and sustain inclusive practices and policies, supported by evidence (as defined in this notice) and based on individualized determinations, for students with the most significant cognitive disabilities in elementary and middle school (K-8) programs. The TA Center will select sites in collaboration with the Office of Special Education Programs (OSEP). The TA Center must achieve, at a minimum, the following expected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 the quantity of time that students with the most significant cognitive disabilities are served in more inclusive environments, where appropriate, based on their individual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Increase the amount of educational engagement for students with the most significant cognitive disabilities across multiple settings and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classroom, academic instruction, extracurricular activities) throughout the school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Improve the quality of instruction, including the use of interventions and accommodations supported by evidence, for students with the most significant cognitive disabilities in more inclusive environments based on their individual needs;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Increase the capacity of SEA, LEA, and school personnel to support and implement inclusive practices and policies in grade-level academic and extracurricular settings for students with the most significant cognitive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which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Improve SEAs' and LEAs' implementation and sustainability of inclusive practices and policies that are supported by evidence and designed to improve access to more inclusive environments and increase the amount of educational engagement for students with the most significant cognitive disabilities.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applicable State, regional, or local data demonstrating SEAs' and LEAs' needs related to high-quality implementation of inclusive practices and policies supported by evidence as well as students' access to more inclusive environments, particularly for students with the most significant cognitive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current educational issues and policy initiatives relating to inclusive practices and policies for students with the most significant cognitive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Present information about the current level of implementation of inclusive practices and policies, as well as students' access to more inclusive environments and engagement in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Address the likely magnitude or importance of improving the quantity of time students with the most significant cognitive disabilities spend in general educational environments and increasing the amount of educational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equal access and treatment for members of groups that have traditionally been underrepresented based on race, color, national origin, gender, age, or disability. To meet this requirement, the applicant must describe how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Identify the needs of the intended recipients for TA and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Ensure that services and products meet the needs of the intended recipients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Achieve its goals, objectives, and intended outcomes. To meet this requirement, the applicant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logic model by which the proposed project will achieve its intended outcomes. A logic model used in connection with this priority communicates how a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a conceptual framework to develop project plans and activities, describing any underlying concepts, assumptions, expectations, beliefs, or theories, as well as the presumed relationships or linkages among these variables, and any empirical support for this framework;</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Rather than use the definition of "logic model" in </w:t>
      </w:r>
      <w:hyperlink r:id="rId11"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OSEP uses the definition in paragraph (b)(2)(ii) of these application requirements. This definition, unlike the definition in </w:t>
      </w:r>
      <w:hyperlink r:id="rId11"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differentiates between logic models and conceptual frameworks. The following Web sites provide more information on logic models: </w:t>
      </w:r>
      <w:hyperlink r:id="rId12"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based on current research and make use of practices supported by evidence.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current research on the assessment of inclusive practices and policies, including those specific to students with the most significant cognitive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current research about adult learning principles and implementation science that will inform the proposed 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incorporate current research and practices supported by evidence in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 products and provide services that are of high quality and sufficient intensity and duration to achieve the intended outcomes of the proposed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it proposes to identify or develop the knowledge base related to inclusive practices and policies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Its proposed approach to universal, general TA, which must identify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Its proposed approach to targeted, specialized TA, which must identify-- </w:t>
      </w:r>
      <w:r>
        <w:rPr>
          <w:rFonts w:ascii="arial" w:eastAsia="arial" w:hAnsi="arial" w:cs="arial"/>
          <w:b/>
          <w:i w:val="0"/>
          <w:strike w:val="0"/>
          <w:noProof w:val="0"/>
          <w:color w:val="000000"/>
          <w:position w:val="0"/>
          <w:sz w:val="20"/>
          <w:u w:val="none"/>
          <w:vertAlign w:val="baseline"/>
        </w:rPr>
        <w:t> [*20463]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potential TA recipients to work with the project, assessing, at a minimum, their current infrastructure, available resources, and ability to build capacity at the local level;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Its proposed approach to intensive, sustained TA, which must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intended recipients of the products and services under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Its proposed approach to measure the readiness of SEAs and LEAs to work with the project, including their commitment to the initiative, alignment of the initiative to their needs, current infrastructure, available resources, and ability to build capacity at the State and local district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Its proposed plan for assisting SEAs and LEAs to build training systems that include professional development based on adult learning principles and coaching;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Its proposed plan for working with appropriate levels of the education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SEAs, regional TA providers, districts, schools, and families) to ensure that there is communication across each level and that there are systems in place to support the use of inclusive practices and policies for students with the most significant cognitive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Develop products and implement services that maximize efficiency.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use technology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whom the proposed project will collaborate and the intended outcomes of this collaboration;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use non-project resources to achieve the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as described in the following paragraphs. The evaluation plan must describe: Measures of progress in implementation, including the criteria for determining the extent to which the project's products and services have reached the project's target population; measures of intended outcomes or results of the project's activities in order to evaluate those activities; and how well the goals or objectives of the proposed project, as described in its logic model,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must provide an assurance that, in designing the evaluation plan,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Designate, with the approval of the OSEP project officer, a project liaison staff person with sufficient dedicated time, experience in evaluation, and knowledge of the project to work in collaboration with the TA Center to Improve Program and Project Performance (CIP3), n1 the project director, and the OSEP project officer on the following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major tasks of CIP3 are to guide, coordinate, and oversee the design of formative evaluations for every large discretionary investment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awarded $ 500,000 or more per year and required to participate in the 3+2 process) in OSEP's Technical Assistance and Dissemination; Personnel Development; Parent Training and Information Centers; and Educational Technology, Media, and Materials programs. The efforts of CIP3 are expected to enhance individual project evaluation plans by providing expert and unbiased TA in designing the evaluations with due consideration of the project's budget. CIP3 does not function as a third-party evaluator.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Revise, as needed, the logic model submitted in the grant application to provide for a more comprehensive measurement of implementation and outcomes and to reflect any changes or clarifications to the model discussed at the kick-off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Refine the evaluation design and instrumentation proposed in the grant application consistent with the logic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prepare evaluation questions about significant program processes and outcomes; develop quantitative or qualitative data collections that permit both the collection of progress data, including fidelity of implementation, as appropriate, and the assessment of project outcomes; and identify analytic strategies);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Revise, as needed, the evaluation plan submitted in the grant application such that it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Specifies the measures and associated instruments or sources for data appropriate to the evaluation questions, suggests analytic strategies for those data, provides a timeline for conducting the evaluation, and includes staff assignments for completion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Delineates the data expected to be available by the end of the second project year for use during the project's evaluation (3+2 review) for continued funding described under the heading </w:t>
      </w:r>
      <w:r>
        <w:rPr>
          <w:rFonts w:ascii="arial" w:eastAsia="arial" w:hAnsi="arial" w:cs="arial"/>
          <w:b w:val="0"/>
          <w:i/>
          <w:strike w:val="0"/>
          <w:noProof w:val="0"/>
          <w:color w:val="000000"/>
          <w:position w:val="0"/>
          <w:sz w:val="20"/>
          <w:u w:val="none"/>
          <w:vertAlign w:val="baseline"/>
        </w:rPr>
        <w:t>Fourth and Fifth Years of the Project;</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Can be used to assist the project director and the OSEP project officer, with the assistance of CIP3, as needed, to specify the performance measures to be addressed in the project's Annual Performance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Cooperate with CIP3 staff in order to accomplish the tasks described in paragraph (1) of this section;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Dedicate sufficient funds in each budget year to cover the costs of carrying out the tasks described in paragraphs (1) and (2) of this section and implementing the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traditionally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and experience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Key project personnel and any consultants and subcontractors will be allocated and how these allocations are appropriate and adequate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relevant, and useful to recipients;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those of families, educators, TA providers, researchers, and policy makers, among others,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Include, in Appendix A, a conceptual framework for the project; </w:t>
      </w:r>
      <w:r>
        <w:rPr>
          <w:rFonts w:ascii="arial" w:eastAsia="arial" w:hAnsi="arial" w:cs="arial"/>
          <w:b/>
          <w:i w:val="0"/>
          <w:strike w:val="0"/>
          <w:noProof w:val="0"/>
          <w:color w:val="000000"/>
          <w:position w:val="0"/>
          <w:sz w:val="20"/>
          <w:u w:val="none"/>
          <w:vertAlign w:val="baseline"/>
        </w:rPr>
        <w:t> [*20464]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personnel-loading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 and an annual planning meeting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two and one-half 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Two annual two-day trips to attend Department briefings, Department-sponsored conferences, and other meetings,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one-day intensive 3+2 review meeting in Washington, DC,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in the budget, a line item for an annual set-aside of five percent of the grant amount to support emerging needs that are consistent with the proposed project's intended outcomes, as those needs are identified in consultation with, and approved by the OSEP project officer. With approval from the OSEP project officer, the project must reallocate any remaining funds from this annual set-aside no later than the end of the third quarter of each budget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Maintain a Web site that meets government or industry-recognized standards for accessibility;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Include, in Appendix A, an assurance to assist OSEP with the transfer of pertinent resources and products and to maintain the continuity of services to States during the transition to this new award period,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the project for the fourth and fifth years, the Secretary will consider the requirements of </w:t>
      </w:r>
      <w:hyperlink r:id="rId14"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3+2 review team consisting of experts selected by the Secretary. This review will be conducted during a one-day intensive meeting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success and timeliness with which the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project's products and services and the extent to which the project's products and services are aligned with the project's objectives and likely to result in the project achieving its intended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Inclusive policies</w:t>
      </w:r>
      <w:r>
        <w:rPr>
          <w:rFonts w:ascii="arial" w:eastAsia="arial" w:hAnsi="arial" w:cs="arial"/>
          <w:b w:val="0"/>
          <w:i w:val="0"/>
          <w:strike w:val="0"/>
          <w:noProof w:val="0"/>
          <w:color w:val="000000"/>
          <w:position w:val="0"/>
          <w:sz w:val="20"/>
          <w:u w:val="none"/>
          <w:vertAlign w:val="baseline"/>
        </w:rPr>
        <w:t xml:space="preserve"> refers to State and local education policies that support the implementation of inclusive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Inclusive practices</w:t>
      </w:r>
      <w:r>
        <w:rPr>
          <w:rFonts w:ascii="arial" w:eastAsia="arial" w:hAnsi="arial" w:cs="arial"/>
          <w:b w:val="0"/>
          <w:i w:val="0"/>
          <w:strike w:val="0"/>
          <w:noProof w:val="0"/>
          <w:color w:val="000000"/>
          <w:position w:val="0"/>
          <w:sz w:val="20"/>
          <w:u w:val="none"/>
          <w:vertAlign w:val="baseline"/>
        </w:rPr>
        <w:t xml:space="preserve"> means, to the maximum extent appropriate, children with disabilities, including children in public or private institutions or other care facilities, are educated with children who are not disabled, and special classes, separate schooling, or other removal of children with disabilities from the regular educational environment occurs only when the nature or severity of the disability of a child is such that education in regular classes with the use of supplementary aids and services cannot be achieved satisfactorily.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Intensive, sustained TA</w:t>
      </w:r>
      <w:r>
        <w:rPr>
          <w:rFonts w:ascii="arial" w:eastAsia="arial" w:hAnsi="arial" w:cs="arial"/>
          <w:b w:val="0"/>
          <w:i w:val="0"/>
          <w:strike w:val="0"/>
          <w:noProof w:val="0"/>
          <w:color w:val="000000"/>
          <w:position w:val="0"/>
          <w:sz w:val="20"/>
          <w:u w:val="none"/>
          <w:vertAlign w:val="baseline"/>
        </w:rPr>
        <w:t xml:space="preserve"> means TA services often provided on-site and requiring a stable, ongoing relationship between the TA Center staff and the TA recipient usually entailing a negotiated series of activities designed to reach a valued outcome. This category of TA should result in changes to policies, programs, practices, or operations that support increased recipient capacity or improved outcomes at one or more systems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by evidence</w:t>
      </w:r>
      <w:r>
        <w:rPr>
          <w:rFonts w:ascii="arial" w:eastAsia="arial" w:hAnsi="arial" w:cs="arial"/>
          <w:b w:val="0"/>
          <w:i w:val="0"/>
          <w:strike w:val="0"/>
          <w:noProof w:val="0"/>
          <w:color w:val="000000"/>
          <w:position w:val="0"/>
          <w:sz w:val="20"/>
          <w:u w:val="none"/>
          <w:vertAlign w:val="baseline"/>
        </w:rPr>
        <w:t xml:space="preserve"> means supported by at least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 services</w:t>
      </w:r>
      <w:r>
        <w:rPr>
          <w:rFonts w:ascii="arial" w:eastAsia="arial" w:hAnsi="arial" w:cs="arial"/>
          <w:b w:val="0"/>
          <w:i w:val="0"/>
          <w:strike w:val="0"/>
          <w:noProof w:val="0"/>
          <w:color w:val="000000"/>
          <w:position w:val="0"/>
          <w:sz w:val="20"/>
          <w:u w:val="none"/>
          <w:vertAlign w:val="baseline"/>
        </w:rPr>
        <w:t xml:space="preserve"> means expertise provided in response to a client's defined problem or need in order to increase the client's capacity. OSEP has specified three categories of TA services: (1) Universal, general TA; (2) targeted, specialized TA; and (3) intensive, sustained 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Targeted, specialized TA</w:t>
      </w:r>
      <w:r>
        <w:rPr>
          <w:rFonts w:ascii="arial" w:eastAsia="arial" w:hAnsi="arial" w:cs="arial"/>
          <w:b w:val="0"/>
          <w:i w:val="0"/>
          <w:strike w:val="0"/>
          <w:noProof w:val="0"/>
          <w:color w:val="000000"/>
          <w:position w:val="0"/>
          <w:sz w:val="20"/>
          <w:u w:val="none"/>
          <w:vertAlign w:val="baseline"/>
        </w:rPr>
        <w:t xml:space="preserve"> means TA services based on needs common to multiple recipients and not extensively individualized. A relationship is established between the TA recipient and one or more TA Center staff. This category of TA includes one-time, labor-intensive events, such as facilitating strategic planning or hosting regional or national conferences. It can also include episodic, less labor-intensive events that extend over a period of time, such as facilitating a series of conference calls on single or multiple topics that are designed around the needs of the recipients. Facilitating communities of practice can also be considered targeted, specialized 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Universal, general TA</w:t>
      </w:r>
      <w:r>
        <w:rPr>
          <w:rFonts w:ascii="arial" w:eastAsia="arial" w:hAnsi="arial" w:cs="arial"/>
          <w:b w:val="0"/>
          <w:i w:val="0"/>
          <w:strike w:val="0"/>
          <w:noProof w:val="0"/>
          <w:color w:val="000000"/>
          <w:position w:val="0"/>
          <w:sz w:val="20"/>
          <w:u w:val="none"/>
          <w:vertAlign w:val="baseline"/>
        </w:rPr>
        <w:t xml:space="preserve"> means TA and information provided to independent users through their own initiative, resulting in minimal interaction with TA Center staff and including one-time, invited or offered conference presentations by TA Center staff. This category of TA also includes information or products, such as newsletters, guidebooks, or research syntheses, downloaded from the TA Center's Web site by independent users. Brief communications by TA Center staff with recipients, either by telephone or email, are also considered universal, general 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Section 681(d) of IDEA, however,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1463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$ 54,345,000 for the Technical Assistance and Dissemination to Improve Services and Results for Children with Disabilities program for FY 2017, of which we intend to use an estimated $ 2,000,000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actual level of </w:t>
      </w:r>
      <w:r>
        <w:rPr>
          <w:rFonts w:ascii="arial" w:eastAsia="arial" w:hAnsi="arial" w:cs="arial"/>
          <w:b/>
          <w:i w:val="0"/>
          <w:strike w:val="0"/>
          <w:noProof w:val="0"/>
          <w:color w:val="000000"/>
          <w:position w:val="0"/>
          <w:sz w:val="20"/>
          <w:u w:val="none"/>
          <w:vertAlign w:val="baseline"/>
        </w:rPr>
        <w:t> [*20465] </w:t>
      </w:r>
      <w:r>
        <w:rPr>
          <w:rFonts w:ascii="arial" w:eastAsia="arial" w:hAnsi="arial" w:cs="arial"/>
          <w:b w:val="0"/>
          <w:i w:val="0"/>
          <w:strike w:val="0"/>
          <w:noProof w:val="0"/>
          <w:color w:val="000000"/>
          <w:position w:val="0"/>
          <w:sz w:val="20"/>
          <w:u w:val="none"/>
          <w:vertAlign w:val="baseline"/>
        </w:rPr>
        <w:t xml:space="preserve">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$ 2,000,000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LEAs, including public charter schools that operate as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5"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IHEs and private nonprofit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r>
        <w:rPr>
          <w:rFonts w:ascii="arial" w:eastAsia="arial" w:hAnsi="arial" w:cs="arial"/>
          <w:b w:val="0"/>
          <w:i w:val="0"/>
          <w:strike w:val="0"/>
          <w:noProof w:val="0"/>
          <w:color w:val="000000"/>
          <w:position w:val="0"/>
          <w:sz w:val="20"/>
          <w:u w:val="none"/>
          <w:vertAlign w:val="baseline"/>
        </w:rPr>
        <w:t xml:space="preserve"> (a)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must, with respect to the aspects of their proposed project relating to the absolute priority,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6"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7"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8"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84.326Y.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Page Limit: The application narrative (Part III of the application) is where you, the applicant, address the selection criteria that reviewers use to evaluate your application. You must limit Part III to no more than 70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2,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 Deadline for Intergovernmental Review: August 15,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Maintain an active SAM registration with current information while your application is under review by the Department and, if you are </w:t>
      </w:r>
      <w:r>
        <w:rPr>
          <w:rFonts w:ascii="arial" w:eastAsia="arial" w:hAnsi="arial" w:cs="arial"/>
          <w:b/>
          <w:i w:val="0"/>
          <w:strike w:val="0"/>
          <w:noProof w:val="0"/>
          <w:color w:val="000000"/>
          <w:position w:val="0"/>
          <w:sz w:val="20"/>
          <w:u w:val="none"/>
          <w:vertAlign w:val="baseline"/>
        </w:rPr>
        <w:t> [*20466] </w:t>
      </w:r>
      <w:r>
        <w:rPr>
          <w:rFonts w:ascii="arial" w:eastAsia="arial" w:hAnsi="arial" w:cs="arial"/>
          <w:b w:val="0"/>
          <w:i w:val="0"/>
          <w:strike w:val="0"/>
          <w:noProof w:val="0"/>
          <w:color w:val="000000"/>
          <w:position w:val="0"/>
          <w:sz w:val="20"/>
          <w:u w:val="none"/>
          <w:vertAlign w:val="baseline"/>
        </w:rPr>
        <w:t xml:space="preserv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9"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0"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Technical Assistance and Dissemination to Improve Services and Results for Children with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84.326Y,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Technical Assistance and Dissemination to Improve Services and Results for Children with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84.326, not 84.326Y).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i w:val="0"/>
          <w:strike w:val="0"/>
          <w:noProof w:val="0"/>
          <w:color w:val="000000"/>
          <w:position w:val="0"/>
          <w:sz w:val="20"/>
          <w:u w:val="none"/>
          <w:vertAlign w:val="baseline"/>
        </w:rPr>
        <w:t> [*20467]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Tina Diamond, U.S. Department of Education, 400 Maryland Avenue SW., Room 5136, Potomac Center Plaza, Washington, DC 20202-5108.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84.326Y),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84.326Y),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 </w:t>
      </w:r>
      <w:r>
        <w:rPr>
          <w:rFonts w:ascii="arial" w:eastAsia="arial" w:hAnsi="arial" w:cs="arial"/>
          <w:b/>
          <w:i w:val="0"/>
          <w:strike w:val="0"/>
          <w:noProof w:val="0"/>
          <w:color w:val="000000"/>
          <w:position w:val="0"/>
          <w:sz w:val="20"/>
          <w:u w:val="none"/>
          <w:vertAlign w:val="baseline"/>
        </w:rPr>
        <w:t> [*20468]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significance of the proposed project.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will address specific gaps or weaknesses in services, infrastructure, or opportunities that have been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importance or magnitude of the results or outcomes likely to be attained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services (40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services to be provided by the proposed project. In determining the quality of the services to be provided by the proposed project, the Secretary considers the quality and sufficiency of strategies for ensuring equal access and treatment for eligible project participants who are members of groups that have traditionally been underrepresented based on race, color, national origin, gender, age, or disability.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there is a conceptual framework underlying the proposed activities and the quality of that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services to be provided by the proposed project reflect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proposed products and services are of sufficient quality, intensity, and duration to lead to the outcomes to be achieved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products and services to be developed and provided by the proposed project involve the use of efficient strategies, including the use of technology, collaboration with appropriate partners, and the leveraging of non-project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evaluation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will provide data and performance feedback for examining the effectiveness of project implementation strategies and the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produce quantitative and qualitative data that demonstrate the project has met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project resources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including the personnel who will carry out the proposed project. In determining the adequacy of resources, the Secretary considers the extent to which the applicant encourages applications for employment from persons who are members of groups that have traditionally been underrepresented based on race, color, national origin, gender, age, or disability.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qualifications, including relevant training and experience, of key project personnel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 director, project staff, and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support, including facilities, equipment, supplies, and other resources, from the applicant organization and key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management plan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time commitments of the project director, project staff, and project consultants or subcontractors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mechanisms for ensuring high-quality products and services from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the applicant will ensure that a diversity of perspectives are brought to bear in the operation of the proposed project, including those of parents, teachers, the business community, a variety of disciplinary and professional fields, recipients or beneficiaries of services, or others,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xml:space="preserve">, the Secretary may impose special conditions and, in appropriate </w:t>
      </w:r>
      <w:r>
        <w:rPr>
          <w:rFonts w:ascii="arial" w:eastAsia="arial" w:hAnsi="arial" w:cs="arial"/>
          <w:b/>
          <w:i w:val="0"/>
          <w:strike w:val="0"/>
          <w:noProof w:val="0"/>
          <w:color w:val="000000"/>
          <w:position w:val="0"/>
          <w:sz w:val="20"/>
          <w:u w:val="none"/>
          <w:vertAlign w:val="baseline"/>
        </w:rPr>
        <w:t> [*20469] </w:t>
      </w:r>
      <w:r>
        <w:rPr>
          <w:rFonts w:ascii="arial" w:eastAsia="arial" w:hAnsi="arial" w:cs="arial"/>
          <w:b w:val="0"/>
          <w:i w:val="0"/>
          <w:strike w:val="0"/>
          <w:noProof w:val="0"/>
          <w:color w:val="000000"/>
          <w:position w:val="0"/>
          <w:sz w:val="20"/>
          <w:u w:val="none"/>
          <w:vertAlign w:val="baseline"/>
        </w:rPr>
        <w:t xml:space="preserv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1"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Department has established a set of performance measures, including long-term measures, that are designed to yield information on various aspects of the effectiveness and quality of the Technical Assistance and Dissemination to Improve Services and Results for Children with Disabilities program. These measures are included in the application package and focus on the extent to which projects provide high-quality products and services, the relevance of project products and services to educational and early intervention policy and practice, and the use of products and services to improve educational and early intervention policy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37"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4"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26,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Special Education Programs, 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2017-08780 Filed 5-1-17;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2,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16,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15,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Tina Diamond, U.S. Department of Education, 400 Maryland Avenue SW., Room 5136, Potomac Center Plaza, Washington, DC 20202-5108. Telephone: (202) 245-6674.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20461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PC-00000-00&amp;context="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www.osepideasthatwork.org/logicModel" TargetMode="External" /><Relationship Id="rId13" Type="http://schemas.openxmlformats.org/officeDocument/2006/relationships/hyperlink" Target="http://www.osepideasthatwork.org/resources-grantees/program-areas/ta-ta/tad-project-logic-model-and-conceptual-framework" TargetMode="External" /><Relationship Id="rId14" Type="http://schemas.openxmlformats.org/officeDocument/2006/relationships/hyperlink" Target="https://advance.lexis.com/api/document?collection=administrative-codes&amp;id=urn:contentItem:5GMB-DPB0-008H-02K8-00000-00&amp;context=" TargetMode="External" /><Relationship Id="rId15" Type="http://schemas.openxmlformats.org/officeDocument/2006/relationships/hyperlink" Target="https://advance.lexis.com/api/document?collection=administrative-codes&amp;id=urn:contentItem:5GMB-DPC0-008H-02SJ-00000-00&amp;context=" TargetMode="External" /><Relationship Id="rId16" Type="http://schemas.openxmlformats.org/officeDocument/2006/relationships/hyperlink" Target="http://www.ed.gov/fund/grant/apply/grantapps/index.html" TargetMode="External" /><Relationship Id="rId17" Type="http://schemas.openxmlformats.org/officeDocument/2006/relationships/hyperlink" Target="http://www.EDPubs.gov" TargetMode="External" /><Relationship Id="rId18" Type="http://schemas.openxmlformats.org/officeDocument/2006/relationships/hyperlink" Target="mailto:edpubs@inet.ed.gov" TargetMode="External" /><Relationship Id="rId19" Type="http://schemas.openxmlformats.org/officeDocument/2006/relationships/hyperlink" Target="http://fedgov.dnb.com/webform" TargetMode="External" /><Relationship Id="rId2" Type="http://schemas.openxmlformats.org/officeDocument/2006/relationships/webSettings" Target="webSettings.xml" /><Relationship Id="rId20" Type="http://schemas.openxmlformats.org/officeDocument/2006/relationships/hyperlink" Target="http://www.SAM.gov" TargetMode="External" /><Relationship Id="rId21" Type="http://schemas.openxmlformats.org/officeDocument/2006/relationships/hyperlink" Target="http://www.grants.gov/web/grants/register.html" TargetMode="External" /><Relationship Id="rId22" Type="http://schemas.openxmlformats.org/officeDocument/2006/relationships/hyperlink" Target="http://www.Grants.gov" TargetMode="External" /><Relationship Id="rId23" Type="http://schemas.openxmlformats.org/officeDocument/2006/relationships/hyperlink" Target="http://www.G5.gov" TargetMode="External" /><Relationship Id="rId24" Type="http://schemas.openxmlformats.org/officeDocument/2006/relationships/hyperlink" Target="http://www.grants.gov/web/grants/applicants/apply-for-grants.html"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HDM-DHF0-008G-Y2NJ-00000-00&amp;context=" TargetMode="External" /><Relationship Id="rId32" Type="http://schemas.openxmlformats.org/officeDocument/2006/relationships/hyperlink" Target="https://advance.lexis.com/api/document?collection=administrative-codes&amp;id=urn:contentItem:5F34-Y1R0-008G-Y1F9-00000-00&amp;context=" TargetMode="External" /><Relationship Id="rId33" Type="http://schemas.openxmlformats.org/officeDocument/2006/relationships/hyperlink" Target="https://advance.lexis.com/api/document?collection=administrative-codes&amp;id=urn:contentItem:5F2R-48P0-008G-Y31V-00000-00&amp;context=" TargetMode="External" /><Relationship Id="rId34" Type="http://schemas.openxmlformats.org/officeDocument/2006/relationships/hyperlink" Target="https://advance.lexis.com/api/document?collection=administrative-codes&amp;id=urn:contentItem:5GMB-DPC0-008H-02S7-00000-00&amp;context=" TargetMode="External" /><Relationship Id="rId35" Type="http://schemas.openxmlformats.org/officeDocument/2006/relationships/hyperlink" Target="https://advance.lexis.com/api/document?collection=administrative-codes&amp;id=urn:contentItem:5GMB-DPC0-008H-02SK-00000-00&amp;context=" TargetMode="External" /><Relationship Id="rId36" Type="http://schemas.openxmlformats.org/officeDocument/2006/relationships/hyperlink" Target="http://www.ed.gov/fund/grant/apply/appforms/appforms.html" TargetMode="External" /><Relationship Id="rId37" Type="http://schemas.openxmlformats.org/officeDocument/2006/relationships/hyperlink" Target="https://advance.lexis.com/api/document?collection=administrative-codes&amp;id=urn:contentItem:5GMB-DPB0-008H-027J-00000-00&amp;context=" TargetMode="External" /><Relationship Id="rId38" Type="http://schemas.openxmlformats.org/officeDocument/2006/relationships/hyperlink" Target="http://www.gpo.gov/fdsys" TargetMode="External" /><Relationship Id="rId39" Type="http://schemas.openxmlformats.org/officeDocument/2006/relationships/hyperlink" Target="http://www.federalregister.gov"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FK-D5T0-006W-82PH-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P71-NRF4-41B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23791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71570011</vt:lpwstr>
  </property>
  <property fmtid="{D5CDD505-2E9C-101B-9397-08002B2CF9AE}" pid="3" name="LADocCount">
    <vt:lpwstr>1</vt:lpwstr>
  </property>
  <property fmtid="{D5CDD505-2E9C-101B-9397-08002B2CF9AE}" pid="4" name="UserPermID">
    <vt:lpwstr>urn:user:PA185916758</vt:lpwstr>
  </property>
</Properties>
</file>