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21581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088, Tuesday, May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21581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the Exchange's Fees at Rule 7047</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34-80585; File No. SR-NASDAQ-2017-041]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May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April 20, 2017,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Exchange's fees at Rule 7047 to clarify the application of Nasdaq fees to Derived Data in light of changing industry practices. Specifically, the proposed changes will: (i) Limit application of the Derived Data Distributor Fee for Nasdaq Basic in Rule 7047(c)(2) only to those Distributors that both create and distribute Derived Data; (ii) clarify that the Nasdaq Basic per Subscriber user fees in Rules 7047(b)(1) and (b)(2), and the distributor fee in Rule 7047(c)(1), cover both Nasdaq data feeds and Derived Data therefrom; and (iii) clarify that the enterprise licenses for Professional and Non-Professional Subscribers in Rules 7047(b)(4) and (b)(5) cover the distribution of Derived Data from Nasdaq Basic. The proposal is described in further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clarify the application of Nasdaq fees to Derived Data in light of changing industry practices. Specifically, the proposed changes will: (i) Limit application of the Derived Data Distributor Fee for Nasdaq Basic in Rule 7047(c)(2) only to those Distributors that both create and distribute Derived Data; (ii) clarify that the Nasdaq Basic per Subscriber user fees in Rules 7047(b)(1) and (b)(2), and the distributor fee in Rule 7047(c)(1), cover both Nasdaq data feeds and Derived Data therefrom; and (iii) clarify that the enterprise licenses for Professional and Non-Professional Subscribers in Rules 7047(b)(4) and (b)(5) cover the distribution of Derived Data from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 provides best bid and offer information from the Nasdaq Market Center, as well as last sale transaction reports from both the Nasdaq Market Center and the FINRA/Nasdaq Trade Reporting Facility ("TRF"). This is a subset of the "core" quotation and last sale data provided by securities information processors under the CQ/CT Plan and the UTP Plan. The three components of Nasdaq Basic, which may be purchased individually or in combination, are: (i) Nasdaq Basic for Nasdaq, which contains the best bid and offer on the Nasdaq Market Center and last sale transaction reports for Nasdaq and the FINRA/Nasdaq TRF for Nasdaq-listed stocks; (ii) Nasdaq Basic for NYSE, which covers NYSE-listed stocks, and (iii) Nasdaq Basic for NYSE MKT, which provides data on stocks listed on NYSE MKT and other listing venues whose quotes and trade reports are disseminated on Tape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Derived Data Distributor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Distributor n3 of Derived Data n4 from Nasdaq Basic may pay a $ 1,500 per month fee to disseminate such data to an unlimited number of Non-Professional Subscribers n5 under Rule 7047(c)(2). If a Distributor elects not to pay the Derived Data Distributor Fee, the Distributor must pay the per Subscriber charges for Non-Professionals set forth in Rule 7047(b)(2). In either case, Distributors of Derived Data must also pay the </w:t>
      </w:r>
      <w:r>
        <w:rPr>
          <w:rFonts w:ascii="arial" w:eastAsia="arial" w:hAnsi="arial" w:cs="arial"/>
          <w:b/>
          <w:i w:val="0"/>
          <w:strike w:val="0"/>
          <w:noProof w:val="0"/>
          <w:color w:val="000000"/>
          <w:position w:val="0"/>
          <w:sz w:val="20"/>
          <w:u w:val="none"/>
          <w:vertAlign w:val="baseline"/>
        </w:rPr>
        <w:t> [*21582] </w:t>
      </w:r>
      <w:r>
        <w:rPr>
          <w:rFonts w:ascii="arial" w:eastAsia="arial" w:hAnsi="arial" w:cs="arial"/>
          <w:b w:val="0"/>
          <w:i w:val="0"/>
          <w:strike w:val="0"/>
          <w:noProof w:val="0"/>
          <w:color w:val="000000"/>
          <w:position w:val="0"/>
          <w:sz w:val="20"/>
          <w:u w:val="none"/>
          <w:vertAlign w:val="baseline"/>
        </w:rPr>
        <w:t xml:space="preserve"> Distributor fee set forth in Rule 7047(c)(1).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 "Distributor" is "any entity that receives NASDAQ Basic data directly from NASDAQ or indirectly through another entity and then distributes it to one or more Subscribers." Nasdaq Rule 7047(d)(1).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"Derived Data" is "pricing data or other information that is created in whole or in part from NASDAQ information; it cannot be reverse engineered to recreate NASDAQ information, or be used to create other data that is recognizable as a reasonable substitute for NASDAQ information." Nasdaq Rule 7047(d)(5).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"Non-Professional Subscriber" is a natural person who is not (i) registered or qualified in any capacity with the Commission, the Commodity Futures Trading Commission, any state securities agency, any securities exchange or association, or (ii) any commodities or futures contract market or association; engaged as an "investment adviser" as that term is defined in Section 201(11)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Nasdaq Rule 7047(d)(3)(A).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has recently become aware that certain Distributors create Derived Data ("Primary Distributors"), and send it to other Distributors, which transmit the Derived Data in the same form that it was received to Subscribers ("Secondary Distributors"). The Exchange, in its initial filing for the Derived Data Distributor Fee in 2011, stated that the fee applied only to firms that "derive data from Nasdaq Basic" n6 --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Distributors. The text of Rule 7047(c)(2), however, does not distinguish between Primary and Secondary Distributors. Rule 7047(c)(2) states that "[a] Distributor may pay $ 1,500 per month to distribute Derived Data from Nasdaq Basic," implying that all Distributors--both Primary and Secondary--may pay that fee. Further clarification appeared to be unnecessary at the time because the Exchange was not aware of the existence of Secondary Distributors.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64994 (July 29, 2011), </w:t>
      </w:r>
      <w:hyperlink r:id="rId11" w:history="1">
        <w:r>
          <w:rPr>
            <w:rFonts w:ascii="arial" w:eastAsia="arial" w:hAnsi="arial" w:cs="arial"/>
            <w:b w:val="0"/>
            <w:i/>
            <w:strike w:val="0"/>
            <w:noProof w:val="0"/>
            <w:color w:val="0077CC"/>
            <w:position w:val="0"/>
            <w:sz w:val="20"/>
            <w:u w:val="single"/>
            <w:vertAlign w:val="baseline"/>
          </w:rPr>
          <w:t>76 FR 47621</w:t>
        </w:r>
      </w:hyperlink>
      <w:r>
        <w:rPr>
          <w:rFonts w:ascii="arial" w:eastAsia="arial" w:hAnsi="arial" w:cs="arial"/>
          <w:b w:val="0"/>
          <w:i w:val="0"/>
          <w:strike w:val="0"/>
          <w:noProof w:val="0"/>
          <w:color w:val="000000"/>
          <w:position w:val="0"/>
          <w:sz w:val="20"/>
          <w:u w:val="none"/>
          <w:vertAlign w:val="baseline"/>
        </w:rPr>
        <w:t xml:space="preserve"> (August 5, 2011) (SR-NASDAQ-2011-091).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changing industry practice, the Exchange proposes to clarify the Rule to state that only Distributors that "create and distribute Derived Data from Nasdaq Basic" pay the fee, thereby excluding Secondary Distributors from application of Rule 7047(c)(2). This is a codification of Nasdaq's intent as set forth in the initial filing and Nasdaq's interpretation of Rule 7047(c)(2) based on that rule and related filings, and will not change customer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Fees for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 Subscribers n7 to Nasdaq Basic pay per Subscriber monthly charges of $ 13.00 for Nasdaq Basic for Nasdaq, $ 6.50 for Nasdaq Basic for NYSE, and $ 6.50 for Nasdaq Basic for NYSE MKT under Rule 7047(b)(1). Non-Professional Subscribers pay at the reduced monthly rates of $ 0.50, $ 0.25, and $ 0.25, respectively, under Rule 7047(b)(2).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"Professional Subscriber" is any Subscriber other than a Non-Professional Subscriber.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Derived Data Distributor Fee, currently set forth in Rule 7047(c)(2) was introduced in 2011, the Exchange explained in the accompanying filing that the fee "would be in lieu of non-professional subscriber fees," n8 indicating that the monthly per Subscriber fees set forth in Rule 7047(b)(2) applied to Derived Data. There was no explicit reference to Derived Data in Rule 7047(b)(2) because the Exchange was not aware of instances in which Derived Data was distributed without a Nasdaq Basic data feed, rendering such a reference unnecessary.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64994 (July 29, 2011), </w:t>
      </w:r>
      <w:hyperlink r:id="rId11" w:history="1">
        <w:r>
          <w:rPr>
            <w:rFonts w:ascii="arial" w:eastAsia="arial" w:hAnsi="arial" w:cs="arial"/>
            <w:b w:val="0"/>
            <w:i/>
            <w:strike w:val="0"/>
            <w:noProof w:val="0"/>
            <w:color w:val="0077CC"/>
            <w:position w:val="0"/>
            <w:sz w:val="20"/>
            <w:u w:val="single"/>
            <w:vertAlign w:val="baseline"/>
          </w:rPr>
          <w:t>76 FR 47621</w:t>
        </w:r>
      </w:hyperlink>
      <w:r>
        <w:rPr>
          <w:rFonts w:ascii="arial" w:eastAsia="arial" w:hAnsi="arial" w:cs="arial"/>
          <w:b w:val="0"/>
          <w:i w:val="0"/>
          <w:strike w:val="0"/>
          <w:noProof w:val="0"/>
          <w:color w:val="000000"/>
          <w:position w:val="0"/>
          <w:sz w:val="20"/>
          <w:u w:val="none"/>
          <w:vertAlign w:val="baseline"/>
        </w:rPr>
        <w:t xml:space="preserve"> (August 5, 2011) (SR-NASDAQ-2011-091).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recently become aware, however, that certain Subscribers purchase Derived Data without a Nasdaq Basic data feed. The Exchange proposes to clarify Rule 7047(b)(2), and the parallel rule for Professional Subscribers at Rule 7047(b)(1), to state that the per Subscriber monthly charges allow the transmission of both Nasdaq Basic feeds and/or any Derived Data therefrom.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distributor fee for Nasdaq Basic in Rule 7047(c)(1) did not separately reference Derived Data because such data was not distributed without a Nasdaq Basic data feed. Because industry practice has changed, the Exchange proposes to clarify that the distributor fee in Rule 7047(c)(1) covers Derived Data, as well as the Nasdaq Basic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changes will not change prices, but rather are a codification of the Exchange's original intent and its interpretation of these Rules based on the text of the Rules and their related filings, in light of changes in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 Enterprise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may purchase two enterprise licenses for Nasdaq Basic in lieu of per Subscriber user fees: (i) An enterprise license for Professional and Non-Professional Subscribers with whom the broker-dealer has a brokerage relationship under Rule 7047(b)(5); or (ii) an enterprise license for internal Professional Subscribers under Rule 7047(b)(4). The enterprise license for Subscribers in a brokerage relationship was introduced in 2011, n9 but the rule did not specify whether that license would cover the distribution of Derived Data. The enterprise license for internal Professional Subscribers, introduced in 2014, n10 did not explicitly reference Derived Data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65526 (October 11, 2011), </w:t>
      </w:r>
      <w:hyperlink r:id="rId12" w:history="1">
        <w:r>
          <w:rPr>
            <w:rFonts w:ascii="arial" w:eastAsia="arial" w:hAnsi="arial" w:cs="arial"/>
            <w:b w:val="0"/>
            <w:i/>
            <w:strike w:val="0"/>
            <w:noProof w:val="0"/>
            <w:color w:val="0077CC"/>
            <w:position w:val="0"/>
            <w:sz w:val="20"/>
            <w:u w:val="single"/>
            <w:vertAlign w:val="baseline"/>
          </w:rPr>
          <w:t>76 FR 64137</w:t>
        </w:r>
      </w:hyperlink>
      <w:r>
        <w:rPr>
          <w:rFonts w:ascii="arial" w:eastAsia="arial" w:hAnsi="arial" w:cs="arial"/>
          <w:b w:val="0"/>
          <w:i w:val="0"/>
          <w:strike w:val="0"/>
          <w:noProof w:val="0"/>
          <w:color w:val="000000"/>
          <w:position w:val="0"/>
          <w:sz w:val="20"/>
          <w:u w:val="none"/>
          <w:vertAlign w:val="baseline"/>
        </w:rPr>
        <w:t xml:space="preserve"> (October 17, 2011) (SR-NASDAQ-2011-130).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71507 (February 7, 2014), </w:t>
      </w:r>
      <w:hyperlink r:id="rId13" w:history="1">
        <w:r>
          <w:rPr>
            <w:rFonts w:ascii="arial" w:eastAsia="arial" w:hAnsi="arial" w:cs="arial"/>
            <w:b w:val="0"/>
            <w:i/>
            <w:strike w:val="0"/>
            <w:noProof w:val="0"/>
            <w:color w:val="0077CC"/>
            <w:position w:val="0"/>
            <w:sz w:val="20"/>
            <w:u w:val="single"/>
            <w:vertAlign w:val="baseline"/>
          </w:rPr>
          <w:t>79 FR 8763</w:t>
        </w:r>
      </w:hyperlink>
      <w:r>
        <w:rPr>
          <w:rFonts w:ascii="arial" w:eastAsia="arial" w:hAnsi="arial" w:cs="arial"/>
          <w:b w:val="0"/>
          <w:i w:val="0"/>
          <w:strike w:val="0"/>
          <w:noProof w:val="0"/>
          <w:color w:val="000000"/>
          <w:position w:val="0"/>
          <w:sz w:val="20"/>
          <w:u w:val="none"/>
          <w:vertAlign w:val="baseline"/>
        </w:rPr>
        <w:t xml:space="preserve"> (February 13, 2014) (SR-NASDAQ-2014-011).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 license for internal Professional Subscribers was introduced as an alternative to the Nasdaq Basic user fees set forth in Rule 7047(b)(1), and the enterprise license for Subscribers with whom the broker-dealer has a brokerage relationship was designed as an alternative to the user fees set forth in Rule 7047(b)(1) and (b)(2). For the reasons set forth above, the fees set forth at Rules 7047(b)(1) and (b)(2) were intended to cover the distribution of Derived Data. Because these enterprise licenses were introduced as alternatives to Rules 7047(b)(1) and (b)(2), these licenses were intended to cover Derived Data as well. In light of a change in industry practice in which Derived Data is sometimes distributed without a proprietary data feed, the Exchange proposes to codify the original intent of the Exchange, and its interpretation of the Rules and related filings, and explicitly state that the enterprise licenses at Rules 7047(b)(4) and (b)(5) cover the distribution of Derived Data from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proposed changes clarify how Nasdaq Basic fees set forth in Rule 7047 apply to Derived Data. The first change clarifies that the Derived Data Distributor Fee does not apply to Secondary Distributors,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entities that distribute, but do not create, Derived Data. The second change clarifies that the per Subscriber user fees set forth in Rule 7047(b)(1) and (b)(2), and the distributor fee in Rule 7047(c)(1) also allow the distribution of Derived Data. The third change clarifies that the enterprise licenses under Rules 7047(b)(4) and (b)(5) cover the distribution of Derived Data. None of these proposed changes raise the cost of Nasdaq Basic or any other Nasdaq product, but rather codify the original intent and ongoing interpretation of Rule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for all Nasdaq Basic products--including Derived Data from Nasdaq Basic--are entirely optional, in that they apply only to Distributors or Subscribers that opt to purchase Nasdaq Basic or Derived Data therefrom. The proposed changes do not impact the cost of any Nasdaq product, including Nasdaq Basic and any Derived Data from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n11 in general, and furthers the objectives of Sections 6(b)(4) and 6(b)(5) of the Act, n12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w:t>
      </w:r>
      <w:r>
        <w:rPr>
          <w:rFonts w:ascii="arial" w:eastAsia="arial" w:hAnsi="arial" w:cs="arial"/>
          <w:b/>
          <w:i w:val="0"/>
          <w:strike w:val="0"/>
          <w:noProof w:val="0"/>
          <w:color w:val="000000"/>
          <w:position w:val="0"/>
          <w:sz w:val="20"/>
          <w:u w:val="none"/>
          <w:vertAlign w:val="baseline"/>
        </w:rPr>
        <w:t> [*21583] </w:t>
      </w:r>
      <w:r>
        <w:rPr>
          <w:rFonts w:ascii="arial" w:eastAsia="arial" w:hAnsi="arial" w:cs="arial"/>
          <w:b w:val="0"/>
          <w:i w:val="0"/>
          <w:strike w:val="0"/>
          <w:noProof w:val="0"/>
          <w:color w:val="000000"/>
          <w:position w:val="0"/>
          <w:sz w:val="20"/>
          <w:u w:val="none"/>
          <w:vertAlign w:val="baseline"/>
        </w:rPr>
        <w:t xml:space="preserve">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5"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n14 ("NetCoalition") the D.C. Circuit upheld the Commission's use of a market-based approach in evaluating the fairness of market data fees against a challenge claiming that Congress mandated a cost-based approach. n15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6"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6"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6"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7"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current proposals--(i) to limit application of the Derived Data Distributor Fee, (ii) clarify the application of Nasdaq Basic per Subscriber user fees and a distributor fee to Derived Data, and (iii) establish that Derived Data is included in the Professional and Non-Professional enterprise licenses--are fair and equitable in accordance with Section 6(b)(4) of the Act, and not unreasonably discriminatory in accordance with Section 6(b)(5) of the Act. The proposed changes do not change any fee, but rather codify and clarify Nasdaq's interpretation of its rules. Moreover, fees for Nasdaq Basic and its associated Derived Data, like all market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exchanges and among broker-dealers for customers. If Nasdaq is incorrect in its assessment, there is no barrier to block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from entering the market with substantially similar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changes are an equitable allocation and not unfairly discriminatory because the Exchange will apply the same fees to all similarly-situated Distributors.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rebate opportunities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Basic--and all data derived from Nasdaq Basic--is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NYSE, BATS, and other exchanges that offer similar products. If Nasdaq Basic were to prove unattractive to market participants, it is likely that the Exchange would lose market share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proposed changes do not affect any existing fees, which are, in any event, constrained by market forces in three distinct respects. First, all fees related to Nasdaq Basic are constrained by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in attracting order flow. Firms make decisions regarding this and other proprietary data products based on the total cost of interacting with the Exchange, and, because the supracompetitive pricing of any proprietary data product increases the total cost of interacting with the Exchange, such pricing would harm order flow. Second, the price of Nasdaq Basic is constrained by the existence of multiple substitutes that are offered, or may be offered, by entities that offer proprietary or non-proprietary data. Third, the proposed fee will be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Subscribers.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fees related to Nasdaq Basic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thirteen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and TracECN.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and the BATS exchanges.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w:t>
      </w:r>
      <w:r>
        <w:rPr>
          <w:rFonts w:ascii="arial" w:eastAsia="arial" w:hAnsi="arial" w:cs="arial"/>
          <w:b/>
          <w:i w:val="0"/>
          <w:strike w:val="0"/>
          <w:noProof w:val="0"/>
          <w:color w:val="000000"/>
          <w:position w:val="0"/>
          <w:sz w:val="20"/>
          <w:u w:val="none"/>
          <w:vertAlign w:val="baseline"/>
        </w:rPr>
        <w:t> [*21584] </w:t>
      </w:r>
      <w:r>
        <w:rPr>
          <w:rFonts w:ascii="arial" w:eastAsia="arial" w:hAnsi="arial" w:cs="arial"/>
          <w:b w:val="0"/>
          <w:i w:val="0"/>
          <w:strike w:val="0"/>
          <w:noProof w:val="0"/>
          <w:color w:val="000000"/>
          <w:position w:val="0"/>
          <w:sz w:val="20"/>
          <w:u w:val="none"/>
          <w:vertAlign w:val="baseline"/>
        </w:rPr>
        <w:t xml:space="preserve">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Firms make decisions on how much and what types of data to consume based on the total cost of interacting with an exchange, and data fees are a factor in the total platform analysis. A supracompetitive increase in the fees charged for proprietary data has the potential to impair revenue for the exchange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will therefore constrain prices for proprietary data products, including charges relating to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data derived from Nasdaq Basic is also constrained by the existence of multiple substitutes offered by numerous entities, including both proprietary data offered by other SROs or other entities, and non-proprietary data disseminated by Nasdaq in its capacity as a Securities Information Processor ("SIP") for the national market system plan governing securities listed on Nasdaq as a national securities exchange ("Nasdaq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provided through Nasdaq Basic is a subset of the best bid and offer and last sale data provided by the SIP. The "core" data disseminated by the SIP consists of best-price quotations and last sale information from all markets in U.S.-listed equities; Nasdaq Basic provides best bid and offer and last sale information for all U.S. exchange-listed stocks based on trade reports from the Nasdaq Market Center and the FINRA/Nasdaq Trade Reporting Facility. Many customers that purchase SIP data do not also purchase Nasdaq Basic. Where customers buy both products, they may shift the extent to which they purchase one or the other based on relative price changes. The SIP constrains the price of Nasdaq Basic because no purchaser would pay an excessive price for Nasdaq Basic when similar data is available from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Proprietary data sold by other exchanges also constrain the price of Nasdaq Basic because other exchanges, such as NYSE and BATS, also sell proprietary non-core data that include best bid and offer and last sale data. Customers would not pay an excessive price for Nasdaq Basic when substitute data is available from other proprietary sources, and customers would not typically purchase proprietary best bid and offer and last sale data from multiple exchanges.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Distributors that disseminate data derived from Nasdaq Basic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Subscribers. If the price of such data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Distributors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may lower their costs by substituting Nasdaq data with other products, in whole or in part.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Subscribers therefore provides another constraint on the cost of Derived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Nasdaq Basic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data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Subscribers.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SR-NASDAQ-2017-041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SR-NASDAQ-2017-041. This file number should be included on the subject line if email is used. To help the Commission process and review your comments more efficiently, please use only one method. The Commission will post all comments on the Commission's Internet Web site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SR-NASDAQ-2017-041 and should be submitted on or before May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2017-09312 Filed 5-8-17;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21581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3GD-DG30-006W-8499-00000-00&amp;context=" TargetMode="External" /><Relationship Id="rId12" Type="http://schemas.openxmlformats.org/officeDocument/2006/relationships/hyperlink" Target="https://advance.lexis.com/api/document?collection=administrative-codes&amp;id=urn:contentItem:5420-94W0-006W-82J7-00000-00&amp;context=" TargetMode="External" /><Relationship Id="rId13" Type="http://schemas.openxmlformats.org/officeDocument/2006/relationships/hyperlink" Target="https://advance.lexis.com/api/document?collection=administrative-codes&amp;id=urn:contentItem:5BH7-V740-006W-8136-00000-00&amp;context=" TargetMode="External" /><Relationship Id="rId14" Type="http://schemas.openxmlformats.org/officeDocument/2006/relationships/hyperlink" Target="https://advance.lexis.com/api/document?collection=statutes-legislation&amp;id=urn:contentItem:4YF7-GPC1-NRF4-4309-00000-00&amp;context=" TargetMode="External" /><Relationship Id="rId15" Type="http://schemas.openxmlformats.org/officeDocument/2006/relationships/hyperlink" Target="https://advance.lexis.com/api/document?collection=administrative-codes&amp;id=urn:contentItem:4GH9-4PB0-014W-D1VJ-00000-00&amp;context=" TargetMode="External" /><Relationship Id="rId16" Type="http://schemas.openxmlformats.org/officeDocument/2006/relationships/hyperlink" Target="https://advance.lexis.com/api/document?collection=cases&amp;id=urn:contentItem:803V-DT30-YB0V-T01B-00000-00&amp;context=" TargetMode="External" /><Relationship Id="rId17" Type="http://schemas.openxmlformats.org/officeDocument/2006/relationships/hyperlink" Target="https://advance.lexis.com/api/document?collection=administrative-codes&amp;id=urn:contentItem:4V3T-8BP0-006W-834G-00000-00&amp;context=" TargetMode="External" /><Relationship Id="rId18" Type="http://schemas.openxmlformats.org/officeDocument/2006/relationships/hyperlink" Target="http://www.sec.gov/rules/sro.shtml" TargetMode="External" /><Relationship Id="rId19" Type="http://schemas.openxmlformats.org/officeDocument/2006/relationships/hyperlink" Target="mailto:rule-comments@sec.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PP-2120-008G-Y2ND-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H3-DSY0-006W-83D9-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4092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