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22523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093, Tuesday, May 16,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22523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May 16,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Striving Readers Comprehensive Literacy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Education is issuing a notice inviting applications for new awards for fiscal year (FY) 2017 for Striving Readers Comprehensive Literacy Programs, Catalog of Federal Domestic Assistance (CFDA) number 84.371C.</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Striving Readers Comprehensive Literacy (SRCL) Program awards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to advance literacy skills, including pre-literacy skills, reading, and writing, for children from birth through grade 12, with an emphasis on disadvantaged children, including children living in poverty, English learners, and children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These priorities are from the notice of final priorities, requirements, definitions, and selection criteria for this program,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(NFP).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based on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Interventions and Practices Supported by Moderate or Strong Evidence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a State educational agency (SEA) must ensure that evidence plays a central role in the SRCL subgrants. Specifically, in its high-quality plan, an SEA must assure that (1) it will use an independent peer review process to prioritize awards to eligible subgrantees that propose high-quality comprehensive literacy instruction programs that are supported by moderate evidence or strong evidence, where evidence is applicable and available, and (2) the comprehensive literacy instruction program proposed by eligible subgrantees will align with the State's comprehensive literacy plan as well as local needs.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8"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up to an additional five points to an application for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depending on how well the application meets one or more of these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1--Serving Disadvantaged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an SEA must describe in its application a high-quality plan to award subgrants that will serve the greatest numbers or percentages of disadvantaged children, including children living in poverty, English learners, and children with disabilities.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2--Alignment within a Birth through Fifth Grade Continuum</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an SEA must describe in its application a high-quality plan to align, through a progression of approaches appropriate for each age group, early language and literacy projects supported by this grant that serve children from birth to age five with programs and systems that serve students in kindergarten through grade five to improve school readiness and transitions for children across this continuum.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The State Funding Allocations requirement is from Title III of Division H of the Consolidated Appropriations Act, 2016 (</w:t>
      </w:r>
      <w:r>
        <w:rPr>
          <w:rFonts w:ascii="arial" w:eastAsia="arial" w:hAnsi="arial" w:cs="arial"/>
          <w:b w:val="0"/>
          <w:i/>
          <w:strike w:val="0"/>
          <w:noProof w:val="0"/>
          <w:color w:val="000000"/>
          <w:position w:val="0"/>
          <w:sz w:val="20"/>
          <w:u w:val="none"/>
          <w:vertAlign w:val="baseline"/>
        </w:rPr>
        <w:t>Pub. L. 114-113</w:t>
      </w:r>
      <w:r>
        <w:rPr>
          <w:rFonts w:ascii="arial" w:eastAsia="arial" w:hAnsi="arial" w:cs="arial"/>
          <w:b w:val="0"/>
          <w:i w:val="0"/>
          <w:strike w:val="0"/>
          <w:noProof w:val="0"/>
          <w:color w:val="000000"/>
          <w:position w:val="0"/>
          <w:sz w:val="20"/>
          <w:u w:val="none"/>
          <w:vertAlign w:val="baseline"/>
        </w:rPr>
        <w:t>). The rest of these requirements are from the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Funding Allocations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Subgrant no less than 95 percent of funds received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eligible subgrantees;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Ensure that at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15 percent of the subgranted funds serve children from birth through age five; </w:t>
      </w:r>
      <w:r>
        <w:rPr>
          <w:rFonts w:ascii="arial" w:eastAsia="arial" w:hAnsi="arial" w:cs="arial"/>
          <w:b/>
          <w:i w:val="0"/>
          <w:strike w:val="0"/>
          <w:noProof w:val="0"/>
          <w:color w:val="000000"/>
          <w:position w:val="0"/>
          <w:sz w:val="20"/>
          <w:u w:val="none"/>
          <w:vertAlign w:val="baseline"/>
        </w:rPr>
        <w:t> [*22524]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40 percent of the subgranted funds serve students in kindergarten through grade five;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40 percent of the subgranted funds serve students in middle and high school, including an equitable distribution of funds between middle and high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Comprehensive Literacy Plan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considered for an award under this program, an SEA must submit a new or revised State comprehensive literacy plan that is informed by a recent (conducted in the past five years) and comprehensive needs assessment developed with the assistance of its State literacy team. Additionally, the plan must be reviewed by the State literacy team and updated annually if an SEA receives an award under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Local Literacy Plan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must ensure that they will only fund subgrantees that submit a local literacy plan that: (1) is informed by a comprehensive needs assessment and that is aligned with the State comprehensive literacy plan; (2) provides for professional development; (3) includes interventions and practices that are supported by moderate evidence or strong evidence, where evidence is applicable and available; and (4) includes a plan to track children's outcomes consistent with all applicable privacy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Prioritization of Subgrants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selecting among eligible subgrantees, an SEA must give priority to eligible subgrantees serving greater numbers or percentages of disadvantaged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Continuous Program Improvement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must use data, including the results of monitoring and evaluations and other administrative data, to inform the program's continuous improvement and decisionmaking, to improve program participant outcomes, and to ensure that disadvantaged children are served. Additionally, grantees must ensure that subgrantees, educators, families, and other key stakeholders receive the results of the evaluations conducted on the effectiveness of the program in a timely fashion, consistent with all applicable Federal, State, and other privacy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Supplement not Supplant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must use funds under this program to supplement, and not supplant, any non-Federal funds that would be used to advance literacy skills for children from birth through grade 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Cooperation with National Evaluation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assure they will only fund subgrantees that provide a written assurance to cooperate with a national evaluation of the SRCL program. This may include adhering to the results of a random assignment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lottery) to select schools or early learning providers that will receive SRCL funds as well as agreeing to implement the literacy interventions proposed to be funded under SRCL only in schools or early learning providers that will receive SRCL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definition of "child with a disability" is from the Elementary and Secondary Education Act of 1965 (ESEA), as amended by the No Child Left Behind Act (NCLB). The rest of these definitions are from the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Child with a disability</w:t>
      </w:r>
      <w:r>
        <w:rPr>
          <w:rFonts w:ascii="arial" w:eastAsia="arial" w:hAnsi="arial" w:cs="arial"/>
          <w:b w:val="0"/>
          <w:i w:val="0"/>
          <w:strike w:val="0"/>
          <w:noProof w:val="0"/>
          <w:color w:val="000000"/>
          <w:position w:val="0"/>
          <w:sz w:val="20"/>
          <w:u w:val="none"/>
          <w:vertAlign w:val="baseline"/>
        </w:rPr>
        <w:t xml:space="preserve"> has the same meaning given that term in section 602 of the Individuals with Disabilities Education Act.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Child with a disability has the same meaning in the ESEA, as amended by NCLB, and in the ESEA, as amended by the Every Student Succeeds Act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Comprehensive literacy instruction</w:t>
      </w:r>
      <w:r>
        <w:rPr>
          <w:rFonts w:ascii="arial" w:eastAsia="arial" w:hAnsi="arial" w:cs="arial"/>
          <w:b w:val="0"/>
          <w:i w:val="0"/>
          <w:strike w:val="0"/>
          <w:noProof w:val="0"/>
          <w:color w:val="000000"/>
          <w:position w:val="0"/>
          <w:sz w:val="20"/>
          <w:u w:val="none"/>
          <w:vertAlign w:val="baseline"/>
        </w:rPr>
        <w:t xml:space="preserve"> means instruction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Includes developmentally appropriate, contextually explicit, and systematic instruction, and frequent practice, in reading and writing across content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Includes age-appropriate, explicit, systematic, and intentional instruction in phonological awareness, phonic decoding, vocabulary, language structure, reading fluency, and reading comprehension;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Includes age-appropriate, explicit instruction in writing, including opportunities for children to write with clear purposes, with critical reasoning appropriate to the topic and purpose, and with specific instruction and feedback from instructional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Makes available and uses diverse, high-quality print materials that reflect the reading and development levels, and interests,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Uses differentiated instructional approaches, including individual and small group instruction and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Provides opportunities for children to use language with peers and adults in order to develop language skills, including developing vocabulary;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Includes frequent practice of reading and writing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Uses age-appropriate, valid, and reliable screening assessments, diagnostic assessments, formative assessment processes, and summative assessments to identify a child's learning needs, to inform instruction, and to monitor the child's progress and the effects of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Uses strategies to enhance children's motivation to read and write and children's engagement in self-directed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Incorporates the principles of universal design for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Depends on teachers' collaboration in planning, instruction, and assessing a child's progress and on continuous professional learning;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Links literacy instruction to the State's challenging academic standards, including standards relating to the ability to navigate, understand, and write about complex subject matters in print and digital formats.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Disadvantaged child</w:t>
      </w:r>
      <w:r>
        <w:rPr>
          <w:rFonts w:ascii="arial" w:eastAsia="arial" w:hAnsi="arial" w:cs="arial"/>
          <w:b w:val="0"/>
          <w:i w:val="0"/>
          <w:strike w:val="0"/>
          <w:noProof w:val="0"/>
          <w:color w:val="000000"/>
          <w:position w:val="0"/>
          <w:sz w:val="20"/>
          <w:u w:val="none"/>
          <w:vertAlign w:val="baseline"/>
        </w:rPr>
        <w:t xml:space="preserve"> means a child from birth to grade 12 who is at risk of educational failure or otherwise in need of special assistance and support, including a child living in poverty, a child with a disability, or a child who is an English learner. This term also includes infants and toddlers with developmental delays or a child who is far below grade level, who has left school before receiving a regular high school diploma, who is at risk of not graduating with a diploma on time, who is homeless, who is in foster care, or who has been incarcerated.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Eligible subgrantee</w:t>
      </w:r>
      <w:r>
        <w:rPr>
          <w:rFonts w:ascii="arial" w:eastAsia="arial" w:hAnsi="arial" w:cs="arial"/>
          <w:b w:val="0"/>
          <w:i w:val="0"/>
          <w:strike w:val="0"/>
          <w:noProof w:val="0"/>
          <w:color w:val="000000"/>
          <w:position w:val="0"/>
          <w:sz w:val="20"/>
          <w:u w:val="none"/>
          <w:vertAlign w:val="baseline"/>
        </w:rPr>
        <w:t xml:space="preserve"> means one or more LEAs or, in the case of early literacy, one or more LEAs or nonprofit providers of early childhood education, with a demonstrated record of effectiveness in improving language and early literacy development of children from birth through age five and in providing professional development in language and early literacy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English learner</w:t>
      </w:r>
      <w:r>
        <w:rPr>
          <w:rFonts w:ascii="arial" w:eastAsia="arial" w:hAnsi="arial" w:cs="arial"/>
          <w:b w:val="0"/>
          <w:i w:val="0"/>
          <w:strike w:val="0"/>
          <w:noProof w:val="0"/>
          <w:color w:val="000000"/>
          <w:position w:val="0"/>
          <w:sz w:val="20"/>
          <w:u w:val="none"/>
          <w:vertAlign w:val="baseline"/>
        </w:rPr>
        <w:t xml:space="preserve"> means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Who is aged 3 through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Who is enrolled or preparing to enroll in an elementary school or secondary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 Who was not born in the United States or whose native language is a language other than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Who is a Native American or Alaska Native, or a native resident of the outlying areas;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Who comes from an environment where a language other than English has had a significant impact on the individual's level of English language proficiency;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Who is migratory, whose native language is a language other than English, and who comes from an environment where a language other than English is dominant;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Whose difficulties in speaking, reading, writing, or understanding the English language may be sufficient to deny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ability to meet the challenging State academic standards; </w:t>
      </w:r>
      <w:r>
        <w:rPr>
          <w:rFonts w:ascii="arial" w:eastAsia="arial" w:hAnsi="arial" w:cs="arial"/>
          <w:b/>
          <w:i w:val="0"/>
          <w:strike w:val="0"/>
          <w:noProof w:val="0"/>
          <w:color w:val="000000"/>
          <w:position w:val="0"/>
          <w:sz w:val="20"/>
          <w:u w:val="none"/>
          <w:vertAlign w:val="baseline"/>
        </w:rPr>
        <w:t> [*22525]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ability to successfully achieve in classrooms where the language of instruction is English;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opportunity to participate fully in society.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Evidence-based,</w:t>
      </w:r>
      <w:r>
        <w:rPr>
          <w:rFonts w:ascii="arial" w:eastAsia="arial" w:hAnsi="arial" w:cs="arial"/>
          <w:b w:val="0"/>
          <w:i w:val="0"/>
          <w:strike w:val="0"/>
          <w:noProof w:val="0"/>
          <w:color w:val="000000"/>
          <w:position w:val="0"/>
          <w:sz w:val="20"/>
          <w:u w:val="none"/>
          <w:vertAlign w:val="baseline"/>
        </w:rPr>
        <w:t xml:space="preserve"> when used with respect to a State, local educational agency, or school activity, means an activity, strategy, or intervention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Demonstrates a statistically significant effect on improving student outcomes or other relevant outcomes based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Strong evidence from at least one well-designed and well-implemented experimental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Moderate evidence from at least one well-designed and well-implemented quasi-experimental study;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Promising evidence from at least one well-designed and well-implemented correlational study with statistical controls for selection bias;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 Demonstrates a rationale based on high-quality research findings or positive evaluation that such activity, strategy, or intervention is likely to improve student outcomes or other relevant outcomes;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Includes ongoing efforts to examine the effects of such activity, strategy or intervention.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High-quality plan</w:t>
      </w:r>
      <w:r>
        <w:rPr>
          <w:rFonts w:ascii="arial" w:eastAsia="arial" w:hAnsi="arial" w:cs="arial"/>
          <w:b w:val="0"/>
          <w:i w:val="0"/>
          <w:strike w:val="0"/>
          <w:noProof w:val="0"/>
          <w:color w:val="000000"/>
          <w:position w:val="0"/>
          <w:sz w:val="20"/>
          <w:u w:val="none"/>
          <w:vertAlign w:val="baseline"/>
        </w:rPr>
        <w:t xml:space="preserve"> means any plan developed by the SEA that is feasible and has a high probability of successful implementation and, at a minimum, includes--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key goals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key activities to be undertaken and the rationale for how the activities support the key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realistic timeline, including key milestones, for implementing each key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party or parties responsible for implementing each activity and other key personnel assigned to each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A strong theory, including a rationale for the plan and a corresponding logic model as defined in </w:t>
      </w:r>
      <w:hyperlink r:id="rId9"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Performance measures at the State and local levels;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Appropriate financial resources to support successful implementation of the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Independent peer review</w:t>
      </w:r>
      <w:r>
        <w:rPr>
          <w:rFonts w:ascii="arial" w:eastAsia="arial" w:hAnsi="arial" w:cs="arial"/>
          <w:b w:val="0"/>
          <w:i w:val="0"/>
          <w:strike w:val="0"/>
          <w:noProof w:val="0"/>
          <w:color w:val="000000"/>
          <w:position w:val="0"/>
          <w:sz w:val="20"/>
          <w:u w:val="none"/>
          <w:vertAlign w:val="baseline"/>
        </w:rPr>
        <w:t xml:space="preserve"> means a high-quality, transparent review process informed by outside individuals with expertise in literacy development and education for children from birth through grade 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w:t>
      </w:r>
      <w:r>
        <w:rPr>
          <w:rFonts w:ascii="arial" w:eastAsia="arial" w:hAnsi="arial" w:cs="arial"/>
          <w:b w:val="0"/>
          <w:i w:val="0"/>
          <w:strike w:val="0"/>
          <w:noProof w:val="0"/>
          <w:color w:val="000000"/>
          <w:position w:val="0"/>
          <w:sz w:val="20"/>
          <w:u w:val="none"/>
          <w:vertAlign w:val="baseline"/>
        </w:rPr>
        <w:t xml:space="preserve"> means a statistically significant effect on improving student outcomes or other relevant outcomes based on at least one well-designed and well-implemented quasi-experimental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Professional development</w:t>
      </w:r>
      <w:r>
        <w:rPr>
          <w:rFonts w:ascii="arial" w:eastAsia="arial" w:hAnsi="arial" w:cs="arial"/>
          <w:b w:val="0"/>
          <w:i w:val="0"/>
          <w:strike w:val="0"/>
          <w:noProof w:val="0"/>
          <w:color w:val="000000"/>
          <w:position w:val="0"/>
          <w:sz w:val="20"/>
          <w:u w:val="none"/>
          <w:vertAlign w:val="baseline"/>
        </w:rPr>
        <w:t xml:space="preserve"> means activities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Are an integral part of school and LEA strategies for providing educators (including teachers, principals, other school leaders, specialized instructional support personnel, paraprofessionals, and, as applicable, early childhood educators) with the knowledge and skills necessary to enable students to succeed in a well-rounded education and to meet the State's challenging academic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Are sustained (not stand-alone, one-day, or short term workshops), intensive, collaborative, job-embedded, data-driven, and classroom-focused;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May include activities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Improve and increase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Knowledge of the academic subjects the teachers teach;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Understanding of how students learn;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Ability to analyze student work and achievement from multiple sources, including how to adjust instructional strategies, assessments, and materials based on such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Are an integral part of broad schoolwide and districtwide educational improvement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Allow personalized plans for each educator to address the educator's specific needs identified in observation or other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Improve classroom management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Support the recruitment, hiring, and training of effective teachers, including teachers who became certified through State and local alternative routes to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Advance teacher understanding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Effective instructional strategies that are evidence-based;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Strategies for improving student academic achievement or substantially increasing the knowledge and teaching skills of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Are aligned with, and directly related to, academic goals of the school or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Are developed with extensive participation of teachers, principals, other school leaders, parents, representatives of Indian Tribes (as applicable), and administrators of schools to be served under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Are designed to give teachers of English learners, and other teachers and instructional staff, the knowledge and skills to provide instruction and appropriate language and academic support services to those children, including the appropriate use of curricula and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To the extent appropriate, provide training for teachers, principals, and other school and community-based early childhood program leaders in the use of technology (including education about the harms of copyright piracy), so that technology and technology applications are effectively used in the classroom to improve teaching and learning in the curricula and academic subjects in which the teachers teach;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As a whole, are regularly evaluated for their impact on teacher effectiveness and student academic achievement, with the findings of the evaluations used to improve the quality of professional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Are designed to give teachers of children with disabilities or children with developmental delays, and other teachers and instructional staff, the knowledge and skills to provide instruction and academic support services to those children, including positive behavioral interventions and supports, multi-tier system of supports, and use of accommodations;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Provide instruction in the use of data and assessments to inform classroom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Provide instruction in ways that teachers, principals, other school leaders, specialized instructional support personnel, and school administrators may work more effectively with parents and families;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Involve the forming of partnerships with institutions of higher education, including, as applicable, Tribal Colleges and Universities as defined in section 316(b) of the Higher Education Act of 1965, as amended (</w:t>
      </w:r>
      <w:hyperlink r:id="rId10" w:history="1">
        <w:r>
          <w:rPr>
            <w:rFonts w:ascii="arial" w:eastAsia="arial" w:hAnsi="arial" w:cs="arial"/>
            <w:b w:val="0"/>
            <w:i/>
            <w:strike w:val="0"/>
            <w:noProof w:val="0"/>
            <w:color w:val="0077CC"/>
            <w:position w:val="0"/>
            <w:sz w:val="20"/>
            <w:u w:val="single"/>
            <w:vertAlign w:val="baseline"/>
          </w:rPr>
          <w:t>20 U.S.C. 1059c(b)</w:t>
        </w:r>
      </w:hyperlink>
      <w:r>
        <w:rPr>
          <w:rFonts w:ascii="arial" w:eastAsia="arial" w:hAnsi="arial" w:cs="arial"/>
          <w:b w:val="0"/>
          <w:i w:val="0"/>
          <w:strike w:val="0"/>
          <w:noProof w:val="0"/>
          <w:color w:val="000000"/>
          <w:position w:val="0"/>
          <w:sz w:val="20"/>
          <w:u w:val="none"/>
          <w:vertAlign w:val="baseline"/>
        </w:rPr>
        <w:t>), to establish school-based teacher, principal, and other school leader training programs that provide prospective teachers, novice teachers, principals, and other school leaders with an opportunity to work under the guidance of experienced teachers, principals, other school leaders, and faculty of such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Create programs to enable paraprofessionals (assisting teachers employed by an LEA receiving assistance under part A of title I) to obtain the education necessary for those paraprofessionals to become certified and licensed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Provide follow-up training to teachers who have participated in activities described in this paragraph (c) that are designed to ensure that the knowledge and skills learned by the teachers are implemented in the classroom;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Where practicable, provide for school staff and other early childhood education program providers to address jointly the transition to elementary school, including issues related to school readiness. </w:t>
      </w:r>
      <w:r>
        <w:rPr>
          <w:rFonts w:ascii="arial" w:eastAsia="arial" w:hAnsi="arial" w:cs="arial"/>
          <w:b/>
          <w:i w:val="0"/>
          <w:strike w:val="0"/>
          <w:noProof w:val="0"/>
          <w:color w:val="000000"/>
          <w:position w:val="0"/>
          <w:sz w:val="20"/>
          <w:u w:val="none"/>
          <w:vertAlign w:val="baseline"/>
        </w:rPr>
        <w:t> [*22526]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comprehensive literacy plan</w:t>
      </w:r>
      <w:r>
        <w:rPr>
          <w:rFonts w:ascii="arial" w:eastAsia="arial" w:hAnsi="arial" w:cs="arial"/>
          <w:b w:val="0"/>
          <w:i w:val="0"/>
          <w:strike w:val="0"/>
          <w:noProof w:val="0"/>
          <w:color w:val="000000"/>
          <w:position w:val="0"/>
          <w:sz w:val="20"/>
          <w:u w:val="none"/>
          <w:vertAlign w:val="baseline"/>
        </w:rPr>
        <w:t xml:space="preserve"> means a plan that addresses the pre-literacy and literacy needs of children from birth through grade 12, with special emphasis on disadvantaged children. A State comprehensive literacy plan is informed by a recent (conducted in the past five years) comprehensive needs assessment; aligns policies, resources, and practices; contains clear instructional goals; sets high expectations for all children and subgroups of children; and provides for professional development for all teachers in effective literacy instruction.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literacy team</w:t>
      </w:r>
      <w:r>
        <w:rPr>
          <w:rFonts w:ascii="arial" w:eastAsia="arial" w:hAnsi="arial" w:cs="arial"/>
          <w:b w:val="0"/>
          <w:i w:val="0"/>
          <w:strike w:val="0"/>
          <w:noProof w:val="0"/>
          <w:color w:val="000000"/>
          <w:position w:val="0"/>
          <w:sz w:val="20"/>
          <w:u w:val="none"/>
          <w:vertAlign w:val="baseline"/>
        </w:rPr>
        <w:t xml:space="preserve"> means a team comprised of individuals with expertise in literacy development and education for children from birth through grade 12. The State literacy team must include individuals with expertise in the following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Implementing literacy development practices and instruction for children in the following age/grade levels: Birth through age five, kindergarten through grade 5, grades 6 through 8, and grades 9 through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Managing and implementing literacy programs that are supported by strong evidence or moderate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Evaluating comprehensive literacy instruction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Planning for and implementing effective literacy interventions and practices, particularly for disadvantaged children, children living in poverty, struggling readers, English learners, and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Implementing assessments in the areas of phonological awareness, word recognition, phonics, vocabulary, comprehension, fluency, and writing;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Implementing professional development on literacy development and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literacy team member may have expertise in more than one area. Team members may also include, but are not limited to: Library/media specialists; parents; literacy coaches; instructors of adult education; representatives of community-based organizations providing educational services to disadvantaged children and families; family literacy service providers; representatives from local or State school boards; and representatives from related child services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evidence</w:t>
      </w:r>
      <w:r>
        <w:rPr>
          <w:rFonts w:ascii="arial" w:eastAsia="arial" w:hAnsi="arial" w:cs="arial"/>
          <w:b w:val="0"/>
          <w:i w:val="0"/>
          <w:strike w:val="0"/>
          <w:noProof w:val="0"/>
          <w:color w:val="000000"/>
          <w:position w:val="0"/>
          <w:sz w:val="20"/>
          <w:u w:val="none"/>
          <w:vertAlign w:val="baseline"/>
        </w:rPr>
        <w:t xml:space="preserve"> means a statistically significant effect on improving student outcomes or other relevant outcomes based on at least one well-designed and well-implemented experimental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Universal design for learning,</w:t>
      </w:r>
      <w:r>
        <w:rPr>
          <w:rFonts w:ascii="arial" w:eastAsia="arial" w:hAnsi="arial" w:cs="arial"/>
          <w:b w:val="0"/>
          <w:i w:val="0"/>
          <w:strike w:val="0"/>
          <w:noProof w:val="0"/>
          <w:color w:val="000000"/>
          <w:position w:val="0"/>
          <w:sz w:val="20"/>
          <w:u w:val="none"/>
          <w:vertAlign w:val="baseline"/>
        </w:rPr>
        <w:t xml:space="preserve"> as defined under section 103 of the Higher Education Act of 1965, as amended, means a scientifically valid framework for guiding educational practice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Provides flexibility in the ways information is presented, in the ways students respond or demonstrate knowledge and skills, and in the ways students are engaged;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Reduces barriers in instruction, provides appropriate accommodations, supports, and challenges, and maintains high achievement expectations for all students, including students with disabilities and students who are limited English proficient.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English learner and limited English proficient have the same meaning.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1502 of the ESEA, as amended by the NCLB, and Title III of Division H of the Consolidated Appropriations Act, 2016 (</w:t>
      </w:r>
      <w:r>
        <w:rPr>
          <w:rFonts w:ascii="arial" w:eastAsia="arial" w:hAnsi="arial" w:cs="arial"/>
          <w:b w:val="0"/>
          <w:i/>
          <w:strike w:val="0"/>
          <w:noProof w:val="0"/>
          <w:color w:val="000000"/>
          <w:position w:val="0"/>
          <w:sz w:val="20"/>
          <w:u w:val="none"/>
          <w:vertAlign w:val="baseline"/>
        </w:rPr>
        <w:t>Pub. L. 114-113</w:t>
      </w:r>
      <w:r>
        <w:rPr>
          <w:rFonts w:ascii="arial" w:eastAsia="arial" w:hAnsi="arial" w:cs="arial"/>
          <w:b w:val="0"/>
          <w:i w:val="0"/>
          <w:strike w:val="0"/>
          <w:noProof w:val="0"/>
          <w:color w:val="000000"/>
          <w:position w:val="0"/>
          <w:sz w:val="20"/>
          <w:u w:val="none"/>
          <w:vertAlign w:val="baseline"/>
        </w:rPr>
        <w:t>).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Title III of Division H of the Consolidated Appropriations Act, 2016 (</w:t>
      </w:r>
      <w:r>
        <w:rPr>
          <w:rFonts w:ascii="arial" w:eastAsia="arial" w:hAnsi="arial" w:cs="arial"/>
          <w:b w:val="0"/>
          <w:i/>
          <w:strike w:val="0"/>
          <w:noProof w:val="0"/>
          <w:color w:val="000000"/>
          <w:position w:val="0"/>
          <w:sz w:val="20"/>
          <w:u w:val="none"/>
          <w:vertAlign w:val="baseline"/>
        </w:rPr>
        <w:t>Pub L. 114-113</w:t>
      </w:r>
      <w:r>
        <w:rPr>
          <w:rFonts w:ascii="arial" w:eastAsia="arial" w:hAnsi="arial" w:cs="arial"/>
          <w:b w:val="0"/>
          <w:i w:val="0"/>
          <w:strike w:val="0"/>
          <w:noProof w:val="0"/>
          <w:color w:val="000000"/>
          <w:position w:val="0"/>
          <w:sz w:val="20"/>
          <w:u w:val="none"/>
          <w:vertAlign w:val="baseline"/>
        </w:rPr>
        <w:t xml:space="preserve">) appropriated funds for the SRCL program under section 1502 of the ESEA, as amended by the NCLB. As such, the upcoming SRCL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conducted under that authority. The Department notes that the ESEA, as amended in December 2015 by the ESSA, authorizes the Comprehensive Literacy State Development (CLSD) program, a program that is substantively similar to SRCL. See sections 2221-2224 of the ESEA, as amended by the ESSA. To provide for the orderly transition to future programs under the ESSA, the priorities, requirements, definitions, and selection criteria that apply to the SRCL program through this notice align, to the extent possible, with certain new statutory requirements that will apply to the CLSD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NFP.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$ 190,000,000.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subsequent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$ 3,000,000--$ 80,000,000.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$ 18,000,000.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5--10. The Department may make awards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complete three-year (36-month) project period using FY 2016 and FY 2017 funds.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36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SEAs of the 50 States, the District of Columbia, and Puerto Rico (referred to in this notice as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Supplement-Not-Supplant:</w:t>
      </w:r>
      <w:r>
        <w:rPr>
          <w:rFonts w:ascii="arial" w:eastAsia="arial" w:hAnsi="arial" w:cs="arial"/>
          <w:b w:val="0"/>
          <w:i w:val="0"/>
          <w:strike w:val="0"/>
          <w:noProof w:val="0"/>
          <w:color w:val="000000"/>
          <w:position w:val="0"/>
          <w:sz w:val="20"/>
          <w:u w:val="none"/>
          <w:vertAlign w:val="baseline"/>
        </w:rPr>
        <w:t xml:space="preserve"> As specified under </w:t>
      </w: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this program involves supplement-not-supplant funding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w:t>
      </w:r>
      <w:hyperlink r:id="rId11" w:history="1">
        <w:r>
          <w:rPr>
            <w:rFonts w:ascii="arial" w:eastAsia="arial" w:hAnsi="arial" w:cs="arial"/>
            <w:b w:val="0"/>
            <w:i/>
            <w:strike w:val="0"/>
            <w:noProof w:val="0"/>
            <w:color w:val="0077CC"/>
            <w:position w:val="0"/>
            <w:sz w:val="20"/>
            <w:u w:val="single"/>
            <w:vertAlign w:val="baseline"/>
          </w:rPr>
          <w:t>34 CFR 75.708(b)</w:t>
        </w:r>
      </w:hyperlink>
      <w:r>
        <w:rPr>
          <w:rFonts w:ascii="arial" w:eastAsia="arial" w:hAnsi="arial" w:cs="arial"/>
          <w:b w:val="0"/>
          <w:i w:val="0"/>
          <w:strike w:val="0"/>
          <w:noProof w:val="0"/>
          <w:color w:val="000000"/>
          <w:position w:val="0"/>
          <w:sz w:val="20"/>
          <w:u w:val="none"/>
          <w:vertAlign w:val="baseline"/>
        </w:rPr>
        <w:t xml:space="preserve"> and (c) a grantee may award subgrants--to directly carry out project activities described in its application--to the following types of entities: One or more LEAs or, in the case of early literacy, one or more LEAs or nonprofit providers of early childhood education, with a demonstrated record of effectiveness in improving language and early literacy development of children from birth through age five and in providing professional development in language and early literacy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grantee may award subgrants to entities it selects through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procedures established by the grantee.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from the Education Publications Center (ED Pubs), or from the program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a copy via the internet, use the following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ww.ed.gov/fund/grant/apply/grantapps/index.html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2"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3"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request an application package from ED Pubs, be sure to identify this program as follows: CFDA number 84.371C.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from the program office, contact: Cindy Savage, U.S. </w:t>
      </w:r>
      <w:r>
        <w:rPr>
          <w:rFonts w:ascii="arial" w:eastAsia="arial" w:hAnsi="arial" w:cs="arial"/>
          <w:b/>
          <w:i w:val="0"/>
          <w:strike w:val="0"/>
          <w:noProof w:val="0"/>
          <w:color w:val="000000"/>
          <w:position w:val="0"/>
          <w:sz w:val="20"/>
          <w:u w:val="none"/>
          <w:vertAlign w:val="baseline"/>
        </w:rPr>
        <w:t> [*22527] </w:t>
      </w:r>
      <w:r>
        <w:rPr>
          <w:rFonts w:ascii="arial" w:eastAsia="arial" w:hAnsi="arial" w:cs="arial"/>
          <w:b w:val="0"/>
          <w:i w:val="0"/>
          <w:strike w:val="0"/>
          <w:noProof w:val="0"/>
          <w:color w:val="000000"/>
          <w:position w:val="0"/>
          <w:sz w:val="20"/>
          <w:u w:val="none"/>
          <w:vertAlign w:val="baseline"/>
        </w:rPr>
        <w:t xml:space="preserve"> Department of Education, 400 Maryland Avenue SW., room 3E237, Washington, DC 20202. Telephone: (202) 453-5998 or by email: </w:t>
      </w:r>
      <w:hyperlink r:id="rId14" w:history="1">
        <w:r>
          <w:rPr>
            <w:rFonts w:ascii="arial" w:eastAsia="arial" w:hAnsi="arial" w:cs="arial"/>
            <w:b w:val="0"/>
            <w:i/>
            <w:strike w:val="0"/>
            <w:noProof w:val="0"/>
            <w:color w:val="0077CC"/>
            <w:position w:val="0"/>
            <w:sz w:val="20"/>
            <w:u w:val="single"/>
            <w:vertAlign w:val="baseline"/>
          </w:rPr>
          <w:t>OESE.SRCL@ed.gov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use a TDD or TTY, call the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is where you, the applicant, address the selection criteria that reviewers use to evaluate your application. We recommend that you: (1) Limit the application narrative to no more than 50 pages, and (2) use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page limit does not apply to the cover sheet; the budget section, including the narrative budget justification; the assurances and certifications; or the one-page abstract, the resumes, the bibliography, or the letters of support. However, the recommended page limit does apply to all of the application narrative, which includes responses to the priorities and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16,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17,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either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13,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(Department),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5"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6"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17"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18"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SRCL program, CFDA 84.371C,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1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w:t>
      </w:r>
      <w:r>
        <w:rPr>
          <w:rFonts w:ascii="arial" w:eastAsia="arial" w:hAnsi="arial" w:cs="arial"/>
          <w:b/>
          <w:i w:val="0"/>
          <w:strike w:val="0"/>
          <w:noProof w:val="0"/>
          <w:color w:val="000000"/>
          <w:position w:val="0"/>
          <w:sz w:val="20"/>
          <w:u w:val="none"/>
          <w:vertAlign w:val="baseline"/>
        </w:rPr>
        <w:t> [*22528] </w:t>
      </w:r>
      <w:r>
        <w:rPr>
          <w:rFonts w:ascii="arial" w:eastAsia="arial" w:hAnsi="arial" w:cs="arial"/>
          <w:b w:val="0"/>
          <w:i w:val="0"/>
          <w:strike w:val="0"/>
          <w:noProof w:val="0"/>
          <w:color w:val="000000"/>
          <w:position w:val="0"/>
          <w:sz w:val="20"/>
          <w:u w:val="none"/>
          <w:vertAlign w:val="baseline"/>
        </w:rPr>
        <w:t xml:space="preserve">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SRCL program at </w:t>
      </w:r>
      <w:hyperlink r:id="rId1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84.371, not 84.371C).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0"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1"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flattened Portable Document Format (PDF), meaning any fillable PDF documents must be saved as flattened non-fillable files. Therefore, do not upload an interactive or fillable PDF file. If you upload a file type other than a read-only, flattened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 There is no need to password protect a file in order to meet the requirement to submit a read-only flattened PDF. And, as noted above, the Department will not review password-protected files.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flattened PDF; failure to submit a required part of the application; or failure to meet applicant eligibility requirements. It is your responsibility to ensure that your submitted application has met all of the Department's requirements.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w:t>
      </w:r>
      <w:r>
        <w:rPr>
          <w:rFonts w:ascii="arial" w:eastAsia="arial" w:hAnsi="arial" w:cs="arial"/>
          <w:b w:val="0"/>
          <w:i w:val="0"/>
          <w:strike w:val="0"/>
          <w:noProof w:val="0"/>
          <w:color w:val="000000"/>
          <w:position w:val="0"/>
          <w:sz w:val="20"/>
          <w:u w:val="none"/>
          <w:vertAlign w:val="baseline"/>
        </w:rPr>
        <w:t xml:space="preserve"> System: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 </w:t>
      </w:r>
      <w:r>
        <w:rPr>
          <w:rFonts w:ascii="arial" w:eastAsia="arial" w:hAnsi="arial" w:cs="arial"/>
          <w:b/>
          <w:i w:val="0"/>
          <w:strike w:val="0"/>
          <w:noProof w:val="0"/>
          <w:color w:val="000000"/>
          <w:position w:val="0"/>
          <w:sz w:val="20"/>
          <w:u w:val="none"/>
          <w:vertAlign w:val="baseline"/>
        </w:rPr>
        <w:t> [*22529]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Cindy Savage, U.S. Department of Education, 400 Maryland Avenue SW., Room 3E237, Washington, DC 20202. FAX: (202) 260-8969.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84.371C,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84.371C,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the NFP and </w:t>
      </w:r>
      <w:hyperlink r:id="rId22"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and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State-level activities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quality of the applicant's State-level activities,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SEA will support and provide technical assistance to its SRCL program subgrantees to ensure they implement a high-quality comprehensive literacy instruction program that will improve student achievement, including technical assistance on identifying and implementing with fidelity interventions and practices that are supported by moderate evidence or strong evidence and align with local needs;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SEA will collect data and other information to inform the continuous improvement, and evaluate the effectiveness and impact, of local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SEA plan for subgrants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quality of the applicant's SEA plan for subgrants, the Secretary considers the extent to which the SEA has a high-quality plan to use an independent peer review process to award subgrants that propose a high-quality comprehensive literacy instruction program,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plan to prioritize projects that will use interventions and practices that are supported by moderate evidence or strong evidence;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process to determine--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intervention or practice is supported by moderate evidence or strong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alignment of the local project to the State's comprehensive literacy plan and the local literacy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interventions and practices are differentiated and are appropriate for children from birth through age five and children in kindergarten through grade 5;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relevance of cited studies to the project proposed and identified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SEA monitoring plan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quality of the applicant's SEA monitoring plan, the Secretary considers the extent to which the SEA describes a high-quality plan for monitoring local projects, including how it will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interventions and practices that are part of the comprehensive literacy instruction program are aligned with the SEA's State comprehensive literacy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interventions and practices that subgrantees implement are supported by moderate evidence or strong evidence, to the extent appropriate and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interventions and practices are differentiated and are appropriate for children from birth through age five and children in kindergarten through grade 5; and </w:t>
      </w:r>
      <w:r>
        <w:rPr>
          <w:rFonts w:ascii="arial" w:eastAsia="arial" w:hAnsi="arial" w:cs="arial"/>
          <w:b/>
          <w:i w:val="0"/>
          <w:strike w:val="0"/>
          <w:noProof w:val="0"/>
          <w:color w:val="000000"/>
          <w:position w:val="0"/>
          <w:sz w:val="20"/>
          <w:u w:val="none"/>
          <w:vertAlign w:val="baseline"/>
        </w:rPr>
        <w:t> [*22530]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interventions and practices are implemented with fidelity and aligned with the SEA's State comprehensive literacy plan and local literacy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Alignment of resources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quality of the applicant's alignment of resources, the Secretary considers the extent to which the SEA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Target subgrants supporting projects that will improve instruction for the greatest numbers or percentages of disadvantaged children;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Award subgrants of sufficient size to fully and effectively implement the local plan while also ensuring that at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15 percent of the subgranted funds serve children from birth through age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40 percent of the subgranted funds serve students in kindergarten through grade five;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40 percent of the subgranted funds serve students in middle and high school, through grade 12, including an equitable distribution of funds between middle and high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Adequacy of resources (25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adequacy of resources for the proposed project. In determining the adequacy of resources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costs are reasonable in relation to the objectives, design, and potential significance of the proposed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costs are reasonable in relation to the number of persons to be served and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Quality of the project design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project design. In determining the quality of the design of the proposed project, the Secretary considers the extent to which the proposed project is designed to build capacity and yield results that will extend beyond the period of Federal financial assistance.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3"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24"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29"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program the Department conducts a review of the risks posed by applicants. Under </w:t>
      </w:r>
      <w:hyperlink r:id="rId30"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29"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xml:space="preserve">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1"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2"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3"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4"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35"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Department has established the following Government Performance and Results Act of 1993 performance measures for the SRCL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percentage of participating four-year-old children who achieve significant gains in oral language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percentage of participating fifth-grade students who meet or exceed proficiency on State reading/language arts assessments under section 1111(b)(2)(B)(v)(I)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percentage of participating eighth-grade students who meet or exceed proficiency on State reading/language arts assessments under section 1111(b)(2)(B)(v)(I) of the ESEA, as amended by the ESSA. </w:t>
      </w:r>
      <w:r>
        <w:rPr>
          <w:rFonts w:ascii="arial" w:eastAsia="arial" w:hAnsi="arial" w:cs="arial"/>
          <w:b/>
          <w:i w:val="0"/>
          <w:strike w:val="0"/>
          <w:noProof w:val="0"/>
          <w:color w:val="000000"/>
          <w:position w:val="0"/>
          <w:sz w:val="20"/>
          <w:u w:val="none"/>
          <w:vertAlign w:val="baseline"/>
        </w:rPr>
        <w:t> [*22531]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percentage of participating high school students who meet or exceed proficiency on State reading/language arts assessments under section 1111(b)(2)(B)(v)(I)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measures constitute the Department's indicator of success for this program. Consequently, we advise an applicant for a grant under this program to give careful consideration to these measures in conceptualizing the approach and evaluation for its proposed project. Each grantee will be required to provide, in its annual performance and final reports, data about its progress in meeting these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Grants awarded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be for a project period of up to three years. The Department will either award grantees their entire three-year award at the time of the initial award, or will award grantees only the first-year portion of their award. If the Department awards grantees only the first-year portion of their award, depending on the availability of funds, the Department will make continuation awards for years two and three in accordance with </w:t>
      </w:r>
      <w:hyperlink r:id="rId36"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xml:space="preserve">. In making a continuation award under </w:t>
      </w:r>
      <w:hyperlink r:id="rId36"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4"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either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7"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38"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11,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Jason Botel,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for Elementary and 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2017-09896 Filed 5-15-17;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16,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17,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13,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Cindy Savage, U.S. Department of Education, 400 Maryland Avenue SW., room 3E237, Washington, DC 20202-6450. Telephone: (202) 453-5998 or by email: </w:t>
      </w:r>
      <w:hyperlink r:id="rId14" w:history="1">
        <w:r>
          <w:rPr>
            <w:rFonts w:ascii="arial" w:eastAsia="arial" w:hAnsi="arial" w:cs="arial"/>
            <w:b w:val="0"/>
            <w:i/>
            <w:strike w:val="0"/>
            <w:noProof w:val="0"/>
            <w:color w:val="0077CC"/>
            <w:position w:val="0"/>
            <w:sz w:val="20"/>
            <w:u w:val="single"/>
            <w:vertAlign w:val="baseline"/>
          </w:rPr>
          <w:t>OESE.SRCL@ed.gov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22523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61-NRF4-42TW-00000-00&amp;context=" TargetMode="External" /><Relationship Id="rId11" Type="http://schemas.openxmlformats.org/officeDocument/2006/relationships/hyperlink" Target="https://advance.lexis.com/api/document?collection=administrative-codes&amp;id=urn:contentItem:5GMB-DPC0-008H-02SJ-00000-00&amp;context=" TargetMode="External" /><Relationship Id="rId12" Type="http://schemas.openxmlformats.org/officeDocument/2006/relationships/hyperlink" Target="http://www.EDPubs.gov" TargetMode="External" /><Relationship Id="rId13" Type="http://schemas.openxmlformats.org/officeDocument/2006/relationships/hyperlink" Target="mailto:edpubs@inet.ed.gov" TargetMode="External" /><Relationship Id="rId14" Type="http://schemas.openxmlformats.org/officeDocument/2006/relationships/hyperlink" Target="mailto:OESE.SRCL@ed.gov" TargetMode="External" /><Relationship Id="rId15" Type="http://schemas.openxmlformats.org/officeDocument/2006/relationships/hyperlink" Target="http://fedgov.dnb.com/webform" TargetMode="External" /><Relationship Id="rId16" Type="http://schemas.openxmlformats.org/officeDocument/2006/relationships/hyperlink" Target="http://www.SAM.gov" TargetMode="External" /><Relationship Id="rId17" Type="http://schemas.openxmlformats.org/officeDocument/2006/relationships/hyperlink" Target="http://www2.ed.gov/fund/grant/apply/sam-faqs.html" TargetMode="External" /><Relationship Id="rId18" Type="http://schemas.openxmlformats.org/officeDocument/2006/relationships/hyperlink" Target="http://www.grants.gov/web/grants/register.html" TargetMode="External" /><Relationship Id="rId19" Type="http://schemas.openxmlformats.org/officeDocument/2006/relationships/hyperlink" Target="http://www.Grants.gov" TargetMode="External" /><Relationship Id="rId2" Type="http://schemas.openxmlformats.org/officeDocument/2006/relationships/webSettings" Target="webSettings.xml" /><Relationship Id="rId20" Type="http://schemas.openxmlformats.org/officeDocument/2006/relationships/hyperlink" Target="http://www.G5.gov" TargetMode="External" /><Relationship Id="rId21" Type="http://schemas.openxmlformats.org/officeDocument/2006/relationships/hyperlink" Target="http://www.grants.gov/web/grants/applicants/apply-for-grants.html" TargetMode="External" /><Relationship Id="rId22" Type="http://schemas.openxmlformats.org/officeDocument/2006/relationships/hyperlink" Target="https://advance.lexis.com/api/document?collection=administrative-codes&amp;id=urn:contentItem:5S7T-7HS0-008H-02VY-00000-00&amp;context=" TargetMode="External" /><Relationship Id="rId23" Type="http://schemas.openxmlformats.org/officeDocument/2006/relationships/hyperlink" Target="https://advance.lexis.com/api/document?collection=administrative-codes&amp;id=urn:contentItem:5GMB-DPB0-008H-02GP-00000-00&amp;context=" TargetMode="External" /><Relationship Id="rId24" Type="http://schemas.openxmlformats.org/officeDocument/2006/relationships/hyperlink" Target="https://advance.lexis.com/api/document?collection=administrative-codes&amp;id=urn:contentItem:5KS0-F5W0-008H-023P-00000-00&amp;context=" TargetMode="External" /><Relationship Id="rId25" Type="http://schemas.openxmlformats.org/officeDocument/2006/relationships/hyperlink" Target="https://advance.lexis.com/api/document?collection=administrative-codes&amp;id=urn:contentItem:5R5H-J1H0-008H-043K-00000-00&amp;context=" TargetMode="External" /><Relationship Id="rId26" Type="http://schemas.openxmlformats.org/officeDocument/2006/relationships/hyperlink" Target="https://advance.lexis.com/api/document?collection=administrative-codes&amp;id=urn:contentItem:5KS0-F5W0-008H-024V-00000-00&amp;context=" TargetMode="External" /><Relationship Id="rId27" Type="http://schemas.openxmlformats.org/officeDocument/2006/relationships/hyperlink" Target="https://advance.lexis.com/api/document?collection=administrative-codes&amp;id=urn:contentItem:5KS0-F600-008H-02PT-00000-00&amp;context=" TargetMode="External" /><Relationship Id="rId28" Type="http://schemas.openxmlformats.org/officeDocument/2006/relationships/hyperlink" Target="https://advance.lexis.com/api/document?collection=administrative-codes&amp;id=urn:contentItem:5KS0-F5W0-008H-025B-00000-00&amp;context=" TargetMode="External" /><Relationship Id="rId29" Type="http://schemas.openxmlformats.org/officeDocument/2006/relationships/hyperlink" Target="https://advance.lexis.com/api/document?collection=administrative-codes&amp;id=urn:contentItem:5HDM-DHF0-008G-Y2N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F34-Y1R0-008G-Y1F9-00000-00&amp;context=" TargetMode="External" /><Relationship Id="rId31" Type="http://schemas.openxmlformats.org/officeDocument/2006/relationships/hyperlink" Target="https://advance.lexis.com/api/document?collection=administrative-codes&amp;id=urn:contentItem:5F2R-48P0-008G-Y31V-00000-00&amp;context=" TargetMode="External" /><Relationship Id="rId32" Type="http://schemas.openxmlformats.org/officeDocument/2006/relationships/hyperlink" Target="https://advance.lexis.com/api/document?collection=administrative-codes&amp;id=urn:contentItem:5GMB-DPC0-008H-02S7-00000-00&amp;context=" TargetMode="External" /><Relationship Id="rId33" Type="http://schemas.openxmlformats.org/officeDocument/2006/relationships/hyperlink" Target="https://advance.lexis.com/api/document?collection=administrative-codes&amp;id=urn:contentItem:5GMB-DPC0-008H-02SK-00000-00&amp;context=" TargetMode="External" /><Relationship Id="rId34" Type="http://schemas.openxmlformats.org/officeDocument/2006/relationships/hyperlink" Target="http://www.ed.gov/fund/grant/apply/appforms/appforms.html" TargetMode="External" /><Relationship Id="rId35" Type="http://schemas.openxmlformats.org/officeDocument/2006/relationships/hyperlink" Target="https://advance.lexis.com/api/document?collection=administrative-codes&amp;id=urn:contentItem:5GMB-DPB0-008H-0272-00000-00&amp;context=" TargetMode="External" /><Relationship Id="rId36" Type="http://schemas.openxmlformats.org/officeDocument/2006/relationships/hyperlink" Target="https://advance.lexis.com/api/document?collection=administrative-codes&amp;id=urn:contentItem:5GMB-DPB0-008H-02K8-00000-00&amp;context=" TargetMode="External" /><Relationship Id="rId37" Type="http://schemas.openxmlformats.org/officeDocument/2006/relationships/hyperlink" Target="http://www.gpo.gov/fdsys" TargetMode="External" /><Relationship Id="rId38" Type="http://schemas.openxmlformats.org/officeDocument/2006/relationships/hyperlink" Target="http://www.federalregister.gov" TargetMode="External" /><Relationship Id="rId39" Type="http://schemas.openxmlformats.org/officeDocument/2006/relationships/numbering" Target="numbering.xml" /><Relationship Id="rId4" Type="http://schemas.openxmlformats.org/officeDocument/2006/relationships/header" Target="header1.xml" /><Relationship Id="rId40"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JJ-X7B0-006W-83YS-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administrative-codes&amp;id=urn:contentItem:5S7T-7HV0-008H-03H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22523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71568968</vt:lpwstr>
  </property>
  <property fmtid="{D5CDD505-2E9C-101B-9397-08002B2CF9AE}" pid="3" name="LADocCount">
    <vt:lpwstr>1</vt:lpwstr>
  </property>
  <property fmtid="{D5CDD505-2E9C-101B-9397-08002B2CF9AE}" pid="4" name="UserPermID">
    <vt:lpwstr>urn:user:PA185916758</vt:lpwstr>
  </property>
</Properties>
</file>