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22975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096, Friday, May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22975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Disabilities--Model Demonstration Projects To Improve Algebraic Reasoning for Students With Disabilities in Middle and High School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a new award for fiscal year (FY) 2017 for Technical Assistance and Dissemination to Improve Services and Results for Children with Disabilities--Model Demonstration Projects to Improve Algebraic Reasoning for Students with Disabilities in Middle and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 84.326M.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one absolute priority.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the absolute priority is from allowable activities specified in the statute or otherwise authorized in the statute (see sections 663 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Model Demonstration Projects To Improve Algebraic Reasoning for Students With Disabilities in Middle and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demonstrations to improve early intervention, educational, or transitional results for students with disabilities have been authorized under the Individuals with Disabilities Education Act (IDEA) since the mid-1970s. For the purposes of this priority, a model is a set of existing interventions supported by evidence and implementation strategies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core model components) that research suggests will improve child, teacher, or system outcomes when implemented with fidelity (Hughes, Powell, Lembke, &amp; Riley-Tillman, 2016). Model demonstrations involve investigating the degree to which a model can be implemented, and sustained in typical settings, by staff employed in those settings, while achieving outcomes similar to those attained under research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three cooperative agreements to establish and operate model demonstration projects that will assess how models can: (a) improve algebraic reasoning for students with disabilities in middle and high schools; and (b) be implemented and sustained by educators in general and special education settings. These proposed models will be the first to focus on mathematics for adolescents with disabilities, a critical area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Algebraic reasoning (as defined in this notice) is a critical component of success in mathematics and is applied to topics within number operations, number systems, measurement and data, geometry, rational numbers, ratios and proportional relationships, expressions and equations, and functions (Van De Walle, Karp, &amp; Bay-Williams, 2013). Algebra is a gateway to advanced coursework, graduation, and future earnings (National Mathematics Advisory Panel (NMAP), 2008); therefore, it is imperative to address the achievement gap in mathematics that exists between students with disabilities (SWD) and students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National Assessment of Educational Progress report (NAEP; 2015) indicates that more than 70 percent of 8th grade SWD, excluding those with a 504 plan, performed below the basic level on the mathematics assessment compared to 24 percent of students without disabilities (U.S. Department of Education, 2015). For 12th graders, the disparity is greater, as 81 percent of SWD scored below basic level on the math assessment compared with 34 percent of students without disabilities (U.S. Department of Education,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algebra scaled score for 8th graders with disabilities was 247 in a range of 0-500 points, compared to 293 for 8th graders without disabilities. For 12th graders with disabilities, the average scaled score was 117 in a range of 0-300 points, compared to 157 for 12th graders without disabilities. The discrepancies in algebra scores between SWD and those without disabilities in both 8th and 12th grade are statistically significant (NAEP;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need to focus on meeting the specific needs of SWD in algebra (Witzel, 2016; Hughes, Witzel, Riccomini, Fries, &amp; Kanyongo, 2014). Certain learner characteristics of SWD may impede their performance in algebra (Allsopp, van Igen, Simsek, &amp; Haley, 2016). Difficulties SWD experience in algebra include understanding algebraic representations, </w:t>
      </w:r>
      <w:r>
        <w:rPr>
          <w:rFonts w:ascii="arial" w:eastAsia="arial" w:hAnsi="arial" w:cs="arial"/>
          <w:b/>
          <w:i w:val="0"/>
          <w:strike w:val="0"/>
          <w:noProof w:val="0"/>
          <w:color w:val="000000"/>
          <w:position w:val="0"/>
          <w:sz w:val="20"/>
          <w:u w:val="none"/>
          <w:vertAlign w:val="baseline"/>
        </w:rPr>
        <w:t> [*22976] </w:t>
      </w:r>
      <w:r>
        <w:rPr>
          <w:rFonts w:ascii="arial" w:eastAsia="arial" w:hAnsi="arial" w:cs="arial"/>
          <w:b w:val="0"/>
          <w:i w:val="0"/>
          <w:strike w:val="0"/>
          <w:noProof w:val="0"/>
          <w:color w:val="000000"/>
          <w:position w:val="0"/>
          <w:sz w:val="20"/>
          <w:u w:val="none"/>
          <w:vertAlign w:val="baseline"/>
        </w:rPr>
        <w:t xml:space="preserve"> which may be due to difficulties with cognitive processing; recalling multi-step procedures because of memory difficulties; and problem solving strategies due to metacognitive difficulties. These difficulties may cumulatively affect students in algebra and their subsequent performance in mathematics (Allsopp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with mathematical learning disabilities (MLD) n1 comprise about seven percent of school-age learners (Geary, 2011). Students with MLD may exhibit difficulties with language-based tasks and struggle to conceptualize abstract algebraic concepts and solve problems involving algebraic reasoning. To address these difficulties, and to ensure that students with MLD receive appropriate services and supports as guaranteed in IDEA, educators must be trained in using practices supported by evidence in teaching mathematics and algebraic reasoning.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aims to fund model demonstration projects that will investigate ways to train educators to successfully implement these practices. These three proposed model demonstration projects must be based on current research and make use of practices supported by evidence.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Participants must have math goals on their Individualized Education Programs (IEPs) and can be classified under any of the IDEA disability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What Works Clearinghouse (WWC) identifies a number of practices supported by evidence in the following two practice guides: </w:t>
      </w:r>
      <w:r>
        <w:rPr>
          <w:rFonts w:ascii="arial" w:eastAsia="arial" w:hAnsi="arial" w:cs="arial"/>
          <w:b w:val="0"/>
          <w:i/>
          <w:strike w:val="0"/>
          <w:noProof w:val="0"/>
          <w:color w:val="000000"/>
          <w:position w:val="0"/>
          <w:sz w:val="20"/>
          <w:u w:val="none"/>
          <w:vertAlign w:val="baseline"/>
        </w:rPr>
        <w:t>Assisting Students Struggling with Mathematics: Response to Intervention (RtI) for Elementary and Middle Schools</w:t>
      </w:r>
      <w:r>
        <w:rPr>
          <w:rFonts w:ascii="arial" w:eastAsia="arial" w:hAnsi="arial" w:cs="arial"/>
          <w:b w:val="0"/>
          <w:i w:val="0"/>
          <w:strike w:val="0"/>
          <w:noProof w:val="0"/>
          <w:color w:val="000000"/>
          <w:position w:val="0"/>
          <w:sz w:val="20"/>
          <w:u w:val="none"/>
          <w:vertAlign w:val="baseline"/>
        </w:rPr>
        <w:t xml:space="preserve"> (Gersten et al., 2009); and </w:t>
      </w:r>
      <w:r>
        <w:rPr>
          <w:rFonts w:ascii="arial" w:eastAsia="arial" w:hAnsi="arial" w:cs="arial"/>
          <w:b w:val="0"/>
          <w:i/>
          <w:strike w:val="0"/>
          <w:noProof w:val="0"/>
          <w:color w:val="000000"/>
          <w:position w:val="0"/>
          <w:sz w:val="20"/>
          <w:u w:val="none"/>
          <w:vertAlign w:val="baseline"/>
        </w:rPr>
        <w:t>Teaching Strategies for Improving Algebra Knowledge in Middle and High School</w:t>
      </w:r>
      <w:r>
        <w:rPr>
          <w:rFonts w:ascii="arial" w:eastAsia="arial" w:hAnsi="arial" w:cs="arial"/>
          <w:b w:val="0"/>
          <w:i w:val="0"/>
          <w:strike w:val="0"/>
          <w:noProof w:val="0"/>
          <w:color w:val="000000"/>
          <w:position w:val="0"/>
          <w:sz w:val="20"/>
          <w:u w:val="none"/>
          <w:vertAlign w:val="baseline"/>
        </w:rPr>
        <w:t xml:space="preserve"> (Star et al., 2015). Each practice guide was developed by a panel of researchers and practitioners with expertise in various dimensions of math and special education. We mention the guides for information only; use of the practices contained in them is permitted, but not required,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three cooperative agreements to establish and operate model demonstration projects that will assess how models can: (a) Improve algebraic reasoning for SWD in middle and high schools and (b) be implemented and sustained by educators in general and special education settings. Applicants must propose models that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model's core intervention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services, assessments, processes, data collection instruments)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framework that includes, at a minimum, universal screening, progress monitoring, and core instructional practices supported by evidence and based on current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Core instructional practices for improving algebraic reasoning supported by evidence and based on current research that meet the needs of students with disabilities in middle and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Standardized measures of students' algebraic reasoning, individual instructor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paraprofessional, specialist), and system-level outcomes,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Procedures to refine the model based on the ongoing assessment of students' performance on algebraic reasoning;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Measures of the model's social validity,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measures of educators', parents', and students' n3 satisfaction with the model components, processes, and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Applicants must ensure the confidentiality of individual data, consistent with the requirements of section 444 of the General Education Provisions Act (</w:t>
      </w:r>
      <w:hyperlink r:id="rId11"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commonly known as the "Family Educational Rights and Privacy Act" (FERPA), and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confidentiality of individual records. Final FERPA regulatory changes became effective January 3, 2012, and include requirements for data sharing. Applicants are encouraged to review the final FERPA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December 2, 2011 </w:t>
      </w:r>
      <w:hyperlink r:id="rId12" w:history="1">
        <w:r>
          <w:rPr>
            <w:rFonts w:ascii="arial" w:eastAsia="arial" w:hAnsi="arial" w:cs="arial"/>
            <w:b w:val="0"/>
            <w:i/>
            <w:strike w:val="0"/>
            <w:noProof w:val="0"/>
            <w:color w:val="0077CC"/>
            <w:position w:val="0"/>
            <w:sz w:val="20"/>
            <w:u w:val="single"/>
            <w:vertAlign w:val="baseline"/>
          </w:rPr>
          <w:t>(76 FR 75604).</w:t>
        </w:r>
      </w:hyperlink>
      <w:r>
        <w:rPr>
          <w:rFonts w:ascii="arial" w:eastAsia="arial" w:hAnsi="arial" w:cs="arial"/>
          <w:b w:val="0"/>
          <w:i w:val="0"/>
          <w:strike w:val="0"/>
          <w:noProof w:val="0"/>
          <w:color w:val="000000"/>
          <w:position w:val="0"/>
          <w:sz w:val="20"/>
          <w:u w:val="none"/>
          <w:vertAlign w:val="baseline"/>
        </w:rPr>
        <w:t xml:space="preserve"> Questions can be sent to the Family Policy Compliance Office (</w:t>
      </w:r>
      <w:hyperlink r:id="rId13" w:history="1">
        <w:r>
          <w:rPr>
            <w:rFonts w:ascii="arial" w:eastAsia="arial" w:hAnsi="arial" w:cs="arial"/>
            <w:b w:val="0"/>
            <w:i/>
            <w:strike w:val="0"/>
            <w:noProof w:val="0"/>
            <w:color w:val="0077CC"/>
            <w:position w:val="0"/>
            <w:sz w:val="20"/>
            <w:u w:val="single"/>
            <w:vertAlign w:val="baseline"/>
          </w:rPr>
          <w:t>www.ed.gov/fpco</w:t>
        </w:r>
      </w:hyperlink>
      <w:r>
        <w:rPr>
          <w:rFonts w:ascii="arial" w:eastAsia="arial" w:hAnsi="arial" w:cs="arial"/>
          <w:b w:val="0"/>
          <w:i w:val="0"/>
          <w:strike w:val="0"/>
          <w:noProof w:val="0"/>
          <w:color w:val="000000"/>
          <w:position w:val="0"/>
          <w:sz w:val="20"/>
          <w:u w:val="none"/>
          <w:vertAlign w:val="baseline"/>
        </w:rPr>
        <w:t xml:space="preserve">) at (202) 260-3887 or </w:t>
      </w:r>
      <w:hyperlink r:id="rId14" w:history="1">
        <w:r>
          <w:rPr>
            <w:rFonts w:ascii="arial" w:eastAsia="arial" w:hAnsi="arial" w:cs="arial"/>
            <w:b w:val="0"/>
            <w:i/>
            <w:strike w:val="0"/>
            <w:noProof w:val="0"/>
            <w:color w:val="0077CC"/>
            <w:position w:val="0"/>
            <w:sz w:val="20"/>
            <w:u w:val="single"/>
            <w:vertAlign w:val="baseline"/>
          </w:rPr>
          <w:t>FERPA@ed.gov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model's core implementation components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Criteria and strategies for selecting n4 and recruiting sites, including approaches to introducing the model to, and promoting the model among, site participants, n5 with consideration given to the following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For factors to consider when selecting model demonstration sites, the applicant should refer to </w:t>
      </w:r>
      <w:r>
        <w:rPr>
          <w:rFonts w:ascii="arial" w:eastAsia="arial" w:hAnsi="arial" w:cs="arial"/>
          <w:b w:val="0"/>
          <w:i/>
          <w:strike w:val="0"/>
          <w:noProof w:val="0"/>
          <w:color w:val="000000"/>
          <w:position w:val="0"/>
          <w:sz w:val="20"/>
          <w:u w:val="none"/>
          <w:vertAlign w:val="baseline"/>
        </w:rPr>
        <w:t>Assessing Sites for Model Demonstration: Lessons Learned for OSEP Grantees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http://mdcc.sri.com/documents/MDCC_Site_Assessment_Brief_09-30-11.pdf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document also contains a site assessment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factors to consider while preparing for model demonstration implementation, the applicant should refer to </w:t>
      </w:r>
      <w:r>
        <w:rPr>
          <w:rFonts w:ascii="arial" w:eastAsia="arial" w:hAnsi="arial" w:cs="arial"/>
          <w:b w:val="0"/>
          <w:i/>
          <w:strike w:val="0"/>
          <w:noProof w:val="0"/>
          <w:color w:val="000000"/>
          <w:position w:val="0"/>
          <w:sz w:val="20"/>
          <w:u w:val="none"/>
          <w:vertAlign w:val="baseline"/>
        </w:rPr>
        <w:t>Preparing for Model Demonstration Implementation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http://mdcc.sri.com/documents/MDCC_PreparationStage_Brief_Apr2013.pdf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Each project must include at least three middle or at least three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each of the schools, all of the identified SWD in middle and high school participating in the model demonstration projects must have math goals on their Individualized Education Programs (IEPs) and can be classified under any of the IDEA disability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lag site implementation design, which allows for model development and refinement at the first site in year one of the project period, with sites two and three implementing a revised model based on data from the first site beginning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professional development component that includes a coaching strategy supported by evidence to enable staff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paraprofessional, specialist) to implement the interventions with fidelity;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Measures of the results of the professional development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improvements in teachers'/service providers' instructional delivery and knowledge) required by paragraph (b)(3) of this section, including measures of the fidelity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core strategies for sustaining the model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Documentation that permits current and future practitioners to replicate and tailor the model at other sites; n6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a guide on documenting model demonstration sustainment and replication, the applicant should refer to </w:t>
      </w:r>
      <w:r>
        <w:rPr>
          <w:rFonts w:ascii="arial" w:eastAsia="arial" w:hAnsi="arial" w:cs="arial"/>
          <w:b w:val="0"/>
          <w:i/>
          <w:strike w:val="0"/>
          <w:noProof w:val="0"/>
          <w:color w:val="000000"/>
          <w:position w:val="0"/>
          <w:sz w:val="20"/>
          <w:u w:val="none"/>
          <w:vertAlign w:val="baseline"/>
        </w:rPr>
        <w:t>Planning for Replication and Dissemination From the Start: Guidelines for Model Demonstration Projects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http://mdcc.sri.com/documents/MDCC_ReplicationBrief_SEP2013.pdf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dissemination plan that includes strategies and measurable goals for the grantee to disseminate or sustain the model, such as developing easily accessible training materials or coordinating with TA providers who might serve as future trainers.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absolute priority, applicants must meet the application requirements contained in this priority. Each project funded under this absolute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detailed review of the literature indicating that the proposed model is supported by evidence meeting at least the conditions set out in the definition of strong theory (as defined in this notice) and that supports the promise of the proposed model, its components, and processes to improve algebraic reasoning for SWD in middle and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logic model that depicts, at a minimum, the goals, activities, outputs, and outcomes of the proposed model demonstration project. A logic model used in connection with this priority communicates how a project will achieve its outcomes and provides a framework for both the formative and summative evaluations of the project; </w:t>
      </w:r>
      <w:r>
        <w:rPr>
          <w:rFonts w:ascii="arial" w:eastAsia="arial" w:hAnsi="arial" w:cs="arial"/>
          <w:b/>
          <w:i w:val="0"/>
          <w:strike w:val="0"/>
          <w:noProof w:val="0"/>
          <w:color w:val="000000"/>
          <w:position w:val="0"/>
          <w:sz w:val="20"/>
          <w:u w:val="none"/>
          <w:vertAlign w:val="baseline"/>
        </w:rPr>
        <w:t> [*22977]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Include, in Appendix A, a logic model, a conceptual framework for the project, and person-loading charts and timelines, as applicable, to illustrate the management plan described in the narrative.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examples for constructing logic models: </w:t>
      </w:r>
      <w:hyperlink r:id="rId18"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activities and measures to be incorporated into the proposed model demonstration project to improve algebraic reasoning for SWD, including a timeline of how and when the components are introduced within the model. A detailed and complete description must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All the intervention components, including, at a minimum, those components listed in paragraph (a)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existing and proposed child, teacher, and system outcome measures and social validity measures. The measures should be described as completely as possible, referenced as appropriate, and included, when available,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All the implementation components, including, at a minimum, those listed in paragraph (b) under the heading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existing or proposed implementation fidelity measures, including those measuring the fidelity of the professional development strategy, should be described as completely as possible, referenced as appropriate, and included, when available, in Appendix A. In addition, this description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Demographics, including, at a minimum, ethnicity, gender, grade level, and age for all SWD at all implementation sites that have been identified and successfully recruited for the purposes of this application using the selection and recruitment strategies described in paragraph (b)(1)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Whether the implementation sites are high-need, n7 high-poverty, n8 low-performing, n9 rural, urban, or suburban local education agencies (LEAs) or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the purposes of this priority, the term "high-need school" refers to a public elementary or secondary school that is a "high-poverty" or "low-performing" school as defined in footnotes 8 and 9,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the purposes of this priority, the term "high-poverty school" means a school that is in the highest two quartiles of schools served by a local educational agency, based on the percentage of enrolled students from low-income families as defined in section 1113(a)(5) of the Elementary and Secondary Education Act of 1965, as amended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For the purpose of this priority, the term "low-performing school" means a school receiving assistance through Title I of the ESEA that,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(1) identified as a school in need of corrective action or restructuring under section 1116 of the ESEA, as amended by the No Child Left Behind Act of 2001 (NCLB); or (2) identified as a priority or focus school in a State that implemented ESEA flexibility. The inclusion of these schools as "low-performing schools" reflects the fact that the 2016-2017 school year is a year of transition between requirements of the ESEA as amended by NCLB and the ESEA as amended by the Every Student Succeeds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identify, to the extent possible, the sites willing to participate in the applicant's model demonstration. Final site selection will be determined in consultation with the Office of Special Education Programs (OSEP) project officer following the kick-off meeting described in paragraph (e)(1) of these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lag design for implementation consistent with the requirements in paragraph (b)(2)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All the strategies to promote sustaining and replicating the model, including, at a minimum, those listed in paragraph (c)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the evaluation activities and measures to be incorporated into the proposed model demonstration project. A detailed and complete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formative evaluation plan, consistent with the project's logic model, that includes evaluation questions, source(s) of data, a timeline for data collection, and analysis plans. The plan must show how the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 measures, social validity) and implementation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fidelity) will be used separately or in combination to improve the project during the performance period. The plan also must outline how these data will be reviewed by project staff, when they will be reviewed, and how they will be used during the course of the project to adjust the model or its implementation to increase the model's usefulness, generalizability, and potential for sustainability;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summative evaluation plan, including a timeline, to collect and analyze data on changes to child, teacher, and systems outcome measures over time or relative to comparison groups that can be reasonably attributable to project activities. The plan must show how the child or system outcome and implementation data collected by the project will be used separately or in combination to demonstrate the promise of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budget for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one and one half-day kick-off meeting to be held in Washington, DC, after receipt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three-day Project Directors' Conference in Washington, DC, occurring each year during the project performance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Four travel days spread across years two through four of the project period to attend planning meetings, Department briefings, Department-sponsored conferences, and other meetings, as requested by OSEP, to be held in Washington, DC, with the OSEP project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requirements of this priority, each project, at a minimum,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Communicate and collaborate on an ongoing basis with other relevant Department-funded projects, including, at minimum, OSEP-funded TA centers (see </w:t>
      </w:r>
      <w:hyperlink r:id="rId20" w:history="1">
        <w:r>
          <w:rPr>
            <w:rFonts w:ascii="arial" w:eastAsia="arial" w:hAnsi="arial" w:cs="arial"/>
            <w:b w:val="0"/>
            <w:i/>
            <w:strike w:val="0"/>
            <w:noProof w:val="0"/>
            <w:color w:val="0077CC"/>
            <w:position w:val="0"/>
            <w:sz w:val="20"/>
            <w:u w:val="single"/>
            <w:vertAlign w:val="baseline"/>
          </w:rPr>
          <w:t>www.osepideasthatwork.org/find-center-or-grant/find-a-center</w:t>
        </w:r>
      </w:hyperlink>
      <w:r>
        <w:rPr>
          <w:rFonts w:ascii="arial" w:eastAsia="arial" w:hAnsi="arial" w:cs="arial"/>
          <w:b w:val="0"/>
          <w:i w:val="0"/>
          <w:strike w:val="0"/>
          <w:noProof w:val="0"/>
          <w:color w:val="000000"/>
          <w:position w:val="0"/>
          <w:sz w:val="20"/>
          <w:u w:val="none"/>
          <w:vertAlign w:val="baseline"/>
        </w:rPr>
        <w:t>) that might disseminate information on the model or support the scale-up efforts of a promising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Maintain ongoing telephone and email communication with the OSEP project officer and the other model demonstration projects funded under this priority;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the project maintains a Web site, include relevant information about the model, the intervention, and the demonstration activities that meets government- or industry-recognized standards for accessibility.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absolute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that address the following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an additional two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 Supporting the Proposed Model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evidence that meets the conditions set out in the definition of "evidence of promise" (as defined in this notice). The proposed project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literature review, as required under paragraph (a) under the heading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that includes research that meets at least the evidence of promise standard supporting the promise of the proposed model, its components, and processes to improve algebraic reasoning in middle and high schools.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must identify up to two study citations that meet this standard and clearly mark them in the reference list of the proposal. </w:t>
      </w:r>
      <w:r>
        <w:rPr>
          <w:rFonts w:ascii="arial" w:eastAsia="arial" w:hAnsi="arial" w:cs="arial"/>
          <w:b/>
          <w:i w:val="0"/>
          <w:strike w:val="0"/>
          <w:noProof w:val="0"/>
          <w:color w:val="000000"/>
          <w:position w:val="0"/>
          <w:sz w:val="20"/>
          <w:u w:val="none"/>
          <w:vertAlign w:val="baseline"/>
        </w:rPr>
        <w:t> [*22978]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Allsopp, D.H., van Ingen, S., Simsek, O., &amp; Haley, K.C. (2016). Building to algebra: Big ideas, barriers, and effective practices. In B.S. Witzel (Ed.), </w:t>
      </w:r>
      <w:r>
        <w:rPr>
          <w:rFonts w:ascii="arial" w:eastAsia="arial" w:hAnsi="arial" w:cs="arial"/>
          <w:b w:val="0"/>
          <w:i/>
          <w:strike w:val="0"/>
          <w:noProof w:val="0"/>
          <w:color w:val="000000"/>
          <w:position w:val="0"/>
          <w:sz w:val="20"/>
          <w:u w:val="none"/>
          <w:vertAlign w:val="baseline"/>
        </w:rPr>
        <w:t>Bridging the gap between arithmetic &amp; algebra</w:t>
      </w:r>
      <w:r>
        <w:rPr>
          <w:rFonts w:ascii="arial" w:eastAsia="arial" w:hAnsi="arial" w:cs="arial"/>
          <w:b w:val="0"/>
          <w:i w:val="0"/>
          <w:strike w:val="0"/>
          <w:noProof w:val="0"/>
          <w:color w:val="000000"/>
          <w:position w:val="0"/>
          <w:sz w:val="20"/>
          <w:u w:val="none"/>
          <w:vertAlign w:val="baseline"/>
        </w:rPr>
        <w:t xml:space="preserve"> (pp.21-50). Arlington, VA: Council for Exceptional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Geary, D.C. (2011). Consequences, characteristics, and causes of mathematical learning disabilities and persistent low achievement in mathematics. </w:t>
      </w:r>
      <w:r>
        <w:rPr>
          <w:rFonts w:ascii="arial" w:eastAsia="arial" w:hAnsi="arial" w:cs="arial"/>
          <w:b w:val="0"/>
          <w:i/>
          <w:strike w:val="0"/>
          <w:noProof w:val="0"/>
          <w:color w:val="000000"/>
          <w:position w:val="0"/>
          <w:sz w:val="20"/>
          <w:u w:val="none"/>
          <w:vertAlign w:val="baseline"/>
        </w:rPr>
        <w:t>Journal of Developmental and Behavioral Pediatrics, 32</w:t>
      </w:r>
      <w:r>
        <w:rPr>
          <w:rFonts w:ascii="arial" w:eastAsia="arial" w:hAnsi="arial" w:cs="arial"/>
          <w:b w:val="0"/>
          <w:i w:val="0"/>
          <w:strike w:val="0"/>
          <w:noProof w:val="0"/>
          <w:color w:val="000000"/>
          <w:position w:val="0"/>
          <w:sz w:val="20"/>
          <w:u w:val="none"/>
          <w:vertAlign w:val="baseline"/>
        </w:rPr>
        <w:t xml:space="preserve"> (3), 250-263.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Gersten, R., Beckmann, S., Clarke, B., Foegen, A., Marsh, L., Star, J.R., &amp; Witzel, B. (2009). </w:t>
      </w:r>
      <w:r>
        <w:rPr>
          <w:rFonts w:ascii="arial" w:eastAsia="arial" w:hAnsi="arial" w:cs="arial"/>
          <w:b w:val="0"/>
          <w:i/>
          <w:strike w:val="0"/>
          <w:noProof w:val="0"/>
          <w:color w:val="000000"/>
          <w:position w:val="0"/>
          <w:sz w:val="20"/>
          <w:u w:val="none"/>
          <w:vertAlign w:val="baseline"/>
        </w:rPr>
        <w:t>Assisting students struggling with mathematics: Response to intervention (RtI) for elementary and middle schools</w:t>
      </w:r>
      <w:r>
        <w:rPr>
          <w:rFonts w:ascii="arial" w:eastAsia="arial" w:hAnsi="arial" w:cs="arial"/>
          <w:b w:val="0"/>
          <w:i w:val="0"/>
          <w:strike w:val="0"/>
          <w:noProof w:val="0"/>
          <w:color w:val="000000"/>
          <w:position w:val="0"/>
          <w:sz w:val="20"/>
          <w:u w:val="none"/>
          <w:vertAlign w:val="baseline"/>
        </w:rPr>
        <w:t xml:space="preserve"> (NCEE 2009-4060). Washington, DC: National Center for Education Evaluation and Regional Assistance, Institute of Education Sciences, U.S. Department of Education. Retrieved from </w:t>
      </w:r>
      <w:hyperlink r:id="rId21" w:history="1">
        <w:r>
          <w:rPr>
            <w:rFonts w:ascii="arial" w:eastAsia="arial" w:hAnsi="arial" w:cs="arial"/>
            <w:b w:val="0"/>
            <w:i/>
            <w:strike w:val="0"/>
            <w:noProof w:val="0"/>
            <w:color w:val="0077CC"/>
            <w:position w:val="0"/>
            <w:sz w:val="20"/>
            <w:u w:val="single"/>
            <w:vertAlign w:val="baseline"/>
          </w:rPr>
          <w:t>http://ies.ed.gov/ncee/wwc/publications/practiceguide/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Hughes, E.M., Powell, S.R., Lembke, E.S., &amp; Riley-Tillman, T.C. (2016). Taking the guesswork out of locating evidence-based mathematics practices for diverse learners. </w:t>
      </w:r>
      <w:r>
        <w:rPr>
          <w:rFonts w:ascii="arial" w:eastAsia="arial" w:hAnsi="arial" w:cs="arial"/>
          <w:b w:val="0"/>
          <w:i/>
          <w:strike w:val="0"/>
          <w:noProof w:val="0"/>
          <w:color w:val="000000"/>
          <w:position w:val="0"/>
          <w:sz w:val="20"/>
          <w:u w:val="none"/>
          <w:vertAlign w:val="baseline"/>
        </w:rPr>
        <w:t>Learning Disabilities Research &amp; Practice, 31</w:t>
      </w:r>
      <w:r>
        <w:rPr>
          <w:rFonts w:ascii="arial" w:eastAsia="arial" w:hAnsi="arial" w:cs="arial"/>
          <w:b w:val="0"/>
          <w:i w:val="0"/>
          <w:strike w:val="0"/>
          <w:noProof w:val="0"/>
          <w:color w:val="000000"/>
          <w:position w:val="0"/>
          <w:sz w:val="20"/>
          <w:u w:val="none"/>
          <w:vertAlign w:val="baseline"/>
        </w:rPr>
        <w:t xml:space="preserve"> (3), 130-141.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Hughes, E.M., Witzel, B.S., Riccomini, P.J., Fries, K.M., &amp; Kanyongo, G.Y. (2014). A meta-analysis of algebra interventions for learners with disabilities and struggling learning. </w:t>
      </w:r>
      <w:r>
        <w:rPr>
          <w:rFonts w:ascii="arial" w:eastAsia="arial" w:hAnsi="arial" w:cs="arial"/>
          <w:b w:val="0"/>
          <w:i/>
          <w:strike w:val="0"/>
          <w:noProof w:val="0"/>
          <w:color w:val="000000"/>
          <w:position w:val="0"/>
          <w:sz w:val="20"/>
          <w:u w:val="none"/>
          <w:vertAlign w:val="baseline"/>
        </w:rPr>
        <w:t>The Journal of the International Association of Special Education, 15</w:t>
      </w:r>
      <w:r>
        <w:rPr>
          <w:rFonts w:ascii="arial" w:eastAsia="arial" w:hAnsi="arial" w:cs="arial"/>
          <w:b w:val="0"/>
          <w:i w:val="0"/>
          <w:strike w:val="0"/>
          <w:noProof w:val="0"/>
          <w:color w:val="000000"/>
          <w:position w:val="0"/>
          <w:sz w:val="20"/>
          <w:u w:val="none"/>
          <w:vertAlign w:val="baseline"/>
        </w:rPr>
        <w:t xml:space="preserve"> (1), 36-47.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Education Improvement Act of 2004, </w:t>
      </w:r>
      <w:r>
        <w:rPr>
          <w:rFonts w:ascii="arial" w:eastAsia="arial" w:hAnsi="arial" w:cs="arial"/>
          <w:b w:val="0"/>
          <w:i/>
          <w:strike w:val="0"/>
          <w:noProof w:val="0"/>
          <w:color w:val="000000"/>
          <w:position w:val="0"/>
          <w:sz w:val="20"/>
          <w:u w:val="none"/>
          <w:vertAlign w:val="baseline"/>
        </w:rPr>
        <w:t>Public Law 108-446</w:t>
      </w:r>
      <w:r>
        <w:rPr>
          <w:rFonts w:ascii="arial" w:eastAsia="arial" w:hAnsi="arial" w:cs="arial"/>
          <w:b w:val="0"/>
          <w:i w:val="0"/>
          <w:strike w:val="0"/>
          <w:noProof w:val="0"/>
          <w:color w:val="000000"/>
          <w:position w:val="0"/>
          <w:sz w:val="20"/>
          <w:u w:val="none"/>
          <w:vertAlign w:val="baseline"/>
        </w:rPr>
        <w:t xml:space="preserve">. (2004). </w:t>
      </w:r>
      <w:hyperlink r:id="rId22"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Mathematics Advisory Panel (NMAP). (2008). </w:t>
      </w:r>
      <w:r>
        <w:rPr>
          <w:rFonts w:ascii="arial" w:eastAsia="arial" w:hAnsi="arial" w:cs="arial"/>
          <w:b w:val="0"/>
          <w:i/>
          <w:strike w:val="0"/>
          <w:noProof w:val="0"/>
          <w:color w:val="000000"/>
          <w:position w:val="0"/>
          <w:sz w:val="20"/>
          <w:u w:val="none"/>
          <w:vertAlign w:val="baseline"/>
        </w:rPr>
        <w:t>Foundations for success: The final report of the national advisory panel.</w:t>
      </w:r>
      <w:r>
        <w:rPr>
          <w:rFonts w:ascii="arial" w:eastAsia="arial" w:hAnsi="arial" w:cs="arial"/>
          <w:b w:val="0"/>
          <w:i w:val="0"/>
          <w:strike w:val="0"/>
          <w:noProof w:val="0"/>
          <w:color w:val="000000"/>
          <w:position w:val="0"/>
          <w:sz w:val="20"/>
          <w:u w:val="none"/>
          <w:vertAlign w:val="baseline"/>
        </w:rPr>
        <w:t xml:space="preserve"> Washington, DC: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 for Economic Cooperation and Development (OECD). (2013). </w:t>
      </w:r>
      <w:r>
        <w:rPr>
          <w:rFonts w:ascii="arial" w:eastAsia="arial" w:hAnsi="arial" w:cs="arial"/>
          <w:b w:val="0"/>
          <w:i/>
          <w:strike w:val="0"/>
          <w:noProof w:val="0"/>
          <w:color w:val="000000"/>
          <w:position w:val="0"/>
          <w:sz w:val="20"/>
          <w:u w:val="none"/>
          <w:vertAlign w:val="baseline"/>
        </w:rPr>
        <w:t>PISA 2012 Assessment and Analytical Framework: Mathematics, Reading, Science, Problem Solving and Financial Literacy.</w:t>
      </w:r>
      <w:r>
        <w:rPr>
          <w:rFonts w:ascii="arial" w:eastAsia="arial" w:hAnsi="arial" w:cs="arial"/>
          <w:b w:val="0"/>
          <w:i w:val="0"/>
          <w:strike w:val="0"/>
          <w:noProof w:val="0"/>
          <w:color w:val="000000"/>
          <w:position w:val="0"/>
          <w:sz w:val="20"/>
          <w:u w:val="none"/>
          <w:vertAlign w:val="baseline"/>
        </w:rPr>
        <w:t xml:space="preserve"> Paris: OECD Publishing.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 J.R., Caronongan, P., Foegen, A., Furgeson, J., Keating, B., Larson, M.R., &amp; Zbiek, R.M. (2015). </w:t>
      </w:r>
      <w:r>
        <w:rPr>
          <w:rFonts w:ascii="arial" w:eastAsia="arial" w:hAnsi="arial" w:cs="arial"/>
          <w:b w:val="0"/>
          <w:i/>
          <w:strike w:val="0"/>
          <w:noProof w:val="0"/>
          <w:color w:val="000000"/>
          <w:position w:val="0"/>
          <w:sz w:val="20"/>
          <w:u w:val="none"/>
          <w:vertAlign w:val="baseline"/>
        </w:rPr>
        <w:t>Teaching strategies for improving algebra knowledge in middle and high school students</w:t>
      </w:r>
      <w:r>
        <w:rPr>
          <w:rFonts w:ascii="arial" w:eastAsia="arial" w:hAnsi="arial" w:cs="arial"/>
          <w:b w:val="0"/>
          <w:i w:val="0"/>
          <w:strike w:val="0"/>
          <w:noProof w:val="0"/>
          <w:color w:val="000000"/>
          <w:position w:val="0"/>
          <w:sz w:val="20"/>
          <w:u w:val="none"/>
          <w:vertAlign w:val="baseline"/>
        </w:rPr>
        <w:t xml:space="preserve"> (NCEE 2014-4333). Washington, DC: National Center for Education Evaluation and Regional Assistance (NCEE), Institute of Education Sciences, U.S. Department of Education. Retrieved from the NCEE Web site: </w:t>
      </w:r>
      <w:hyperlink r:id="rId23" w:history="1">
        <w:r>
          <w:rPr>
            <w:rFonts w:ascii="arial" w:eastAsia="arial" w:hAnsi="arial" w:cs="arial"/>
            <w:b w:val="0"/>
            <w:i/>
            <w:strike w:val="0"/>
            <w:noProof w:val="0"/>
            <w:color w:val="0077CC"/>
            <w:position w:val="0"/>
            <w:sz w:val="20"/>
            <w:u w:val="single"/>
            <w:vertAlign w:val="baseline"/>
          </w:rPr>
          <w:t>http://whatworks.ed.gov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Institute of Education Sciences, National Center for Education Statistics. (2015). </w:t>
      </w:r>
      <w:r>
        <w:rPr>
          <w:rFonts w:ascii="arial" w:eastAsia="arial" w:hAnsi="arial" w:cs="arial"/>
          <w:b w:val="0"/>
          <w:i/>
          <w:strike w:val="0"/>
          <w:noProof w:val="0"/>
          <w:color w:val="000000"/>
          <w:position w:val="0"/>
          <w:sz w:val="20"/>
          <w:u w:val="none"/>
          <w:vertAlign w:val="baseline"/>
        </w:rPr>
        <w:t>National Assessment of Educational Progress Reading and Mathematics Assessments (NAEP), 2015, 2013, Mathematics Assessments.</w:t>
      </w:r>
      <w:r>
        <w:rPr>
          <w:rFonts w:ascii="arial" w:eastAsia="arial" w:hAnsi="arial" w:cs="arial"/>
          <w:b w:val="0"/>
          <w:i w:val="0"/>
          <w:strike w:val="0"/>
          <w:noProof w:val="0"/>
          <w:color w:val="000000"/>
          <w:position w:val="0"/>
          <w:sz w:val="20"/>
          <w:u w:val="none"/>
          <w:vertAlign w:val="baseline"/>
        </w:rPr>
        <w:t xml:space="preserve"> Accessed through the NAEP Data Explorer at </w:t>
      </w:r>
      <w:hyperlink r:id="rId24" w:history="1">
        <w:r>
          <w:rPr>
            <w:rFonts w:ascii="arial" w:eastAsia="arial" w:hAnsi="arial" w:cs="arial"/>
            <w:b w:val="0"/>
            <w:i/>
            <w:strike w:val="0"/>
            <w:noProof w:val="0"/>
            <w:color w:val="0077CC"/>
            <w:position w:val="0"/>
            <w:sz w:val="20"/>
            <w:u w:val="single"/>
            <w:vertAlign w:val="baseline"/>
          </w:rPr>
          <w:t>http://nces.ed.gov/nationsreportcard/naepdata/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Walle, J.A., Karp, K.S., &amp; Bay-Williams, J.M. (2013). </w:t>
      </w:r>
      <w:r>
        <w:rPr>
          <w:rFonts w:ascii="arial" w:eastAsia="arial" w:hAnsi="arial" w:cs="arial"/>
          <w:b w:val="0"/>
          <w:i/>
          <w:strike w:val="0"/>
          <w:noProof w:val="0"/>
          <w:color w:val="000000"/>
          <w:position w:val="0"/>
          <w:sz w:val="20"/>
          <w:u w:val="none"/>
          <w:vertAlign w:val="baseline"/>
        </w:rPr>
        <w:t>Elementary and middle school mathematics: Teaching developmentally.</w:t>
      </w:r>
      <w:r>
        <w:rPr>
          <w:rFonts w:ascii="arial" w:eastAsia="arial" w:hAnsi="arial" w:cs="arial"/>
          <w:b w:val="0"/>
          <w:i w:val="0"/>
          <w:strike w:val="0"/>
          <w:noProof w:val="0"/>
          <w:color w:val="000000"/>
          <w:position w:val="0"/>
          <w:sz w:val="20"/>
          <w:u w:val="none"/>
          <w:vertAlign w:val="baseline"/>
        </w:rPr>
        <w:t xml:space="preserve"> Boston, MA: Pearson.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Witzel, B. (2016). Students with math difficulties and the arithmetic to algebra gap. In B.S. Witzel (Ed.), </w:t>
      </w:r>
      <w:r>
        <w:rPr>
          <w:rFonts w:ascii="arial" w:eastAsia="arial" w:hAnsi="arial" w:cs="arial"/>
          <w:b w:val="0"/>
          <w:i/>
          <w:strike w:val="0"/>
          <w:noProof w:val="0"/>
          <w:color w:val="000000"/>
          <w:position w:val="0"/>
          <w:sz w:val="20"/>
          <w:u w:val="none"/>
          <w:vertAlign w:val="baseline"/>
        </w:rPr>
        <w:t>Bridging the gap between arithmetic &amp; algebra</w:t>
      </w:r>
      <w:r>
        <w:rPr>
          <w:rFonts w:ascii="arial" w:eastAsia="arial" w:hAnsi="arial" w:cs="arial"/>
          <w:b w:val="0"/>
          <w:i w:val="0"/>
          <w:strike w:val="0"/>
          <w:noProof w:val="0"/>
          <w:color w:val="000000"/>
          <w:position w:val="0"/>
          <w:sz w:val="20"/>
          <w:u w:val="none"/>
          <w:vertAlign w:val="baseline"/>
        </w:rPr>
        <w:t xml:space="preserve"> (pp.7-20). Arlington, VA: Council for Exceptional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apply to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Algebraic reasoning</w:t>
      </w:r>
      <w:r>
        <w:rPr>
          <w:rFonts w:ascii="arial" w:eastAsia="arial" w:hAnsi="arial" w:cs="arial"/>
          <w:b w:val="0"/>
          <w:i w:val="0"/>
          <w:strike w:val="0"/>
          <w:noProof w:val="0"/>
          <w:color w:val="000000"/>
          <w:position w:val="0"/>
          <w:sz w:val="20"/>
          <w:u w:val="none"/>
          <w:vertAlign w:val="baseline"/>
        </w:rPr>
        <w:t xml:space="preserve"> means "forming generalizations from experiences with number and computation, formalizing these ideas with the use of a meaningful symbol system, and exploring the concepts of pattern and function" (Van De Walle, Karp, &amp; Bay-Williams, 2013, p. 258).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the following terms are from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"evidence of promise," "logic model," "quasi-experimental design study," "randomized controlled trial", "relevant outcome," "strong theory," and "What Works Clearinghouse evidence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research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Mathematical literacy</w:t>
      </w:r>
      <w:r>
        <w:rPr>
          <w:rFonts w:ascii="arial" w:eastAsia="arial" w:hAnsi="arial" w:cs="arial"/>
          <w:b w:val="0"/>
          <w:i w:val="0"/>
          <w:strike w:val="0"/>
          <w:noProof w:val="0"/>
          <w:color w:val="000000"/>
          <w:position w:val="0"/>
          <w:sz w:val="20"/>
          <w:u w:val="none"/>
          <w:vertAlign w:val="baseline"/>
        </w:rPr>
        <w:t xml:space="preserve"> refers to, "an individual's capacity to formulate, employ, and interpret mathematics in a variety of contexts. It includes reasoning mathematically and using mathematical concepts, procedures, facts and tools to describe, explain and predict phenomena. It assists individuals to recognize the role that mathematics plays in the world and to make the well-founded judgments and decisions needed by constructive, engaged and reflective citizens" (Organization for Economic Cooperation and Development, 2013, p. 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6"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other requirements. Section 681(d) of IDEA, however, makes the public comment requirements of the APA inapplicable to the absolute priority and related definitions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w:t>
      </w:r>
      <w:r>
        <w:rPr>
          <w:rFonts w:ascii="arial" w:eastAsia="arial" w:hAnsi="arial" w:cs="arial"/>
          <w:b/>
          <w:i w:val="0"/>
          <w:strike w:val="0"/>
          <w:noProof w:val="0"/>
          <w:color w:val="000000"/>
          <w:position w:val="0"/>
          <w:sz w:val="20"/>
          <w:u w:val="none"/>
          <w:vertAlign w:val="baseline"/>
        </w:rPr>
        <w:t> [*22979]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$ 54,345,000 for the Technical Assistance and Dissemination To Improve Services and Results for Children With Disabilities program for FY 2017, of which we intend to use an estimated $ 1,200,000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(per year divided between the three new projects).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$ 375,000 to $ 400,000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$ 400,000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Period:</w:t>
      </w:r>
      <w:r>
        <w:rPr>
          <w:rFonts w:ascii="arial" w:eastAsia="arial" w:hAnsi="arial" w:cs="arial"/>
          <w:b w:val="0"/>
          <w:i w:val="0"/>
          <w:strike w:val="0"/>
          <w:noProof w:val="0"/>
          <w:color w:val="000000"/>
          <w:position w:val="0"/>
          <w:sz w:val="20"/>
          <w:u w:val="none"/>
          <w:vertAlign w:val="baseline"/>
        </w:rPr>
        <w:t xml:space="preserve"> In August 2013, the Department amended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to authorize the awarding of an evaluation period after the end of the approved project period. Under </w:t>
      </w:r>
      <w:hyperlink r:id="rId2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xml:space="preserve"> the Secretary has the authority to make data collection/analysis awards. By the terms of that section, the awards can only go to current grantees, may only be used for data collection, analysis and reporting and do not have to go through a formal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LEAs, including public charter schools that are considered LEAs under State law; IHEs; other public agencies; private nonprofit organizations; outlying areas; freely associated States;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8"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9"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you--(1) limit Part III to no more than 50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the Department provides an accommodation or auxiliary aid to an individual with a disability in connection with the application process, the individual's application remains subject to all other </w:t>
      </w:r>
      <w:r>
        <w:rPr>
          <w:rFonts w:ascii="arial" w:eastAsia="arial" w:hAnsi="arial" w:cs="arial"/>
          <w:b/>
          <w:i w:val="0"/>
          <w:strike w:val="0"/>
          <w:noProof w:val="0"/>
          <w:color w:val="000000"/>
          <w:position w:val="0"/>
          <w:sz w:val="20"/>
          <w:u w:val="none"/>
          <w:vertAlign w:val="baseline"/>
        </w:rPr>
        <w:t> [*22980] </w:t>
      </w:r>
      <w:r>
        <w:rPr>
          <w:rFonts w:ascii="arial" w:eastAsia="arial" w:hAnsi="arial" w:cs="arial"/>
          <w:b w:val="0"/>
          <w:i w:val="0"/>
          <w:strike w:val="0"/>
          <w:noProof w:val="0"/>
          <w:color w:val="000000"/>
          <w:position w:val="0"/>
          <w:sz w:val="20"/>
          <w:u w:val="none"/>
          <w:vertAlign w:val="baseline"/>
        </w:rPr>
        <w:t xml:space="preserve">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Model Demonstration Projects to Improve Algebraic Reasoning for Students with Disabilities in Middle and High School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84.326M,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Model Demonstration Projects to Improve Algebraic Reasoning for Students with Disabilities in Middle and High School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 </w:t>
      </w:r>
      <w:r>
        <w:rPr>
          <w:rFonts w:ascii="arial" w:eastAsia="arial" w:hAnsi="arial" w:cs="arial"/>
          <w:b/>
          <w:i w:val="0"/>
          <w:strike w:val="0"/>
          <w:noProof w:val="0"/>
          <w:color w:val="000000"/>
          <w:position w:val="0"/>
          <w:sz w:val="20"/>
          <w:u w:val="none"/>
          <w:vertAlign w:val="baseline"/>
        </w:rPr>
        <w:t> [*22981]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Paula Maccini, U.S. Department of Education, 400 Maryland Avenue SW., Room 5142,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 </w:t>
      </w:r>
      <w:r>
        <w:rPr>
          <w:rFonts w:ascii="arial" w:eastAsia="arial" w:hAnsi="arial" w:cs="arial"/>
          <w:b/>
          <w:i w:val="0"/>
          <w:strike w:val="0"/>
          <w:noProof w:val="0"/>
          <w:color w:val="000000"/>
          <w:position w:val="0"/>
          <w:sz w:val="20"/>
          <w:u w:val="none"/>
          <w:vertAlign w:val="baseline"/>
        </w:rPr>
        <w:t> [*22982]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involves a high-quality review of the relevant literature and the demonstration of promising strategies that build on, or are alternatives to, existing strategies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potential contribution of the proposed project to increase knowledge or understanding of problems, issues, or effective strategies in improving results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proposed project is likely to build local capacity to provide, improve, or expand and sustain services that address the needs of the target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the "Significance" criterion, reviewers are looking for a thorough review of the literature that (a) substantiates the inclusion of existing interventions supported by evidence and implementation strategies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core model components) that research suggests will improve child, teacher, or system outcomes when implemented with fidelity; and (b) the efficacy of this model to address the issue or problem identified as a need in the priority. Reviewers will also be considering the breadth and adequacy of the applicant's proposed approaches to site staff training and strategies for sustainment of the model as part of this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a coherent model that includes site selection, practices supported by evidence, implementation and sustainment components is clearly articulated.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goals, activities, outputs, and outcomes to be achieved by the proposed project are clearly specified and measurable, as depicted in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design of the proposed project includes a thorough, high-quality plan for project implementation, and the use of appropriate methodological tools to ensure successful achievement of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training or professional development to be provided by the proposed project are of sufficient quality, intensity, and duration to lead to improvements in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quality of the proposed project design and procedures for documenting project activities, implementation, and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likelihood that the proposed project will result in system change or improvement through articulated strategies to sustain implementation, and detailed documentation that would allow replication in other locations as well as ambitious goals for disseminating the information to relevant stakeholders.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the "Quality of Project Design" criterion, the reviewers are looking for: (a) A description of model site selection and preparation, to include the criteria for site selection and how the model will be introduced to major stakeholders at the site(s); (b) a clear and thorough description of the core intervention components of the model, to include the child, teacher, and system outcomes to be measured, along with proposed measures of social validity; (c) a clear and thorough description of the implementation components of the model, to include at minimum how and when site staff training will occur and the content of the training, how trainer remediation is addressed, staff coaching strategies, and how implementation fidelity will be measured; (d) a logic model that depicts, at a minimum, the goals, activities, outputs, and outcomes of the model; and (e) a clear and thorough description of the applicant's proposed sustainment strategies, to include how the information contained in the manual for the model will be compiled. In order to put these components in context, the reviewers also will be looking for a general timeline or flow of activities for the project that illustrates when these components are introduced in each 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lag design) and how and when the measures are taken and analyzed in support of the project evaluation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Adequacy of project resources and management plan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for the proposed project and the quality of its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and the management plan,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staff,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support, including the time commitments of the project director, project staff, and project consultants or subcontractors and the type and quality of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costs are reasonable in relation to the number of persons to be served and to the anticipated outcomes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adequacy of the management plan to achieve the objectives of the proposed model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Secretary considers the quality of the evaluation to be conducted of the proposed project. </w:t>
      </w:r>
      <w:r>
        <w:rPr>
          <w:rFonts w:ascii="arial" w:eastAsia="arial" w:hAnsi="arial" w:cs="arial"/>
          <w:b/>
          <w:i w:val="0"/>
          <w:strike w:val="0"/>
          <w:noProof w:val="0"/>
          <w:color w:val="000000"/>
          <w:position w:val="0"/>
          <w:sz w:val="20"/>
          <w:u w:val="none"/>
          <w:vertAlign w:val="baseline"/>
        </w:rPr>
        <w:t> [*22983]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will provide performance feedback and permit periodic assessment of progress toward effective implementation of the proposed project and achieving intended child and system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provide for examining the effectiveness of model intervention, implementation, and sustainment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are thorough, feasible, and appropriate to the goals, activities, and outcomes of the proposed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the "Quality of the Project Evaluation" criterion, the reviewers are looking for: (a) A clear description of each of the proposed measures (it is recommended that the applicant attach the actual measures proposed; a description of the actual or proposed measures; or an example of a measure that closely approximates the proposed measure in an appendix); and (b) a clear indication of when these measures will be applied and how they will be analyzed and used for formative evaluation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making improvements to the model during the grant period) and for summative evaluation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determining the effectiveness and acceptability of the processes and outcomes attributable to the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4"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4"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We </w:t>
      </w:r>
      <w:r>
        <w:rPr>
          <w:rFonts w:ascii="arial" w:eastAsia="arial" w:hAnsi="arial" w:cs="arial"/>
          <w:b/>
          <w:i w:val="0"/>
          <w:strike w:val="0"/>
          <w:noProof w:val="0"/>
          <w:color w:val="000000"/>
          <w:position w:val="0"/>
          <w:sz w:val="20"/>
          <w:u w:val="none"/>
          <w:vertAlign w:val="baseline"/>
        </w:rPr>
        <w:t> [*22984] </w:t>
      </w:r>
      <w:r>
        <w:rPr>
          <w:rFonts w:ascii="arial" w:eastAsia="arial" w:hAnsi="arial" w:cs="arial"/>
          <w:b w:val="0"/>
          <w:i w:val="0"/>
          <w:strike w:val="0"/>
          <w:noProof w:val="0"/>
          <w:color w:val="000000"/>
          <w:position w:val="0"/>
          <w:sz w:val="20"/>
          <w:u w:val="none"/>
          <w:vertAlign w:val="baseline"/>
        </w:rPr>
        <w:t xml:space="preserve"> will use these measures to evaluate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50"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2017-10249 Filed 5-18-17;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Paula Maccini, U.S. Department of Education, 400 Maryland Avenue SW., Room 5142, Potomac Center Plaza, Washington, DC 20202-5108. Telephone: (202) 245-8012.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22975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s://advance.lexis.com/api/document?collection=statutes-legislation&amp;id=urn:contentItem:4YF7-GN31-NRF4-40GT-00000-00&amp;context=" TargetMode="External" /><Relationship Id="rId12" Type="http://schemas.openxmlformats.org/officeDocument/2006/relationships/hyperlink" Target="https://advance.lexis.com/api/document?collection=administrative-codes&amp;id=urn:contentItem:54CT-73J0-006W-82NC-00000-00&amp;context=" TargetMode="External" /><Relationship Id="rId13" Type="http://schemas.openxmlformats.org/officeDocument/2006/relationships/hyperlink" Target="http://www.ed.gov/fpco" TargetMode="External" /><Relationship Id="rId14" Type="http://schemas.openxmlformats.org/officeDocument/2006/relationships/hyperlink" Target="mailto:FERPA@ed.gov" TargetMode="External" /><Relationship Id="rId15" Type="http://schemas.openxmlformats.org/officeDocument/2006/relationships/hyperlink" Target="http://mdcc.sri.com/documents/MDCC_Site_Assessment_Brief_09-30-11.pdf" TargetMode="External" /><Relationship Id="rId16" Type="http://schemas.openxmlformats.org/officeDocument/2006/relationships/hyperlink" Target="http://mdcc.sri.com/documents/MDCC_PreparationStage_Brief_Apr2013.pdf" TargetMode="External" /><Relationship Id="rId17" Type="http://schemas.openxmlformats.org/officeDocument/2006/relationships/hyperlink" Target="http://mdcc.sri.com/documents/MDCC_ReplicationBrief_SEP2013.pdf" TargetMode="External" /><Relationship Id="rId18" Type="http://schemas.openxmlformats.org/officeDocument/2006/relationships/hyperlink" Target="http://www.osepideasthatwork.org/resources-grantees/program-areas/ta-ta/tad-project-logic-model-and-conceptual-framework" TargetMode="External" /><Relationship Id="rId19" Type="http://schemas.openxmlformats.org/officeDocument/2006/relationships/hyperlink" Target="http://www.osepideasthatwork.org/logicModel" TargetMode="External" /><Relationship Id="rId2" Type="http://schemas.openxmlformats.org/officeDocument/2006/relationships/webSettings" Target="webSettings.xml" /><Relationship Id="rId20" Type="http://schemas.openxmlformats.org/officeDocument/2006/relationships/hyperlink" Target="http://www.osepideasthatwork.org/find-center-or-grant/find-a-center" TargetMode="External" /><Relationship Id="rId21" Type="http://schemas.openxmlformats.org/officeDocument/2006/relationships/hyperlink" Target="http://ies.ed.gov/ncee/wwc/publications/practiceguide/" TargetMode="External" /><Relationship Id="rId22" Type="http://schemas.openxmlformats.org/officeDocument/2006/relationships/hyperlink" Target="https://advance.lexis.com/api/document?collection=statutes-legislation&amp;id=urn:contentItem:4YF7-GNB1-NRF4-4325-00000-00&amp;context=" TargetMode="External" /><Relationship Id="rId23" Type="http://schemas.openxmlformats.org/officeDocument/2006/relationships/hyperlink" Target="http://whatworks.ed.gov" TargetMode="External" /><Relationship Id="rId24" Type="http://schemas.openxmlformats.org/officeDocument/2006/relationships/hyperlink" Target="http://nces.ed.gov/nationsreportcard/naepdata/"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ies.ed.gov/ncee/wwc/DocumentSum.aspx?sid=19" TargetMode="External" /><Relationship Id="rId27" Type="http://schemas.openxmlformats.org/officeDocument/2006/relationships/hyperlink" Target="https://advance.lexis.com/api/document?collection=administrative-codes&amp;id=urn:contentItem:5GMB-DPB0-008H-0272-00000-00&amp;context=" TargetMode="External" /><Relationship Id="rId28" Type="http://schemas.openxmlformats.org/officeDocument/2006/relationships/hyperlink" Target="https://advance.lexis.com/api/document?collection=administrative-codes&amp;id=urn:contentItem:5GMB-DPC0-008H-02SJ-00000-00&amp;context=" TargetMode="External" /><Relationship Id="rId29" Type="http://schemas.openxmlformats.org/officeDocument/2006/relationships/hyperlink" Target="http://www.ed.gov/fund/grant/apply/grantapps/index.html" TargetMode="External" /><Relationship Id="rId3" Type="http://schemas.openxmlformats.org/officeDocument/2006/relationships/fontTable" Target="fontTable.xml" /><Relationship Id="rId30" Type="http://schemas.openxmlformats.org/officeDocument/2006/relationships/hyperlink" Target="http://www.EDPubs.gov" TargetMode="External" /><Relationship Id="rId31" Type="http://schemas.openxmlformats.org/officeDocument/2006/relationships/hyperlink" Target="mailto:edpubs@inet.ed.gov" TargetMode="External" /><Relationship Id="rId32" Type="http://schemas.openxmlformats.org/officeDocument/2006/relationships/hyperlink" Target="http://fedgov.dnb.com/webform" TargetMode="External" /><Relationship Id="rId33" Type="http://schemas.openxmlformats.org/officeDocument/2006/relationships/hyperlink" Target="http://www.SAM.gov" TargetMode="External" /><Relationship Id="rId34" Type="http://schemas.openxmlformats.org/officeDocument/2006/relationships/hyperlink" Target="http://www.grants.gov/web/grants/register.html" TargetMode="External" /><Relationship Id="rId35" Type="http://schemas.openxmlformats.org/officeDocument/2006/relationships/hyperlink" Target="http://www.Grants.gov" TargetMode="External" /><Relationship Id="rId36" Type="http://schemas.openxmlformats.org/officeDocument/2006/relationships/hyperlink" Target="http://www.G5.gov" TargetMode="External" /><Relationship Id="rId37" Type="http://schemas.openxmlformats.org/officeDocument/2006/relationships/hyperlink" Target="http://www.grants.gov/web/grants/applicants/apply-for-grants.html" TargetMode="External" /><Relationship Id="rId38" Type="http://schemas.openxmlformats.org/officeDocument/2006/relationships/hyperlink" Target="https://advance.lexis.com/api/document?collection=administrative-codes&amp;id=urn:contentItem:5GMB-DPB0-008H-02GP-00000-00&amp;context=" TargetMode="External" /><Relationship Id="rId39" Type="http://schemas.openxmlformats.org/officeDocument/2006/relationships/hyperlink" Target="https://advance.lexis.com/api/document?collection=administrative-codes&amp;id=urn:contentItem:5KS0-F5W0-008H-023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5H-J1H0-008H-043K-00000-00&amp;context=" TargetMode="External" /><Relationship Id="rId41" Type="http://schemas.openxmlformats.org/officeDocument/2006/relationships/hyperlink" Target="https://advance.lexis.com/api/document?collection=administrative-codes&amp;id=urn:contentItem:5KS0-F5W0-008H-024V-00000-00&amp;context=" TargetMode="External" /><Relationship Id="rId42" Type="http://schemas.openxmlformats.org/officeDocument/2006/relationships/hyperlink" Target="https://advance.lexis.com/api/document?collection=administrative-codes&amp;id=urn:contentItem:5KS0-F600-008H-02PT-00000-00&amp;context=" TargetMode="External" /><Relationship Id="rId43" Type="http://schemas.openxmlformats.org/officeDocument/2006/relationships/hyperlink" Target="https://advance.lexis.com/api/document?collection=administrative-codes&amp;id=urn:contentItem:5KS0-F5W0-008H-025B-00000-00&amp;context=" TargetMode="External" /><Relationship Id="rId44" Type="http://schemas.openxmlformats.org/officeDocument/2006/relationships/hyperlink" Target="https://advance.lexis.com/api/document?collection=administrative-codes&amp;id=urn:contentItem:5HDM-DHF0-008G-Y2NJ-00000-00&amp;context=" TargetMode="External" /><Relationship Id="rId45" Type="http://schemas.openxmlformats.org/officeDocument/2006/relationships/hyperlink" Target="https://advance.lexis.com/api/document?collection=administrative-codes&amp;id=urn:contentItem:5F34-Y1R0-008G-Y1F9-00000-00&amp;context=" TargetMode="External" /><Relationship Id="rId46" Type="http://schemas.openxmlformats.org/officeDocument/2006/relationships/hyperlink" Target="https://advance.lexis.com/api/document?collection=administrative-codes&amp;id=urn:contentItem:5F2R-48P0-008G-Y31V-00000-00&amp;context=" TargetMode="External" /><Relationship Id="rId47" Type="http://schemas.openxmlformats.org/officeDocument/2006/relationships/hyperlink" Target="https://advance.lexis.com/api/document?collection=administrative-codes&amp;id=urn:contentItem:5GMB-DPC0-008H-02S7-00000-00&amp;context=" TargetMode="External" /><Relationship Id="rId48" Type="http://schemas.openxmlformats.org/officeDocument/2006/relationships/hyperlink" Target="https://advance.lexis.com/api/document?collection=administrative-codes&amp;id=urn:contentItem:5GMB-DPC0-008H-02SK-00000-00&amp;context=" TargetMode="External" /><Relationship Id="rId49" Type="http://schemas.openxmlformats.org/officeDocument/2006/relationships/hyperlink" Target="http://www.ed.gov/fund/grant/apply/appforms/appforms.html"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B0-008H-027J-00000-00&amp;context=" TargetMode="External" /><Relationship Id="rId51" Type="http://schemas.openxmlformats.org/officeDocument/2006/relationships/hyperlink" Target="https://advance.lexis.com/api/document?collection=administrative-codes&amp;id=urn:contentItem:5GMB-DPB0-008H-02K8-00000-00&amp;context=" TargetMode="External" /><Relationship Id="rId52" Type="http://schemas.openxmlformats.org/officeDocument/2006/relationships/hyperlink" Target="http://www.gpo.gov/fdsys" TargetMode="External" /><Relationship Id="rId53" Type="http://schemas.openxmlformats.org/officeDocument/2006/relationships/hyperlink" Target="http://www.federalregister.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K6-TMG0-006W-84B9-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71-NRF4-41B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62260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