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22985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096, Friday, May 19,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22985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May 19,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Technical Assistance and Dissemination To Improve Services and Results for Children With Disabilities--National Center To Enhance Educational Systems To Promote the Use of Practices Supported by Evidence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Technical Assistance and Dissemination to Improve Services and Results for Children with Disabilities--National Center to Enhance Educational Systems to Promote the Use of Practices Supported by Evidence, Catalog of Federal Domestic Assistance (CFDA) number 84.326K. </w:t>
      </w:r>
      <w:r>
        <w:rPr>
          <w:rFonts w:ascii="arial" w:eastAsia="arial" w:hAnsi="arial" w:cs="arial"/>
          <w:b/>
          <w:i w:val="0"/>
          <w:strike w:val="0"/>
          <w:noProof w:val="0"/>
          <w:color w:val="000000"/>
          <w:position w:val="0"/>
          <w:sz w:val="20"/>
          <w:u w:val="none"/>
          <w:vertAlign w:val="baseline"/>
        </w:rPr>
        <w:t> [*22986] </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Technical Assistance and Dissemination to Improve Services and Results for Children with Disabilities program is to promote academic achievement and to improve results for children with disabilities by providing technical assistance (TA), supporting model demonstration projects, disseminating useful information, and implementing activities that are supported by scientifically based research.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xml:space="preserve">, this priority is from allowable activities specified in the statute (see sections 663 and 681(d) of the Individuals with Disabilities Education Act (IDEA); </w:t>
      </w:r>
      <w:hyperlink r:id="rId9" w:history="1">
        <w:r>
          <w:rPr>
            <w:rFonts w:ascii="arial" w:eastAsia="arial" w:hAnsi="arial" w:cs="arial"/>
            <w:b w:val="0"/>
            <w:i/>
            <w:strike w:val="0"/>
            <w:noProof w:val="0"/>
            <w:color w:val="0077CC"/>
            <w:position w:val="0"/>
            <w:sz w:val="20"/>
            <w:u w:val="single"/>
            <w:vertAlign w:val="baseline"/>
          </w:rPr>
          <w:t>20 U.S.C. 1463</w:t>
        </w:r>
      </w:hyperlink>
      <w:r>
        <w:rPr>
          <w:rFonts w:ascii="arial" w:eastAsia="arial" w:hAnsi="arial" w:cs="arial"/>
          <w:b w:val="0"/>
          <w:i w:val="0"/>
          <w:strike w:val="0"/>
          <w:noProof w:val="0"/>
          <w:color w:val="000000"/>
          <w:position w:val="0"/>
          <w:sz w:val="20"/>
          <w:u w:val="none"/>
          <w:vertAlign w:val="baseline"/>
        </w:rPr>
        <w:t xml:space="preserve"> and U.S.C. 1481).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priority is: </w:t>
      </w:r>
      <w:r>
        <w:rPr>
          <w:rFonts w:ascii="arial" w:eastAsia="arial" w:hAnsi="arial" w:cs="arial"/>
          <w:b w:val="0"/>
          <w:i/>
          <w:strike w:val="0"/>
          <w:noProof w:val="0"/>
          <w:color w:val="000000"/>
          <w:position w:val="0"/>
          <w:sz w:val="20"/>
          <w:u w:val="none"/>
          <w:vertAlign w:val="baseline"/>
        </w:rPr>
        <w:t>National Center to Enhance Educational Systems to Promote the Use of Practices Supported by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a cooperative agreement to establish and operate a national center to provide technical assistance (TA) directly to States, educational service agencies (ESAs), local educational agencies (LEAs), and charter management organizations in those States to help create the conditions necessary for educators to make full and sustained use of instructional and leadership practices supported by evidence (as defined in this notice). Because they are an essential part of this effort, the Center will also provide this TA to other Department-funded TA centers and to organizations that prepare district superintendents.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increasing availability of practices supported by evidence in literacy, math, science, and behavior support, such as those found in the What Works Clearinghouse, and a significant amount of money and time spent on professional development, the progress of students with disabilities has not significantly improved over time (Burns &amp; Darling-Hammond, 2014; Cook &amp; Odom, 2013; TNTP, 2015; What Works Clearinghouse Publications, available at </w:t>
      </w:r>
      <w:hyperlink r:id="rId10" w:history="1">
        <w:r>
          <w:rPr>
            <w:rFonts w:ascii="arial" w:eastAsia="arial" w:hAnsi="arial" w:cs="arial"/>
            <w:b w:val="0"/>
            <w:i/>
            <w:strike w:val="0"/>
            <w:noProof w:val="0"/>
            <w:color w:val="0077CC"/>
            <w:position w:val="0"/>
            <w:sz w:val="20"/>
            <w:u w:val="single"/>
            <w:vertAlign w:val="baseline"/>
          </w:rPr>
          <w:t>http://ies.ed.gov/ncee/wwc/Publication#/ContentTypeId:3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2003, 28 percent of students with disabilities scored at or above basic--this denotes partial mastery of prerequisite knowledge and skills that are fundamental for proficient work at the grade assessed--in reading on the National Assessment of Educational Progress (NAEP). In 2015, 30 percent of students with disabilities scored at or above basic in reading, only a 2 percent increase over a span of 12 years (U.S. Department of Education,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are pockets of excellence, the practices available from the What Works Clearinghouse and many other sources are generally not implemented as intended or broadly enough to have a major impact on the achievement of students with disabilities (Burns &amp; Ysseldyke, 2009; Klingner, Boardman, &amp; McMaster, 2013). Practices supported by evidence will improve results for students with disabilities only when successfully implemented and sustained.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Successful local implementation will depend on: (1) Infrastructure, such as professional development, data systems, and implementation teams, that supports educators' acquisition and use of the necessary skills; and (2) alignment among national, State, and district policies (Coburn, Hill, &amp; Spillane, 2016; Tseng,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Strengthening infrastructure and aligning policies can be accomplished through strong leadership throughout the State education system, including at the SEA, ESA (where available), and LEA levels (Endsley et al., 2014; Fullan, Bertani, &amp; Quinn, 2004; McIntosh, Mercer, Nese, Strickland-Cohen, &amp; Hoselton, 2015; Sanders, 2012). Although there has been some exploration of how leaders at each level can best support the scaling up of instructional and leadership practices, more focused efforts are needed (Sanders, 2012; Tseng, 2012). Further, while there are examples of ESAs that have supported districts' efforts to implement practices supported by evidence, little is known regarding how ESAs can best assist SEAs to work with LEAs in the implementation and scaling up of practices that improve results for students with disabilities (Endsley et al., 2014; Rock et al.,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Center is intended to address all of these needs by helping States strengthen the alignment of policy and practice and further develop States' infrastructure.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a cooperative agreement to establish and operate a Center to achieve, at a minimum,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Increased capacity of the SEA, ESAs (where available), LEAs, and charter management organizations in selected States to build an infrastructure to support educators' implementation of instructional and leadership practices supported by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Increased capacity of OSEP-funded TA centers to support SEA, ESA, LEA, and charter management organizations' systemic change efforts to support implementation of instructional and leadership practices that lead to improved outcomes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Increased knowledge,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LEA superintendents and other leaders related to identifying and supporting implementation of practices that lead to improved outcomes for students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Increased body of knowledge on building an infrastructure that supports implementation of practices that lead to improved outcomes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programmatic requirements, to be considered for funding under this priority, applicants must meet the application and administrative requirements in this priority, which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Address State and TA center needs related to developing infrastructure that supportsLEAs and charter management organizations' ability to implement, scale up, and sustain the use of instructional and leadership practices supported by evidence.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Present applicable State, regional, and local data demonstrating the current needs related to building capacity to implement, scale up, and sustain the use of practices supported by evidence; </w:t>
      </w:r>
      <w:r>
        <w:rPr>
          <w:rFonts w:ascii="arial" w:eastAsia="arial" w:hAnsi="arial" w:cs="arial"/>
          <w:b/>
          <w:i w:val="0"/>
          <w:strike w:val="0"/>
          <w:noProof w:val="0"/>
          <w:color w:val="000000"/>
          <w:position w:val="0"/>
          <w:sz w:val="20"/>
          <w:u w:val="none"/>
          <w:vertAlign w:val="baseline"/>
        </w:rPr>
        <w:t> [*22987]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Demonstrate knowledge of current educational issues and policy initiatives for supporting implementation and scaling up of practices supported by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Establish partnerships with a minimum of two organizations that prepare district superintendents and one charter management organization to integrate training related to developing an infrastructure to support implementation into their preparation.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Collaborate with other OSEP-funded centers (see </w:t>
      </w:r>
      <w:hyperlink r:id="rId11" w:history="1">
        <w:r>
          <w:rPr>
            <w:rFonts w:ascii="arial" w:eastAsia="arial" w:hAnsi="arial" w:cs="arial"/>
            <w:b w:val="0"/>
            <w:i/>
            <w:strike w:val="0"/>
            <w:noProof w:val="0"/>
            <w:color w:val="0077CC"/>
            <w:position w:val="0"/>
            <w:sz w:val="20"/>
            <w:u w:val="single"/>
            <w:vertAlign w:val="baseline"/>
          </w:rPr>
          <w:t>www.osepideasthatwork.org/find-center-or-grant/find-a-center</w:t>
        </w:r>
      </w:hyperlink>
      <w:r>
        <w:rPr>
          <w:rFonts w:ascii="arial" w:eastAsia="arial" w:hAnsi="arial" w:cs="arial"/>
          <w:b w:val="0"/>
          <w:i w:val="0"/>
          <w:strike w:val="0"/>
          <w:noProof w:val="0"/>
          <w:color w:val="000000"/>
          <w:position w:val="0"/>
          <w:sz w:val="20"/>
          <w:u w:val="none"/>
          <w:vertAlign w:val="baseline"/>
        </w:rPr>
        <w:t>) to support States' efforts to build infrastructure that enables States to reach their State-identified measureable results as described in their Statewide Systemic Improvement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the Project Services,"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Ensure equal access and treatment for members of groups that have traditionally been underrepresented based on race, color, national origin, gender, age, or disability. To meet this requirement, the applicant must describe how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Identify the needs of the intended recipients for TA and information;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Ensure that services and products meet the needs of the intended recipients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Achieve its goals, objectives, and intended outcomes. To meet this requirement, the applicant must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Measurable intended project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logic model by which the proposed project will achieve its intended outcomes. A logic model used in connection with this priority communicates how a project will achieve its intended outcomes and provides a framework for both the formative and summative evaluations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a conceptual framework to develop project plans and activities, describing any underlying concepts, assumptions, expectations, beliefs, or theories, as well as the presumed relationships or linkages among these variables, and any empirical support for this framework;</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Rather than use the definition of "logic model" in section 77.1(c) of EDGAR, OSEP uses the definition in paragraph (b)(2)(ii) of these application requirements. This definition, unlike the definition in </w:t>
      </w:r>
      <w:hyperlink r:id="rId12"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differentiates between logic models and conceptual frameworks. The following Web sites provide more information on logic models: </w:t>
      </w:r>
      <w:r>
        <w:rPr>
          <w:rFonts w:ascii="arial" w:eastAsia="arial" w:hAnsi="arial" w:cs="arial"/>
          <w:b w:val="0"/>
          <w:i/>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www.osepideasthatwork.org/logicModel</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www.osepideasthatwork.org/resources-grantees/program-areas/ta-ta/tad-project-logic-model-and-conceptual-framework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 based on current research and make use of practices supported by evidence. To meet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current research on infrastructure development that builds capacity in SEAs and LEAs to implement, scale up, and sustain the use of practices supported by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current research about adult learning principles and implementation or improvement science that will inform the proposed TA;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incorporate current research and practices supported by evidence in the development and delivery of its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Develop products and provide services that are of high quality and sufficient intensity and duration to achieve the intended outcomes of the proposed project.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it proposes to identify or develop the knowledge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Its proposed approach to universal, general TA, n1 which must identify the intended recipients of the products and services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"Universal, general TA" means TA and information provided to independent users through their own initiative, resulting in minimal interaction with TA center staff and including one-time, invited or offered conference presentations by TA center staff. This category of TA also includes information or products, such as newsletters, guidebooks, or research syntheses, downloaded from the TA center's Web site by independent users. Brief communications by TA center staff with recipients, either by telephone or email, are also considered universal, general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Its proposed approach to targeted, specialized TA, n2 which must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"Targeted, specialized TA" means TA services based on needs common to multiple recipients and not extensively individualized. A relationship is established between the TA recipient and one or more TA center staff. This category of TA includes one-time, labor-intensive events, such as facilitating strategic planning or hosting regional or national conferences. It can also include episodic, less labor-intensive events that extend over a period of time, such as facilitating a series of conference calls on single or multiple topics that are designed around the needs of the recipients. Facilitating communities of practice can also be considered targeted, specialized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intended recipients of the products and services under this approach;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Its proposed approach to measure the readiness of potential TA recipients to work with the project, assessing, at a minimum, their current infrastructure, available resources, and ability to build capacity at the local level;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Its proposed approach to intensive, sustained TA, n3 which must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"Intensive, sustained TA" means TA services often provided on-site and requiring a stable, ongoing relationship between the TA center staff and the TA recipient. "TA services" are defined as negotiated series of activities designed to reach a valued outcome. This category of TA should result in changes to policy, program, practice, or operations that support increased recipient capacity or improved outcomes at one or more systems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intended recipients of the products and services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Its proposed approach to measure the readiness of the SEAs, ESAs, and LEAs to work with the project, including their commitment to the initiative, alignment of the initiative to their needs, current infrastructure, available resources, and ability to build capacity at the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Its proposed plan for assisting SEAs to build or enhance training systems that include professional development based on adult learning principles and coaching;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Its proposed plan for working with appropriate levels of the education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SEAs, ESAs, districts, schools, families) to ensure that there is communication between each level and that there are systems in place to support implementation of practices supported by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Develop products and implement services that maximize efficiency.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the proposed project will use technology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With whom the proposed project will collaborate and the intended outcomes of this collaboration;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use non-project resources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narrative section of the application under "Quality of the Evaluation Plan," include an evaluation plan for the project. The evaluation plan must describe: measures of progress in implementation, including the criteria for determining the extent to which the project's products and services have reached its target population; measures of intended outcomes or results of the project's activities in order to evaluate those activities; and a plan for determining how well the goals or objectives of the proposed project, as described in its logic model,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Demonstrate, in the narrative section of the application under "Adequacy of Project Resources," how-- </w:t>
      </w:r>
      <w:r>
        <w:rPr>
          <w:rFonts w:ascii="arial" w:eastAsia="arial" w:hAnsi="arial" w:cs="arial"/>
          <w:b/>
          <w:i w:val="0"/>
          <w:strike w:val="0"/>
          <w:noProof w:val="0"/>
          <w:color w:val="000000"/>
          <w:position w:val="0"/>
          <w:sz w:val="20"/>
          <w:u w:val="none"/>
          <w:vertAlign w:val="baseline"/>
        </w:rPr>
        <w:t> [*22988]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project will encourage applications for employment from persons who are members of groups that have traditionally been underrepresented based on race, color, national origin, gender, age, or disability,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key project personnel, consultants, and subcontractors have the qualifications and experience to carry out the proposed activities and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any key partners have adequate resources to carry out the proposed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project's intended outcomes will be achieved on time and within budget.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Clearly defined responsibilities for key project personnel, consultants, and subcontractors, as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Timelines and milestones for accomplishing the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Allocation of key project personnel and any consultants and subcontractors and how these allocations are appropriate and adequate to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products and services provided are of high quality, relevant, and useful to recipients;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benefit from a diversity of perspectives, including those of families, educators, TA providers, researchers, and policy makers, among others, in its development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Address the following application requirements.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a conceptual framework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Appendix A, personnel-loading charts and timelines, as applicable, to illustrate the management plan described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in the budget,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one and one-half day kick-off meeting in Washington, DC, after receipt of the award, and an annual planning meeting in Washington, DC, with the OSEP project officer and other relevant staff during each subsequent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or other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two and one-half day project directors' conference in Washington, DC, during each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Two annual two-day trips to attend Department briefings, Department-sponsored conferences, and other meetings, as requested by OSEP;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one-day intensive 3+2 review meeting in Washington, DC,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Include, in the budget, a line item for an annual set-aside of five percent of the grant amount to support emerging needs that are consistent with the proposed project's intended outcomes, as those needs are identified in consultation with and approved by the OSEP project officer. With approval from the OSEP project officer, the project must reallocate any remaining funds from this annual set-aside no later than the end of the third quarter of each budget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Maintain a Web site, with an easy-to-navigate design, that meets government or industry-recognized standards for accessibility;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Include, in Appendix A, an assurance to assist OSEP with the transfer of pertinent resources and products and to maintain the continuity of services to States during the transition to this new award period,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Fourth and Fifth Years of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deciding whether to continue funding the project for the fourth and fifth years, the Secretary will consider the requirements of </w:t>
      </w:r>
      <w:hyperlink r:id="rId15" w:history="1">
        <w:r>
          <w:rPr>
            <w:rFonts w:ascii="arial" w:eastAsia="arial" w:hAnsi="arial" w:cs="arial"/>
            <w:b w:val="0"/>
            <w:i/>
            <w:strike w:val="0"/>
            <w:noProof w:val="0"/>
            <w:color w:val="0077CC"/>
            <w:position w:val="0"/>
            <w:sz w:val="20"/>
            <w:u w:val="single"/>
            <w:vertAlign w:val="baseline"/>
          </w:rPr>
          <w:t>34 CFR 75.253(a)</w:t>
        </w:r>
      </w:hyperlink>
      <w:r>
        <w:rPr>
          <w:rFonts w:ascii="arial" w:eastAsia="arial" w:hAnsi="arial" w:cs="arial"/>
          <w:b w:val="0"/>
          <w:i w:val="0"/>
          <w:strike w:val="0"/>
          <w:noProof w:val="0"/>
          <w:color w:val="000000"/>
          <w:position w:val="0"/>
          <w:sz w:val="20"/>
          <w:u w:val="none"/>
          <w:vertAlign w:val="baseline"/>
        </w:rPr>
        <w:t>, as well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recommendation of a 3+2 review team consisting of experts selected by the Secretary. This review will be conducted during a one-day intensive meeting that will be held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timeliness and assessment of how well the requirements of the negotiated cooperative agreement have been or are being met by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quality, relevance, and usefulness of the project's products and services and the extent to which the project's products and services are aligned with the project's objectives and likely to result in the project achieving its intended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Burns, D., &amp; Darling-Hammond, L. (2014). Teaching around the world: What can TALIS tell us? Stanford, CA: Stanford Center for Opportunity Policy in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Burns, M.K., &amp; Ysseldyke, J.E. (2009). Reported prevalence of evidence-based instructional practices in special education. </w:t>
      </w:r>
      <w:r>
        <w:rPr>
          <w:rFonts w:ascii="arial" w:eastAsia="arial" w:hAnsi="arial" w:cs="arial"/>
          <w:b w:val="0"/>
          <w:i/>
          <w:strike w:val="0"/>
          <w:noProof w:val="0"/>
          <w:color w:val="000000"/>
          <w:position w:val="0"/>
          <w:sz w:val="20"/>
          <w:u w:val="none"/>
          <w:vertAlign w:val="baseline"/>
        </w:rPr>
        <w:t>The Journal of Special Education, 43</w:t>
      </w:r>
      <w:r>
        <w:rPr>
          <w:rFonts w:ascii="arial" w:eastAsia="arial" w:hAnsi="arial" w:cs="arial"/>
          <w:b w:val="0"/>
          <w:i w:val="0"/>
          <w:strike w:val="0"/>
          <w:noProof w:val="0"/>
          <w:color w:val="000000"/>
          <w:position w:val="0"/>
          <w:sz w:val="20"/>
          <w:u w:val="none"/>
          <w:vertAlign w:val="baseline"/>
        </w:rPr>
        <w:t xml:space="preserve"> (1), 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Coburn, C.E., Hill, H.C., &amp; Spillane, J. P. (2016). Alignment and accountability in policy design and implementation: The Common Core State Standards and implementation research. </w:t>
      </w:r>
      <w:r>
        <w:rPr>
          <w:rFonts w:ascii="arial" w:eastAsia="arial" w:hAnsi="arial" w:cs="arial"/>
          <w:b w:val="0"/>
          <w:i/>
          <w:strike w:val="0"/>
          <w:noProof w:val="0"/>
          <w:color w:val="000000"/>
          <w:position w:val="0"/>
          <w:sz w:val="20"/>
          <w:u w:val="none"/>
          <w:vertAlign w:val="baseline"/>
        </w:rPr>
        <w:t>Educational Researcher,</w:t>
      </w:r>
      <w:r>
        <w:rPr>
          <w:rFonts w:ascii="arial" w:eastAsia="arial" w:hAnsi="arial" w:cs="arial"/>
          <w:b w:val="0"/>
          <w:i w:val="0"/>
          <w:strike w:val="0"/>
          <w:noProof w:val="0"/>
          <w:color w:val="000000"/>
          <w:position w:val="0"/>
          <w:sz w:val="20"/>
          <w:u w:val="none"/>
          <w:vertAlign w:val="baseline"/>
        </w:rPr>
        <w:t xml:space="preserve"> 45(4), 243-251. doi: 10.3102/0013189X16651080.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Cook, B.G., &amp; Odom, S.L. (2013). Evidence-based practices and implementation science in special education. </w:t>
      </w:r>
      <w:r>
        <w:rPr>
          <w:rFonts w:ascii="arial" w:eastAsia="arial" w:hAnsi="arial" w:cs="arial"/>
          <w:b w:val="0"/>
          <w:i/>
          <w:strike w:val="0"/>
          <w:noProof w:val="0"/>
          <w:color w:val="000000"/>
          <w:position w:val="0"/>
          <w:sz w:val="20"/>
          <w:u w:val="none"/>
          <w:vertAlign w:val="baseline"/>
        </w:rPr>
        <w:t>Exceptional Children, 79</w:t>
      </w:r>
      <w:r>
        <w:rPr>
          <w:rFonts w:ascii="arial" w:eastAsia="arial" w:hAnsi="arial" w:cs="arial"/>
          <w:b w:val="0"/>
          <w:i w:val="0"/>
          <w:strike w:val="0"/>
          <w:noProof w:val="0"/>
          <w:color w:val="000000"/>
          <w:position w:val="0"/>
          <w:sz w:val="20"/>
          <w:u w:val="none"/>
          <w:vertAlign w:val="baseline"/>
        </w:rPr>
        <w:t xml:space="preserve"> (2), 135-144.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Endsley, M., Speth, T., Akey, T., Krasnoff, B., Barton, R., Singh, M., Fantz, T. (2014). </w:t>
      </w:r>
      <w:r>
        <w:rPr>
          <w:rFonts w:ascii="arial" w:eastAsia="arial" w:hAnsi="arial" w:cs="arial"/>
          <w:b w:val="0"/>
          <w:i/>
          <w:strike w:val="0"/>
          <w:noProof w:val="0"/>
          <w:color w:val="000000"/>
          <w:position w:val="0"/>
          <w:sz w:val="20"/>
          <w:u w:val="none"/>
          <w:vertAlign w:val="baseline"/>
        </w:rPr>
        <w:t>Coordination of instructional services by Washington State's Educational Service Districts</w:t>
      </w:r>
      <w:r>
        <w:rPr>
          <w:rFonts w:ascii="arial" w:eastAsia="arial" w:hAnsi="arial" w:cs="arial"/>
          <w:b w:val="0"/>
          <w:i w:val="0"/>
          <w:strike w:val="0"/>
          <w:noProof w:val="0"/>
          <w:color w:val="000000"/>
          <w:position w:val="0"/>
          <w:sz w:val="20"/>
          <w:u w:val="none"/>
          <w:vertAlign w:val="baseline"/>
        </w:rPr>
        <w:t xml:space="preserve"> (REL 2015-041). Washington, DC: U.S. Department of Education, Institute of Education Sciences, National Center for Education Evaluation and Regional Assistance, Regional Educational Laboratory Northwest. Retrieved from </w:t>
      </w:r>
      <w:hyperlink r:id="rId16" w:history="1">
        <w:r>
          <w:rPr>
            <w:rFonts w:ascii="arial" w:eastAsia="arial" w:hAnsi="arial" w:cs="arial"/>
            <w:b w:val="0"/>
            <w:i/>
            <w:strike w:val="0"/>
            <w:noProof w:val="0"/>
            <w:color w:val="0077CC"/>
            <w:position w:val="0"/>
            <w:sz w:val="20"/>
            <w:u w:val="single"/>
            <w:vertAlign w:val="baseline"/>
          </w:rPr>
          <w:t>http://ies.ed.gov/ncee/edlabs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Fullan, M., Bertani, A., &amp; Quinn, J. (2004). New lessons for districtwide reform. </w:t>
      </w:r>
      <w:r>
        <w:rPr>
          <w:rFonts w:ascii="arial" w:eastAsia="arial" w:hAnsi="arial" w:cs="arial"/>
          <w:b w:val="0"/>
          <w:i/>
          <w:strike w:val="0"/>
          <w:noProof w:val="0"/>
          <w:color w:val="000000"/>
          <w:position w:val="0"/>
          <w:sz w:val="20"/>
          <w:u w:val="none"/>
          <w:vertAlign w:val="baseline"/>
        </w:rPr>
        <w:t>Educational Leadership, 61</w:t>
      </w:r>
      <w:r>
        <w:rPr>
          <w:rFonts w:ascii="arial" w:eastAsia="arial" w:hAnsi="arial" w:cs="arial"/>
          <w:b w:val="0"/>
          <w:i w:val="0"/>
          <w:strike w:val="0"/>
          <w:noProof w:val="0"/>
          <w:color w:val="000000"/>
          <w:position w:val="0"/>
          <w:sz w:val="20"/>
          <w:u w:val="none"/>
          <w:vertAlign w:val="baseline"/>
        </w:rPr>
        <w:t xml:space="preserve"> (7),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Klingner, J.K., Boardman, A.G., &amp; McMaster, K.L. (2013). What does it take to scale up and sustain eevidence-based practices? </w:t>
      </w:r>
      <w:r>
        <w:rPr>
          <w:rFonts w:ascii="arial" w:eastAsia="arial" w:hAnsi="arial" w:cs="arial"/>
          <w:b w:val="0"/>
          <w:i/>
          <w:strike w:val="0"/>
          <w:noProof w:val="0"/>
          <w:color w:val="000000"/>
          <w:position w:val="0"/>
          <w:sz w:val="20"/>
          <w:u w:val="none"/>
          <w:vertAlign w:val="baseline"/>
        </w:rPr>
        <w:t>Exceptional Children, 79</w:t>
      </w:r>
      <w:r>
        <w:rPr>
          <w:rFonts w:ascii="arial" w:eastAsia="arial" w:hAnsi="arial" w:cs="arial"/>
          <w:b w:val="0"/>
          <w:i w:val="0"/>
          <w:strike w:val="0"/>
          <w:noProof w:val="0"/>
          <w:color w:val="000000"/>
          <w:position w:val="0"/>
          <w:sz w:val="20"/>
          <w:u w:val="none"/>
          <w:vertAlign w:val="baseline"/>
        </w:rPr>
        <w:t xml:space="preserve"> (2), 195-211.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McIntosh, K., Mercer, S.H., Nese, R.N., Strickland-Cohen, M.K., &amp; Hoselton, R. (2015). Predictors of sistained Implementation of school-wide positive behavioral interventions and supports. </w:t>
      </w:r>
      <w:r>
        <w:rPr>
          <w:rFonts w:ascii="arial" w:eastAsia="arial" w:hAnsi="arial" w:cs="arial"/>
          <w:b w:val="0"/>
          <w:i/>
          <w:strike w:val="0"/>
          <w:noProof w:val="0"/>
          <w:color w:val="000000"/>
          <w:position w:val="0"/>
          <w:sz w:val="20"/>
          <w:u w:val="none"/>
          <w:vertAlign w:val="baseline"/>
        </w:rPr>
        <w:t>Journal of Positive Behavior Interventions, 18</w:t>
      </w:r>
      <w:r>
        <w:rPr>
          <w:rFonts w:ascii="arial" w:eastAsia="arial" w:hAnsi="arial" w:cs="arial"/>
          <w:b w:val="0"/>
          <w:i w:val="0"/>
          <w:strike w:val="0"/>
          <w:noProof w:val="0"/>
          <w:color w:val="000000"/>
          <w:position w:val="0"/>
          <w:sz w:val="20"/>
          <w:u w:val="none"/>
          <w:vertAlign w:val="baseline"/>
        </w:rPr>
        <w:t xml:space="preserve"> (4). doi: 10.1177/1098300715599737.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Rock, M.L., Gregg, M., Howard, P.W., Ploessl, D.M., Maughn, S., Gable, R.A., &amp; Zigmond, N.P. (2009). See me, hear me, coach me. </w:t>
      </w:r>
      <w:r>
        <w:rPr>
          <w:rFonts w:ascii="arial" w:eastAsia="arial" w:hAnsi="arial" w:cs="arial"/>
          <w:b w:val="0"/>
          <w:i/>
          <w:strike w:val="0"/>
          <w:noProof w:val="0"/>
          <w:color w:val="000000"/>
          <w:position w:val="0"/>
          <w:sz w:val="20"/>
          <w:u w:val="none"/>
          <w:vertAlign w:val="baseline"/>
        </w:rPr>
        <w:t>Journal of Staff Development, 30</w:t>
      </w:r>
      <w:r>
        <w:rPr>
          <w:rFonts w:ascii="arial" w:eastAsia="arial" w:hAnsi="arial" w:cs="arial"/>
          <w:b w:val="0"/>
          <w:i w:val="0"/>
          <w:strike w:val="0"/>
          <w:noProof w:val="0"/>
          <w:color w:val="000000"/>
          <w:position w:val="0"/>
          <w:sz w:val="20"/>
          <w:u w:val="none"/>
          <w:vertAlign w:val="baseline"/>
        </w:rPr>
        <w:t xml:space="preserve"> (3),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Sanders, M.G. (2012). Achieving scale at the district level: A longitudinal multiple case study of a partnership reform. </w:t>
      </w:r>
      <w:r>
        <w:rPr>
          <w:rFonts w:ascii="arial" w:eastAsia="arial" w:hAnsi="arial" w:cs="arial"/>
          <w:b w:val="0"/>
          <w:i/>
          <w:strike w:val="0"/>
          <w:noProof w:val="0"/>
          <w:color w:val="000000"/>
          <w:position w:val="0"/>
          <w:sz w:val="20"/>
          <w:u w:val="none"/>
          <w:vertAlign w:val="baseline"/>
        </w:rPr>
        <w:t>Educational Administration Quarterly, 48</w:t>
      </w:r>
      <w:r>
        <w:rPr>
          <w:rFonts w:ascii="arial" w:eastAsia="arial" w:hAnsi="arial" w:cs="arial"/>
          <w:b w:val="0"/>
          <w:i w:val="0"/>
          <w:strike w:val="0"/>
          <w:noProof w:val="0"/>
          <w:color w:val="000000"/>
          <w:position w:val="0"/>
          <w:sz w:val="20"/>
          <w:u w:val="none"/>
          <w:vertAlign w:val="baseline"/>
        </w:rPr>
        <w:t xml:space="preserve"> (1), 154-186.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TNTP. (2015). The mirage: Confronting the hard truth about our quest for teacher development.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Tseng, V. (2012). The uses of research in policy and practice. Washington, DC: Society for Research in Child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(2015). National assessment of educational progress (NAEP), 2015 Mathematics and Reading Assessments. Retrieved from </w:t>
      </w:r>
      <w:hyperlink r:id="rId17" w:history="1">
        <w:r>
          <w:rPr>
            <w:rFonts w:ascii="arial" w:eastAsia="arial" w:hAnsi="arial" w:cs="arial"/>
            <w:b w:val="0"/>
            <w:i/>
            <w:strike w:val="0"/>
            <w:noProof w:val="0"/>
            <w:color w:val="0077CC"/>
            <w:position w:val="0"/>
            <w:sz w:val="20"/>
            <w:u w:val="single"/>
            <w:vertAlign w:val="baseline"/>
          </w:rPr>
          <w:t>http://www.nationsreportcard.gov/reading_math_2015/#?grade=4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this priority: </w:t>
      </w:r>
      <w:r>
        <w:rPr>
          <w:rFonts w:ascii="arial" w:eastAsia="arial" w:hAnsi="arial" w:cs="arial"/>
          <w:b/>
          <w:i w:val="0"/>
          <w:strike w:val="0"/>
          <w:noProof w:val="0"/>
          <w:color w:val="000000"/>
          <w:position w:val="0"/>
          <w:sz w:val="20"/>
          <w:u w:val="none"/>
          <w:vertAlign w:val="baseline"/>
        </w:rPr>
        <w:t> [*22989]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Supported by evidence</w:t>
      </w:r>
      <w:r>
        <w:rPr>
          <w:rFonts w:ascii="arial" w:eastAsia="arial" w:hAnsi="arial" w:cs="arial"/>
          <w:b w:val="0"/>
          <w:i w:val="0"/>
          <w:strike w:val="0"/>
          <w:noProof w:val="0"/>
          <w:color w:val="000000"/>
          <w:position w:val="0"/>
          <w:sz w:val="20"/>
          <w:u w:val="none"/>
          <w:vertAlign w:val="baseline"/>
        </w:rPr>
        <w:t xml:space="preserve"> means supported by at least strong theory.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Section 681(d) of IDEA, however, makes the public comment requirements of the APA inapplicable to the priority in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20 U.S.C. 1463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$ 54,345,000 for the Technical Assistance and Dissemination to Improve Services and Results for Children With Disabilities program for FY 2017, of which we intend to use an estimated $ 1,100,000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$ 1,100,000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 LEAs, including public charter schools that operate as LEAs under State law; IHEs; other public agencies; private nonprofit organizations; freely associated States and outlying areas;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19"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IHEs and private nonprofit organizations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the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must, with respect to the aspects of their proposed project relating to the absolute priority, involve individuals with disabilities, or parents of individuals with disabilities ages birth through 26, in planning, implementing, and evaluating the project (see section 682(a)(1)(A) of the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20"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copy from ED Pubs, write, fax, or call: ED Pubs, U.S. Department of Education, P.O. Box 22207, Alexandria, VA 22304. Telephone, toll free: 1-877-433-7827. FAX: (703) 605-6794. If you use a TDD or a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1"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2"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84.326K.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We recommend that you--(1) limit Part III to no more than 70 pages, and (2)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page limit does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recommended page limit does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19,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w:t>
      </w:r>
      <w:r>
        <w:rPr>
          <w:rFonts w:ascii="arial" w:eastAsia="arial" w:hAnsi="arial" w:cs="arial"/>
          <w:b/>
          <w:i w:val="0"/>
          <w:strike w:val="0"/>
          <w:noProof w:val="0"/>
          <w:color w:val="000000"/>
          <w:position w:val="0"/>
          <w:sz w:val="20"/>
          <w:u w:val="none"/>
          <w:vertAlign w:val="baseline"/>
        </w:rPr>
        <w:t> [*22990] </w:t>
      </w:r>
      <w:r>
        <w:rPr>
          <w:rFonts w:ascii="arial" w:eastAsia="arial" w:hAnsi="arial" w:cs="arial"/>
          <w:b w:val="0"/>
          <w:i w:val="0"/>
          <w:strike w:val="0"/>
          <w:noProof w:val="0"/>
          <w:color w:val="000000"/>
          <w:position w:val="0"/>
          <w:sz w:val="20"/>
          <w:u w:val="none"/>
          <w:vertAlign w:val="baseline"/>
        </w:rPr>
        <w:t xml:space="preserve">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3"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4"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5"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National Center to Enhance Educational Systems to Promote the Use of Practices Supported by Evidence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84.326K,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National Center to Enhance Educational Systems to Promote the Use of Practices Supported by Evidence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84.326, not 84.326K).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7"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8"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[*22991]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Portable Document Format (PDF). Do not upload an interactive or fillable PDF file.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PDF; failure to submit a required part of the application; or failure to meet applicant eligibility requirements. It is your responsibility to ensure that your submitted application has met all of the Department's requirements.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Jennifer Coffey, U.S. Department of Education, 400 Maryland Avenue SW., Room 5134, Potomac Center Plaza, Washington, DC 20202-5108.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84.326K),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mail your application through the U.S. Postal Service, we do not </w:t>
      </w:r>
      <w:r>
        <w:rPr>
          <w:rFonts w:ascii="arial" w:eastAsia="arial" w:hAnsi="arial" w:cs="arial"/>
          <w:b/>
          <w:i w:val="0"/>
          <w:strike w:val="0"/>
          <w:noProof w:val="0"/>
          <w:color w:val="000000"/>
          <w:position w:val="0"/>
          <w:sz w:val="20"/>
          <w:u w:val="none"/>
          <w:vertAlign w:val="baseline"/>
        </w:rPr>
        <w:t> [*22992] </w:t>
      </w:r>
      <w:r>
        <w:rPr>
          <w:rFonts w:ascii="arial" w:eastAsia="arial" w:hAnsi="arial" w:cs="arial"/>
          <w:b w:val="0"/>
          <w:i w:val="0"/>
          <w:strike w:val="0"/>
          <w:noProof w:val="0"/>
          <w:color w:val="000000"/>
          <w:position w:val="0"/>
          <w:sz w:val="20"/>
          <w:u w:val="none"/>
          <w:vertAlign w:val="baseline"/>
        </w:rPr>
        <w:t xml:space="preserve">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84.326K),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listed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significance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potential contribution of the proposed project to increased knowledge or understanding of educational problems, issues, or effective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likelihood that the proposed project will result in system change or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proposed project is likely to build local capacity to provide, improve, or expand services that address the needs of the target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likely utility of the products (such as information, materials, processes, or techniques) that will result from the proposed project, including the potential for their being used effectively in a variety of other settings;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importance or magnitude of the results or outcomes likely to be attained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services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services to be provided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services to be provided by the proposed project, the Secretary considers the quality and sufficiency of strategies for ensuring equal access and treatment for eligible project participants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services to be provided by the proposed project are appropriate to the needs of the intended recipients or beneficiaries of those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entities that are to be served by the proposed technical assistance project demonstrate support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services to be provided by the proposed project reflect up-to-date knowledge from research and effective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likely impact of the services to be provided by the proposed project on the intended recipients of those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extent to which the services to be provided by the proposed project involve the collaboration of appropriate partners for maximizing the effectiveness of project services;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extent to which the technical assistance services to be provided by the proposed project involve the use of efficient strategies, including the use of technology, as appropriate, and the leveraging of non-project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project personnel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personnel who will carry out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project personnel, the Secretary considers the extent to which the applicant encourages applications for employment from persons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qualifications, including relevant training and experience, of key project personnel;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qualifications, including relevant training and experience, of project consultants or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Adequacy of resources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adequacy of resources for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adequacy of resources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support, including facilities, equipment, supplies, and other resources, from the applicant organization or the lead applicant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budget is adequate to support the proposed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costs are reasonable in relation to the number of persons to be served and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the management plan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management plan for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procedures for ensuring feedback and continuous improvement in the operation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adequacy of mechanisms for ensuring high-quality products and services from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time commitments of the project director and principal investigator and other key project personnel are appropriate and adequate to meet the objectives of the proposed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How the applicant will ensure that a diversity of perspectives are brought to bear in the operation of the proposed project, including those of parents, teachers, the business community, a variety of disciplinary and professional fields, recipients or beneficiaries of services, or others,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project evaluation (20 points).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[*22993]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evaluation to be conducted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methods of evaluation are thorough, feasible, and appropriate to the goals, objectives, and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methods of evaluation will provide performance feedback and permit periodic assessment of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methods of evaluation will provide timely guidance for quality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evaluation will provide guidance about effective strategies suitable for replication or testing in other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extent to which the methods of evaluation provide for examining the effectiveness of project implementation strategies;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extent to which the methods of evaluation include the use of objective performance measures that are clearly related to the intended outcomes of the project and will produce quantitative and qualitative data to the extent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9"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5"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6"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 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5"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7"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8"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9"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0"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the Department has established a set of performance measures, including long-term measures, that are designed to yield information on various aspects of the effectiveness and quality of the Technical Assistance and Dissemination to Improve Services and Results for Children With Disabilities program. For purposes of this priority, the Center will use these measures, which focus on the extent to which projects provide high-quality products and services, the relevance of project products and services to educational and early </w:t>
      </w:r>
      <w:r>
        <w:rPr>
          <w:rFonts w:ascii="arial" w:eastAsia="arial" w:hAnsi="arial" w:cs="arial"/>
          <w:b/>
          <w:i w:val="0"/>
          <w:strike w:val="0"/>
          <w:noProof w:val="0"/>
          <w:color w:val="000000"/>
          <w:position w:val="0"/>
          <w:sz w:val="20"/>
          <w:u w:val="none"/>
          <w:vertAlign w:val="baseline"/>
        </w:rPr>
        <w:t> [*22994] </w:t>
      </w:r>
      <w:r>
        <w:rPr>
          <w:rFonts w:ascii="arial" w:eastAsia="arial" w:hAnsi="arial" w:cs="arial"/>
          <w:b w:val="0"/>
          <w:i w:val="0"/>
          <w:strike w:val="0"/>
          <w:noProof w:val="0"/>
          <w:color w:val="000000"/>
          <w:position w:val="0"/>
          <w:sz w:val="20"/>
          <w:u w:val="none"/>
          <w:vertAlign w:val="baseline"/>
        </w:rPr>
        <w:t xml:space="preserve"> intervention policy and practice, and the use of products and services to improve educational and early intervention policy and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and final performance reports to the Department (</w:t>
      </w:r>
      <w:hyperlink r:id="rId41"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15"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Management Support Services Team, U.S. Department of Education, 400 Maryland Avenue SW., room 5113, Potomac Center Plaza, Washington, DC 20202-2500.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2"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3"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16,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Ruth E. Ryder,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Director, Office of Special Education Programs, delegated the duties of the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2017-10248 Filed 5-18-17;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19,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1,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Jennifer Coffey, U.S. Department of Education, 400 Maryland Avenue SW., Room 5134, Potomac Center Plaza, Washington, DC 20202-5108. Telephone: (202) 245-7373.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22985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ies.ed.gov/ncee/wwc/Publication#/ContentTypeId:3" TargetMode="External" /><Relationship Id="rId11" Type="http://schemas.openxmlformats.org/officeDocument/2006/relationships/hyperlink" Target="http://www.osepideasthatwork.org/find-center-or-grant/find-a-center" TargetMode="External" /><Relationship Id="rId12" Type="http://schemas.openxmlformats.org/officeDocument/2006/relationships/hyperlink" Target="https://advance.lexis.com/api/document?collection=administrative-codes&amp;id=urn:contentItem:5S7T-7HV0-008H-03HM-00000-00&amp;context=" TargetMode="External" /><Relationship Id="rId13" Type="http://schemas.openxmlformats.org/officeDocument/2006/relationships/hyperlink" Target="http://www.osepideasthatwork.org/logicModel" TargetMode="External" /><Relationship Id="rId14" Type="http://schemas.openxmlformats.org/officeDocument/2006/relationships/hyperlink" Target="http://www.osepideasthatwork.org/resources-grantees/program-areas/ta-ta/tad-project-logic-model-and-conceptual-framework" TargetMode="External" /><Relationship Id="rId15" Type="http://schemas.openxmlformats.org/officeDocument/2006/relationships/hyperlink" Target="https://advance.lexis.com/api/document?collection=administrative-codes&amp;id=urn:contentItem:5GMB-DPB0-008H-02K8-00000-00&amp;context=" TargetMode="External" /><Relationship Id="rId16" Type="http://schemas.openxmlformats.org/officeDocument/2006/relationships/hyperlink" Target="http://ies.ed.gov/ncee/edlabs" TargetMode="External" /><Relationship Id="rId17" Type="http://schemas.openxmlformats.org/officeDocument/2006/relationships/hyperlink" Target="http://www.nationsreportcard.gov/reading_math_2015/#?grade=4" TargetMode="External" /><Relationship Id="rId18" Type="http://schemas.openxmlformats.org/officeDocument/2006/relationships/hyperlink" Target="https://advance.lexis.com/api/document?collection=statutes-legislation&amp;id=urn:contentItem:4YF7-GSJ1-NRF4-43PC-00000-00&amp;context=" TargetMode="External" /><Relationship Id="rId19" Type="http://schemas.openxmlformats.org/officeDocument/2006/relationships/hyperlink" Target="https://advance.lexis.com/api/document?collection=administrative-codes&amp;id=urn:contentItem:5GMB-DPC0-008H-02SJ-00000-00&amp;context=" TargetMode="External" /><Relationship Id="rId2" Type="http://schemas.openxmlformats.org/officeDocument/2006/relationships/webSettings" Target="webSettings.xml" /><Relationship Id="rId20" Type="http://schemas.openxmlformats.org/officeDocument/2006/relationships/hyperlink" Target="http://www.ed.gov/fund/grant/apply/grantapps/index.html" TargetMode="External" /><Relationship Id="rId21" Type="http://schemas.openxmlformats.org/officeDocument/2006/relationships/hyperlink" Target="http://www.EDPubs.gov" TargetMode="External" /><Relationship Id="rId22" Type="http://schemas.openxmlformats.org/officeDocument/2006/relationships/hyperlink" Target="mailto:edpubs@inet.ed.gov" TargetMode="External" /><Relationship Id="rId23" Type="http://schemas.openxmlformats.org/officeDocument/2006/relationships/hyperlink" Target="http://fedgov.dnb.com/webform" TargetMode="External" /><Relationship Id="rId24" Type="http://schemas.openxmlformats.org/officeDocument/2006/relationships/hyperlink" Target="http://www.SAM.gov" TargetMode="External" /><Relationship Id="rId25" Type="http://schemas.openxmlformats.org/officeDocument/2006/relationships/hyperlink" Target="http://www.grants.gov/web/grants/register.html" TargetMode="External" /><Relationship Id="rId26" Type="http://schemas.openxmlformats.org/officeDocument/2006/relationships/hyperlink" Target="http://www.Grants.gov" TargetMode="External" /><Relationship Id="rId27" Type="http://schemas.openxmlformats.org/officeDocument/2006/relationships/hyperlink" Target="http://www.G5.gov" TargetMode="External" /><Relationship Id="rId28" Type="http://schemas.openxmlformats.org/officeDocument/2006/relationships/hyperlink" Target="http://www.grants.gov/web/grants/applicants/apply-for-grants.html" TargetMode="External" /><Relationship Id="rId29" Type="http://schemas.openxmlformats.org/officeDocument/2006/relationships/hyperlink" Target="https://advance.lexis.com/api/document?collection=administrative-codes&amp;id=urn:contentItem:5GMB-DPB0-008H-02G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3P-00000-00&amp;context=" TargetMode="External" /><Relationship Id="rId31" Type="http://schemas.openxmlformats.org/officeDocument/2006/relationships/hyperlink" Target="https://advance.lexis.com/api/document?collection=administrative-codes&amp;id=urn:contentItem:5R5H-J1H0-008H-043K-00000-00&amp;context=" TargetMode="External" /><Relationship Id="rId32" Type="http://schemas.openxmlformats.org/officeDocument/2006/relationships/hyperlink" Target="https://advance.lexis.com/api/document?collection=administrative-codes&amp;id=urn:contentItem:5KS0-F5W0-008H-024V-00000-00&amp;context=" TargetMode="External" /><Relationship Id="rId33" Type="http://schemas.openxmlformats.org/officeDocument/2006/relationships/hyperlink" Target="https://advance.lexis.com/api/document?collection=administrative-codes&amp;id=urn:contentItem:5KS0-F600-008H-02PT-00000-00&amp;context=" TargetMode="External" /><Relationship Id="rId34" Type="http://schemas.openxmlformats.org/officeDocument/2006/relationships/hyperlink" Target="https://advance.lexis.com/api/document?collection=administrative-codes&amp;id=urn:contentItem:5KS0-F5W0-008H-025B-00000-00&amp;context=" TargetMode="External" /><Relationship Id="rId35" Type="http://schemas.openxmlformats.org/officeDocument/2006/relationships/hyperlink" Target="https://advance.lexis.com/api/document?collection=administrative-codes&amp;id=urn:contentItem:5HDM-DHF0-008G-Y2NJ-00000-00&amp;context=" TargetMode="External" /><Relationship Id="rId36" Type="http://schemas.openxmlformats.org/officeDocument/2006/relationships/hyperlink" Target="https://advance.lexis.com/api/document?collection=administrative-codes&amp;id=urn:contentItem:5F34-Y1R0-008G-Y1F9-00000-00&amp;context=" TargetMode="External" /><Relationship Id="rId37" Type="http://schemas.openxmlformats.org/officeDocument/2006/relationships/hyperlink" Target="https://advance.lexis.com/api/document?collection=administrative-codes&amp;id=urn:contentItem:5F2R-48P0-008G-Y31V-00000-00&amp;context=" TargetMode="External" /><Relationship Id="rId38" Type="http://schemas.openxmlformats.org/officeDocument/2006/relationships/hyperlink" Target="https://advance.lexis.com/api/document?collection=administrative-codes&amp;id=urn:contentItem:5GMB-DPC0-008H-02S7-00000-00&amp;context=" TargetMode="External" /><Relationship Id="rId39" Type="http://schemas.openxmlformats.org/officeDocument/2006/relationships/hyperlink" Target="https://advance.lexis.com/api/document?collection=administrative-codes&amp;id=urn:contentItem:5GMB-DPC0-008H-02SK-00000-00&amp;context=" TargetMode="External" /><Relationship Id="rId4" Type="http://schemas.openxmlformats.org/officeDocument/2006/relationships/header" Target="header1.xml" /><Relationship Id="rId40" Type="http://schemas.openxmlformats.org/officeDocument/2006/relationships/hyperlink" Target="http://www.ed.gov/fund/grant/apply/appforms/appforms.html" TargetMode="External" /><Relationship Id="rId41" Type="http://schemas.openxmlformats.org/officeDocument/2006/relationships/hyperlink" Target="https://advance.lexis.com/api/document?collection=administrative-codes&amp;id=urn:contentItem:5GMB-DPB0-008H-027J-00000-00&amp;context=" TargetMode="External" /><Relationship Id="rId42" Type="http://schemas.openxmlformats.org/officeDocument/2006/relationships/hyperlink" Target="http://www.gpo.gov/fdsys" TargetMode="External" /><Relationship Id="rId43" Type="http://schemas.openxmlformats.org/officeDocument/2006/relationships/hyperlink" Target="http://www.federalregister.gov" TargetMode="External" /><Relationship Id="rId44" Type="http://schemas.openxmlformats.org/officeDocument/2006/relationships/numbering" Target="numbering.xml" /><Relationship Id="rId45"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K6-TMG0-006W-84BD-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P71-NRF4-41B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5076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71560696</vt:lpwstr>
  </property>
  <property fmtid="{D5CDD505-2E9C-101B-9397-08002B2CF9AE}" pid="3" name="LADocCount">
    <vt:lpwstr>1</vt:lpwstr>
  </property>
  <property fmtid="{D5CDD505-2E9C-101B-9397-08002B2CF9AE}" pid="4" name="UserPermID">
    <vt:lpwstr>urn:user:PA185916758</vt:lpwstr>
  </property>
</Properties>
</file>