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23207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097, Monday, May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23207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Disabilities--National Center for Improving Teacher and Leader Performance To Better Serve Children With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Personnel Development to Improve Services and Results for Children with Disabilities--National Center for Improving Teacher and Leader Performance to Better Serve Children with Disabilities, Catalog of Federal Domestic Assistance (CFDA) number 84.325A.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662 and 681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Center for Improving Teacher and Leader Performance to Better Serve Children with Disabilities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Meeting the diverse needs of students with disabilities in inclusive classrooms and other school settings requires a complex combination of knowledge and skills, including the use of practices supported by evidence. Organizations such as the Council of Chief State School Officers and the Council for Exceptional Children, therefore, have developed model standards of essential knowledge and skills that they believe teachers need in order to customize learning and be effective in improving student achievement, including the achievement of students with disabilities. In 2015, the National Policy Board for Educational Administration adopted a new set of professional standards for leaders, known as the Professional Standards for Education Leaders. These standards describe the knowledge and skills education leaders need to ensure every student is prepared for the 21st century. The curricula in teacher and leader preparation programs must be better aligned with State standards that reflect current knowledge and skills and the use of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under the Higher Education Act of 1965, as amended (HEA), States must annually report on the quality of teacher preparation programs, identify low-performing programs, and provide them with technical assistance (TA). States will need high-quality TA for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Elementary and Secondary Education Act of 1965 (ESEA), as amended by the Every Student Succeeds Act (ESSA), States must ensure that low-income and minority students are not served at disproportionate rates by ineffective, out-of-field, or inexperienced teachers. In addition, teacher and school leader incentive programs are authorized under Title II of the ESSA, and the Title II set-aside allows a variety of activities, including reforming teacher and leader certification, teacher evaluation, alternative certification, recruitment and retention, professional development (PD), and the TA provided to local educational agencies (LEAs). State educational agencies (SEAs) and institutions of higher education (IHEs) need high-quality TA to carry out these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fund a national center to assist SEAs, IHEs, and LEAs, in addressing all of these needs to help ensure that teachers and leaders have the necessary knowledge and skills to successfully meet the diverse needs of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 national center for improving teacher and leader performance to better serve children with disabilities to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Improved capacity of States to review and strengthen certification or licensure standards and requirements, in collaboration with IHEs and LEAs that operate teacher and leader preparation programs, in order to ensure that these standards: (1) Are derived from frameworks and practices supported by evidence; and (2) reflect the knowledge and skills necessary for teachers and leaders to successfully serve students with disabilities in inclusive classrooms and school settings, including, at a minimum,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evidence-based </w:t>
      </w:r>
      <w:r>
        <w:rPr>
          <w:rFonts w:ascii="arial" w:eastAsia="arial" w:hAnsi="arial" w:cs="arial"/>
          <w:b/>
          <w:i w:val="0"/>
          <w:strike w:val="0"/>
          <w:noProof w:val="0"/>
          <w:color w:val="000000"/>
          <w:position w:val="0"/>
          <w:sz w:val="20"/>
          <w:u w:val="none"/>
          <w:vertAlign w:val="baseline"/>
        </w:rPr>
        <w:t> [*23208] </w:t>
      </w:r>
      <w:r>
        <w:rPr>
          <w:rFonts w:ascii="arial" w:eastAsia="arial" w:hAnsi="arial" w:cs="arial"/>
          <w:b w:val="0"/>
          <w:i w:val="0"/>
          <w:strike w:val="0"/>
          <w:noProof w:val="0"/>
          <w:color w:val="000000"/>
          <w:position w:val="0"/>
          <w:sz w:val="20"/>
          <w:u w:val="none"/>
          <w:vertAlign w:val="baseline"/>
        </w:rPr>
        <w:t xml:space="preserve"> interventions in reading, math, behavior, and school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Improved capacity of States to adopt and implement rigorous program approval standards for teacher and leader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Increased capacity of IHEs to embed practices and frameworks supported by evidence and aligned to State licensure or certification requirements, into their preparation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Increased capacity of SEAs and IHEs to use data from a variety of sources, including student data attributed to teachers and leaders who successfully exit preparation programs, to inform continuous improvement of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Increased capacity of SEAs to align and implement statewide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Educator Equity Plans and State Systemic Improvement Plans, State Quality Rating and Improvement Systems) to include certification or licensure reform and IHE teacher and leader program reform to improve outcomes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Support States to reform certification or licensure standards and program approval standards, to include practices and frameworks supported by evidence, consisting of, at a minimum,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evidence-based interventions in reading, math, behavior, and school climate; and identify effective strategies for achieving institutional change and reform in IHEs and LEAs that prepare teachers and leaders. To meet these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national and State data demonstrating the current needs of States to reform teacher and leader certification or licensure standards and program approval standards to include practices and frameworks supported by evidence to ensure teachers and leaders are fully prepared to serve students with disabilities in inclusive classrooms and school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certification and licensure issues, including portability and reciprocity, multi-tiered licensure systems, and credentialing structures;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the current need for preparation of teachers and leaders to address the complex roles they share in providing instruction in schoolwide frameworks such as Multi-Tiered Systems of Support (MTSS);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Demonstrate knowledge of, and previous experience with, using effective approaches to disseminate knowledge, tools, and resources to SEAs, LEAs, and technical assistance (TA) providers;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 knowledge of, and previous experience with, implementing TA strategies that are intensive and specialized.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services and products meet the needs of the intended recipients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OSEP-specified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w:t>
      </w:r>
      <w:hyperlink r:id="rId9"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OSEP uses the definition in paragraph (b)(2)(ii) of these application requirements. This definition, unlike the definition in </w:t>
      </w:r>
      <w:hyperlink r:id="rId9"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0"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systems change and capacity building within SEAs and IHEs that will inform the TA provided to SEAs and IHEs that undertake alignment and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science that will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research and practices, strategies, and frameworks supported by evidence into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Its proposed approach to universal, general TA, n1 which must identify the intended recipients of the products and services under this approach, and include a plan for ensuring SEAs and IHEs can easily access and use products and services developed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targeted, specialized TA, n2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targeted TA recipients to work with the project, assessing, at a minimum, their current infrastructure, available resources, and ability to build capacity for ongoing reform and continuous improvement at the SEA and IHE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process by which the project will select, and provide targeted TA to, SEAs and IHEs. This targeted TA must support SEA capacity to initiate, scale </w:t>
      </w:r>
      <w:r>
        <w:rPr>
          <w:rFonts w:ascii="arial" w:eastAsia="arial" w:hAnsi="arial" w:cs="arial"/>
          <w:b/>
          <w:i w:val="0"/>
          <w:strike w:val="0"/>
          <w:noProof w:val="0"/>
          <w:color w:val="000000"/>
          <w:position w:val="0"/>
          <w:sz w:val="20"/>
          <w:u w:val="none"/>
          <w:vertAlign w:val="baseline"/>
        </w:rPr>
        <w:t> [*23209] </w:t>
      </w:r>
      <w:r>
        <w:rPr>
          <w:rFonts w:ascii="arial" w:eastAsia="arial" w:hAnsi="arial" w:cs="arial"/>
          <w:b w:val="0"/>
          <w:i w:val="0"/>
          <w:strike w:val="0"/>
          <w:noProof w:val="0"/>
          <w:color w:val="000000"/>
          <w:position w:val="0"/>
          <w:sz w:val="20"/>
          <w:u w:val="none"/>
          <w:vertAlign w:val="baseline"/>
        </w:rPr>
        <w:t xml:space="preserve"> up, and sustain alignment and reform efforts;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process the proposed project will use to collaborate with other relevant TA centers and national organizations, as appropriate, to develop and implement targeted TA strategies in order to reduce duplication of effort and maximize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n3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the SEAs and IHE teacher and leader preparation programs to work with the project, including their commitment to the initiative, alignment of the initiative to their needs, current infrastructure, available resources, and ability to build capacity at SEA and IHE levels;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process by which the project will select, and provide ongoing intensive TA to, SEAs and IHEs that are positioned to engage in systemic reform efforts. This intensive TA must support SEA capacity to scale up and sustain ongoing alignment and reform of certification or licensure standards and initial program approval and reauthorization standards. Intensive TA must also support IHE capacity to scale up and sustain preparation program reform efforts to better serve students with disabilities, using data to inform ongoing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(including working from a single TA plan when appropriate). The description should include how the proposed project will provide PD to other TA centers on available tools and resources to leverage and extend the reach of its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The evaluation plan must describe: Measures of progress in implementation, including the criteria for determining the extent to which the project's products and services have reached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Four annual two-day trips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Web site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Include, in Appendix A, an assurance to assist OSEP with the transfer of pertinent resources and products and to maintain the continuity of services to States during the transition to this new award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2"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i w:val="0"/>
          <w:strike w:val="0"/>
          <w:noProof w:val="0"/>
          <w:color w:val="000000"/>
          <w:position w:val="0"/>
          <w:sz w:val="20"/>
          <w:u w:val="none"/>
          <w:vertAlign w:val="baseline"/>
        </w:rPr>
        <w:t> [*23210]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success and timeliness with which the requirements of the negotiated cooperative agreement have been or are being met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2017, of which we intend to use an estimated $ 4,250,000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$ 4,250,000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5"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are considered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applicant for, and recipient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We recommend that you--(1) limit Part III to no more than 50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w:t>
      </w:r>
      <w:r>
        <w:rPr>
          <w:rFonts w:ascii="arial" w:eastAsia="arial" w:hAnsi="arial" w:cs="arial"/>
          <w:b/>
          <w:i w:val="0"/>
          <w:strike w:val="0"/>
          <w:noProof w:val="0"/>
          <w:color w:val="000000"/>
          <w:position w:val="0"/>
          <w:sz w:val="20"/>
          <w:u w:val="none"/>
          <w:vertAlign w:val="baseline"/>
        </w:rPr>
        <w:t> [*23211] </w:t>
      </w:r>
      <w:r>
        <w:rPr>
          <w:rFonts w:ascii="arial" w:eastAsia="arial" w:hAnsi="arial" w:cs="arial"/>
          <w:b w:val="0"/>
          <w:i w:val="0"/>
          <w:strike w:val="0"/>
          <w:noProof w:val="0"/>
          <w:color w:val="000000"/>
          <w:position w:val="0"/>
          <w:sz w:val="20"/>
          <w:u w:val="none"/>
          <w:vertAlign w:val="baseline"/>
        </w:rPr>
        <w:t xml:space="preserve"> requirements, the resumes, the reference list, the letters of support, or the appendices. However, the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For information (including dates and times) about how to submit your application electronically, or in paper format by mail or hand delivery if you qualify for an exception to the electronic submission requirement, please refer to Other Submission Requirements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National Center for Improving Teacher and Leader Performance to Better Serve Children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National Center for Improving Teacher and Leader Performance to Better Serve Children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 </w:t>
      </w:r>
      <w:r>
        <w:rPr>
          <w:rFonts w:ascii="arial" w:eastAsia="arial" w:hAnsi="arial" w:cs="arial"/>
          <w:b/>
          <w:i w:val="0"/>
          <w:strike w:val="0"/>
          <w:noProof w:val="0"/>
          <w:color w:val="000000"/>
          <w:position w:val="0"/>
          <w:sz w:val="20"/>
          <w:u w:val="none"/>
          <w:vertAlign w:val="baseline"/>
        </w:rPr>
        <w:t> [*23212]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Bonnie Jones, U.S. Department of Education, 400 Maryland Avenue SW., Room 5127,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w:t>
      </w:r>
      <w:r>
        <w:rPr>
          <w:rFonts w:ascii="arial" w:eastAsia="arial" w:hAnsi="arial" w:cs="arial"/>
          <w:b/>
          <w:i w:val="0"/>
          <w:strike w:val="0"/>
          <w:noProof w:val="0"/>
          <w:color w:val="000000"/>
          <w:position w:val="0"/>
          <w:sz w:val="20"/>
          <w:u w:val="none"/>
          <w:vertAlign w:val="baseline"/>
        </w:rPr>
        <w:t> [*23213] </w:t>
      </w:r>
      <w:r>
        <w:rPr>
          <w:rFonts w:ascii="arial" w:eastAsia="arial" w:hAnsi="arial" w:cs="arial"/>
          <w:b w:val="0"/>
          <w:i w:val="0"/>
          <w:strike w:val="0"/>
          <w:noProof w:val="0"/>
          <w:color w:val="000000"/>
          <w:position w:val="0"/>
          <w:sz w:val="20"/>
          <w:u w:val="none"/>
          <w:vertAlign w:val="baseline"/>
        </w:rPr>
        <w:t xml:space="preserve">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will address specific gaps or weaknesses in services, infrastructure, or opportunities that have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services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is a conceptual framework underlying the proposed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products and services are of sufficient quality, intensity, and duration to lead to the outcomes to be achieved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products and services to be developed and provided by the proposed project involve the use of efficient strategies, including the use of technology, collaboration with appropriate partners, and the leveraging of non-project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data and performance feedback for examining the effectiveness of project implementation strategies and the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produce quantitative and qualitative data that demonstrate the project has met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including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staff,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support, including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extent to which the time commitments of the project director, </w:t>
      </w:r>
      <w:r>
        <w:rPr>
          <w:rFonts w:ascii="arial" w:eastAsia="arial" w:hAnsi="arial" w:cs="arial"/>
          <w:b/>
          <w:i w:val="0"/>
          <w:strike w:val="0"/>
          <w:noProof w:val="0"/>
          <w:color w:val="000000"/>
          <w:position w:val="0"/>
          <w:sz w:val="20"/>
          <w:u w:val="none"/>
          <w:vertAlign w:val="baseline"/>
        </w:rPr>
        <w:t> [*23214] </w:t>
      </w:r>
      <w:r>
        <w:rPr>
          <w:rFonts w:ascii="arial" w:eastAsia="arial" w:hAnsi="arial" w:cs="arial"/>
          <w:b w:val="0"/>
          <w:i w:val="0"/>
          <w:strike w:val="0"/>
          <w:noProof w:val="0"/>
          <w:color w:val="000000"/>
          <w:position w:val="0"/>
          <w:sz w:val="20"/>
          <w:u w:val="none"/>
          <w:vertAlign w:val="baseline"/>
        </w:rPr>
        <w:t xml:space="preserve"> project staff, and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These measures are included in the application package and focus on the extent to which projects provide high-quality products and services, the relevance of project products and services to educational policy and practice, and the use of products and services to improve educational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37"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the Secretary considers, among other things: whether a grantee has made substantial progress in achieving the goals and objectives of the project; </w:t>
      </w:r>
      <w:r>
        <w:rPr>
          <w:rFonts w:ascii="arial" w:eastAsia="arial" w:hAnsi="arial" w:cs="arial"/>
          <w:b/>
          <w:i w:val="0"/>
          <w:strike w:val="0"/>
          <w:noProof w:val="0"/>
          <w:color w:val="000000"/>
          <w:position w:val="0"/>
          <w:sz w:val="20"/>
          <w:u w:val="none"/>
          <w:vertAlign w:val="baseline"/>
        </w:rPr>
        <w:t> [*23215] </w:t>
      </w:r>
      <w:r>
        <w:rPr>
          <w:rFonts w:ascii="arial" w:eastAsia="arial" w:hAnsi="arial" w:cs="arial"/>
          <w:b w:val="0"/>
          <w:i w:val="0"/>
          <w:strike w:val="0"/>
          <w:noProof w:val="0"/>
          <w:color w:val="000000"/>
          <w:position w:val="0"/>
          <w:sz w:val="20"/>
          <w:u w:val="none"/>
          <w:vertAlign w:val="baseline"/>
        </w:rPr>
        <w:t xml:space="preserve">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2017-10423 Filed 5-19-17;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5,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Bonnie Jones, U.S. Department of Education, 400 Maryland Avenue SW., Room 5127, Potomac Center Plaza, Washington, DC 20202-5108. Telephone: (202) 245-7395.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23207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sepideasthatwork.org/logicModel" TargetMode="External" /><Relationship Id="rId11" Type="http://schemas.openxmlformats.org/officeDocument/2006/relationships/hyperlink" Target="http://www.osepideasthatwork.org/resources-grantees/program-areas/ta-ta/tad-project-logic-model-and-conceptual-framework" TargetMode="External" /><Relationship Id="rId12" Type="http://schemas.openxmlformats.org/officeDocument/2006/relationships/hyperlink" Target="https://advance.lexis.com/api/document?collection=administrative-codes&amp;id=urn:contentItem:5GMB-DPB0-008H-02K8-00000-00&amp;context=" TargetMode="External" /><Relationship Id="rId13" Type="http://schemas.openxmlformats.org/officeDocument/2006/relationships/hyperlink" Target="https://advance.lexis.com/api/document?collection=statutes-legislation&amp;id=urn:contentItem:4YF7-GPG1-NRF4-445M-00000-00&amp;context=" TargetMode="External" /><Relationship Id="rId14" Type="http://schemas.openxmlformats.org/officeDocument/2006/relationships/hyperlink" Target="https://advance.lexis.com/api/document?collection=statutes-legislation&amp;id=urn:contentItem:4YF7-GSJ1-NRF4-43PC-00000-00&amp;context=" TargetMode="External" /><Relationship Id="rId15" Type="http://schemas.openxmlformats.org/officeDocument/2006/relationships/hyperlink" Target="https://advance.lexis.com/api/document?collection=administrative-codes&amp;id=urn:contentItem:5GMB-DPC0-008H-02SJ-00000-00&amp;context=" TargetMode="External" /><Relationship Id="rId16" Type="http://schemas.openxmlformats.org/officeDocument/2006/relationships/hyperlink" Target="http://www.ed.gov/fund/grant/apply/grantapps/index.html" TargetMode="External" /><Relationship Id="rId17" Type="http://schemas.openxmlformats.org/officeDocument/2006/relationships/hyperlink" Target="http://www.EDPubs.gov" TargetMode="External" /><Relationship Id="rId18" Type="http://schemas.openxmlformats.org/officeDocument/2006/relationships/hyperlink" Target="mailto:edpubs@inet.ed.gov" TargetMode="External" /><Relationship Id="rId19" Type="http://schemas.openxmlformats.org/officeDocument/2006/relationships/hyperlink" Target="http://fedgov.dnb.com/webform"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J-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KT-KJF0-006W-84J6-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S7T-7HV0-008H-03H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26783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