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005, Monday, January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College Assistance Migrant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Assistance Migrant Program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84.149A.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CAMP is to provide academic and financial support to help migrant and seasonal farmworkers and members of their immediate family complete their first year of college and continue in postsecondary education.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two invitational priorities.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418A(e) of the Higher Education Act of 1965, as amended (HEA) (</w:t>
      </w:r>
      <w:hyperlink r:id="rId9" w:history="1">
        <w:r>
          <w:rPr>
            <w:rFonts w:ascii="arial" w:eastAsia="arial" w:hAnsi="arial" w:cs="arial"/>
            <w:b w:val="0"/>
            <w:i/>
            <w:strike w:val="0"/>
            <w:noProof w:val="0"/>
            <w:color w:val="0077CC"/>
            <w:position w:val="0"/>
            <w:sz w:val="20"/>
            <w:u w:val="single"/>
            <w:vertAlign w:val="baseline"/>
          </w:rPr>
          <w:t>20 U.S.C. 1070d-2(e)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15 additional points to an application, depending on how well the applicant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Experience of Service Delivery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with an expiring CAMP project, the Secretary will consider the applicant's prior experience in implementing its expiring CAMP project, based on information contained in documents previously provided to the Department, such as annual performance reports, project evaluation reports, site visit reports, and the previously approved CAMP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are particularly interested in applications that address the following invitational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1--Science, Technology, Engineering, and Mathematics Education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students with increased access to rigorous and engaging coursework in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number and proportion of students prepared for postsecondary or graduate study and careers in STEM, with a specific focus on an increase in the number and proportion of students so prepared who are from groups traditionally underrepresented in STEM careers, including minorities, individuals with disabilities, and women.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could, for example, propose providing students with increased access to coursework in STEM through such activities as mentoring, counseling, and tutoring in ways that motivate participants to pursue postsecondary education in the areas of STEM. Similarly, applicants could propose increasing the number and proportion of students prepared for postsecondary or graduate study and careers in STEM through activities such as referrals to STEM-oriented work-based learning experiences, exposure to academic programs and careers in STEM-related fields, and providing support services. These could include services to improve participants' academic skills and knowledge so that they may pursue studies and careers in STEM-related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2--Faith-Based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to engage faith-based and community organizations in the delivery of services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1070d-2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w:t>
      </w:r>
      <w:r>
        <w:rPr>
          <w:rFonts w:ascii="arial" w:eastAsia="arial" w:hAnsi="arial" w:cs="arial"/>
          <w:b/>
          <w:i w:val="0"/>
          <w:strike w:val="0"/>
          <w:noProof w:val="0"/>
          <w:color w:val="000000"/>
          <w:position w:val="0"/>
          <w:sz w:val="20"/>
          <w:u w:val="none"/>
          <w:vertAlign w:val="baseline"/>
        </w:rPr>
        <w:t> [*2329] </w:t>
      </w:r>
      <w:r>
        <w:rPr>
          <w:rFonts w:ascii="arial" w:eastAsia="arial" w:hAnsi="arial" w:cs="arial"/>
          <w:b w:val="0"/>
          <w:i w:val="0"/>
          <w:strike w:val="0"/>
          <w:noProof w:val="0"/>
          <w:color w:val="000000"/>
          <w:position w:val="0"/>
          <w:sz w:val="20"/>
          <w:u w:val="none"/>
          <w:vertAlign w:val="baseline"/>
        </w:rPr>
        <w:t xml:space="preserve"> CFR part 206. (e) The definitions of "migratory agricultural worker" in </w:t>
      </w:r>
      <w:hyperlink r:id="rId10" w:history="1">
        <w:r>
          <w:rPr>
            <w:rFonts w:ascii="arial" w:eastAsia="arial" w:hAnsi="arial" w:cs="arial"/>
            <w:b w:val="0"/>
            <w:i/>
            <w:strike w:val="0"/>
            <w:noProof w:val="0"/>
            <w:color w:val="0077CC"/>
            <w:position w:val="0"/>
            <w:sz w:val="20"/>
            <w:u w:val="single"/>
            <w:vertAlign w:val="baseline"/>
          </w:rPr>
          <w:t>34 CFR 200.81(f)</w:t>
        </w:r>
      </w:hyperlink>
      <w:r>
        <w:rPr>
          <w:rFonts w:ascii="arial" w:eastAsia="arial" w:hAnsi="arial" w:cs="arial"/>
          <w:b w:val="0"/>
          <w:i w:val="0"/>
          <w:strike w:val="0"/>
          <w:noProof w:val="0"/>
          <w:color w:val="000000"/>
          <w:position w:val="0"/>
          <w:sz w:val="20"/>
          <w:u w:val="none"/>
          <w:vertAlign w:val="baseline"/>
        </w:rPr>
        <w:t xml:space="preserve">, "migratory child" in </w:t>
      </w:r>
      <w:hyperlink r:id="rId10" w:history="1">
        <w:r>
          <w:rPr>
            <w:rFonts w:ascii="arial" w:eastAsia="arial" w:hAnsi="arial" w:cs="arial"/>
            <w:b w:val="0"/>
            <w:i/>
            <w:strike w:val="0"/>
            <w:noProof w:val="0"/>
            <w:color w:val="0077CC"/>
            <w:position w:val="0"/>
            <w:sz w:val="20"/>
            <w:u w:val="single"/>
            <w:vertAlign w:val="baseline"/>
          </w:rPr>
          <w:t>34 CFR 200.81(g)</w:t>
        </w:r>
      </w:hyperlink>
      <w:r>
        <w:rPr>
          <w:rFonts w:ascii="arial" w:eastAsia="arial" w:hAnsi="arial" w:cs="arial"/>
          <w:b w:val="0"/>
          <w:i w:val="0"/>
          <w:strike w:val="0"/>
          <w:noProof w:val="0"/>
          <w:color w:val="000000"/>
          <w:position w:val="0"/>
          <w:sz w:val="20"/>
          <w:u w:val="none"/>
          <w:vertAlign w:val="baseline"/>
        </w:rPr>
        <w:t xml:space="preserve">, and "migratory fisher" in </w:t>
      </w:r>
      <w:hyperlink r:id="rId10" w:history="1">
        <w:r>
          <w:rPr>
            <w:rFonts w:ascii="arial" w:eastAsia="arial" w:hAnsi="arial" w:cs="arial"/>
            <w:b w:val="0"/>
            <w:i/>
            <w:strike w:val="0"/>
            <w:noProof w:val="0"/>
            <w:color w:val="0077CC"/>
            <w:position w:val="0"/>
            <w:sz w:val="20"/>
            <w:u w:val="single"/>
            <w:vertAlign w:val="baseline"/>
          </w:rPr>
          <w:t>34 CFR 200.81(h)</w:t>
        </w:r>
      </w:hyperlink>
      <w:r>
        <w:rPr>
          <w:rFonts w:ascii="arial" w:eastAsia="arial" w:hAnsi="arial" w:cs="arial"/>
          <w:b w:val="0"/>
          <w:i w:val="0"/>
          <w:strike w:val="0"/>
          <w:noProof w:val="0"/>
          <w:color w:val="000000"/>
          <w:position w:val="0"/>
          <w:sz w:val="20"/>
          <w:u w:val="none"/>
          <w:vertAlign w:val="baseline"/>
        </w:rPr>
        <w:t xml:space="preserve">. (f)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20 CFR 669.110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669.320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$ 4,537,279.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$ 180,000-$ 425,000.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$ 412,479.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CAMP award exceeding $ 425,000 for any of the five single budget periods of 12 months as reflected in the applicant's ED 524 Budget Form, Section A, submitted as a part of the project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CAMP award that is less than $ 180,000 for any of the five single budget periods of 12 months as reflected in the applicant's ED 524 Budget Form, Section A, submitted as a part of the project application. Regardless of any other information in the application, the Department will interpret an ED 524 form that, in Part A, provides a blank budget summary for any of the five project years as the applicant's intent to seek "$ 0" for that year, and thus to not operate a project that year. Similarly, the Department will interpret any blank spaces on the ED 524 budget form as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Applicants must propose a project of 60 months (five years) in duration, and we will reject any application that does not do so as reflected on the applicant's ED 524 form, Section A, submitted as a part of the application. However, if an applicant receives an initial grant award, annual continuation funding is contingent upon availability of funds and the grantee having met minimum performance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or private non-profit organizations (including faith-based organizations) that plan their projects in cooperation with an IHE and propose to operate the project with the facilities of the IHE.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However, consistent with </w:t>
      </w:r>
      <w:hyperlink r:id="rId13" w:history="1">
        <w:r>
          <w:rPr>
            <w:rFonts w:ascii="arial" w:eastAsia="arial" w:hAnsi="arial" w:cs="arial"/>
            <w:b w:val="0"/>
            <w:i/>
            <w:strike w:val="0"/>
            <w:noProof w:val="0"/>
            <w:color w:val="0077CC"/>
            <w:position w:val="0"/>
            <w:sz w:val="20"/>
            <w:u w:val="single"/>
            <w:vertAlign w:val="baseline"/>
          </w:rPr>
          <w:t>34 CFR 75.700</w:t>
        </w:r>
      </w:hyperlink>
      <w:r>
        <w:rPr>
          <w:rFonts w:ascii="arial" w:eastAsia="arial" w:hAnsi="arial" w:cs="arial"/>
          <w:b w:val="0"/>
          <w:i w:val="0"/>
          <w:strike w:val="0"/>
          <w:noProof w:val="0"/>
          <w:color w:val="000000"/>
          <w:position w:val="0"/>
          <w:sz w:val="20"/>
          <w:u w:val="none"/>
          <w:vertAlign w:val="baseline"/>
        </w:rPr>
        <w:t>, which requires an applicant to comply with its approved application, an applicant that proposes non-Federal matching funds and is awarded a grant must provide those funds for each year that the funds are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budget for a two-day Office of Migrant Education annual meeting for CAMP directors in the Washington, DC area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Emily Bank, U.S. Department of Education, Office of Migrant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www.ed.gov/programs/camp/applicant.html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IV of the application) is where you, the applicant, address the selection criteria that reviewers use to evaluate your application. Panel readers will award points only for an applicant's response to a given selection criterion that is contained within the section of the application designated to address that particular selection criterion. Readers will not review, or award points for, a response to the selection criterion that is located in any other section of the application or the appendices. We will reject any application narrative that exceeds 25 pages or does not adhere to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 Charts, tables, figures, and graphs presented in the application narrative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throughout the entire application package.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 The 25-page limit for the application narrative does not apply to the cover sheet; the budget section, including the narrative budget justification; the assurances and certifications; or the one-page abstract.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Appendices must be limited to 20 pages and must include the following: Resumes, if applicable, and job descriptions of key personnel. Job descriptions must include duties and minimum qualifications. Items in the appendices will only be used by the program office; the items will not be read by reviewers.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CAMP, your application may include business information that you consider proprietary. In </w:t>
      </w:r>
      <w:hyperlink r:id="rId16"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16"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9, 2017. </w:t>
      </w:r>
      <w:r>
        <w:rPr>
          <w:rFonts w:ascii="arial" w:eastAsia="arial" w:hAnsi="arial" w:cs="arial"/>
          <w:b/>
          <w:i w:val="0"/>
          <w:strike w:val="0"/>
          <w:noProof w:val="0"/>
          <w:color w:val="000000"/>
          <w:position w:val="0"/>
          <w:sz w:val="20"/>
          <w:u w:val="none"/>
          <w:vertAlign w:val="baseline"/>
        </w:rPr>
        <w:t> [*2330]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CAMP, CFDA number 84.149A,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CAMP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84.149, not 84.149A).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w:t>
      </w:r>
      <w:r>
        <w:rPr>
          <w:rFonts w:ascii="arial" w:eastAsia="arial" w:hAnsi="arial" w:cs="arial"/>
          <w:b/>
          <w:i w:val="0"/>
          <w:strike w:val="0"/>
          <w:noProof w:val="0"/>
          <w:color w:val="000000"/>
          <w:position w:val="0"/>
          <w:sz w:val="20"/>
          <w:u w:val="none"/>
          <w:vertAlign w:val="baseline"/>
        </w:rPr>
        <w:t> [*2331] </w:t>
      </w:r>
      <w:r>
        <w:rPr>
          <w:rFonts w:ascii="arial" w:eastAsia="arial" w:hAnsi="arial" w:cs="arial"/>
          <w:b w:val="0"/>
          <w:i w:val="0"/>
          <w:strike w:val="0"/>
          <w:noProof w:val="0"/>
          <w:color w:val="000000"/>
          <w:position w:val="0"/>
          <w:sz w:val="20"/>
          <w:u w:val="none"/>
          <w:vertAlign w:val="baseline"/>
        </w:rPr>
        <w:t xml:space="preserve">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Emily Bank, U.S. Department of Education, 400 Maryland Avenue SW., Room 3E338, Washington, DC 20202-6135. FAX: (202) 205-0089.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84.149A, LBJ Basement Level 1, 400 Maryland Avenue SW., Washington, DC 20202-4260. </w:t>
      </w:r>
      <w:r>
        <w:rPr>
          <w:rFonts w:ascii="arial" w:eastAsia="arial" w:hAnsi="arial" w:cs="arial"/>
          <w:b/>
          <w:i w:val="0"/>
          <w:strike w:val="0"/>
          <w:noProof w:val="0"/>
          <w:color w:val="000000"/>
          <w:position w:val="0"/>
          <w:sz w:val="20"/>
          <w:u w:val="none"/>
          <w:vertAlign w:val="baseline"/>
        </w:rPr>
        <w:t> [*2332]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84.149A,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Secretary will consider the need to provide an equitable geographic distribution of grants in selecting applications for awards, in accordance with section 418A of the HEA (</w:t>
      </w:r>
      <w:hyperlink r:id="rId9" w:history="1">
        <w:r>
          <w:rPr>
            <w:rFonts w:ascii="arial" w:eastAsia="arial" w:hAnsi="arial" w:cs="arial"/>
            <w:b w:val="0"/>
            <w:i/>
            <w:strike w:val="0"/>
            <w:noProof w:val="0"/>
            <w:color w:val="0077CC"/>
            <w:position w:val="0"/>
            <w:sz w:val="20"/>
            <w:u w:val="single"/>
            <w:vertAlign w:val="baseline"/>
          </w:rPr>
          <w:t>20 U.S.C. 1070d-2(g)</w:t>
        </w:r>
      </w:hyperlink>
      <w:r>
        <w:rPr>
          <w:rFonts w:ascii="arial" w:eastAsia="arial" w:hAnsi="arial" w:cs="arial"/>
          <w:b w:val="0"/>
          <w:i w:val="0"/>
          <w:strike w:val="0"/>
          <w:noProof w:val="0"/>
          <w:color w:val="000000"/>
          <w:position w:val="0"/>
          <w:sz w:val="20"/>
          <w:u w:val="none"/>
          <w:vertAlign w:val="baseline"/>
        </w:rPr>
        <w:t xml:space="preserve">). In addition,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xml:space="preserve">, the Secretary may provide a grantee with additional funding for data collection </w:t>
      </w:r>
      <w:r>
        <w:rPr>
          <w:rFonts w:ascii="arial" w:eastAsia="arial" w:hAnsi="arial" w:cs="arial"/>
          <w:b/>
          <w:i w:val="0"/>
          <w:strike w:val="0"/>
          <w:noProof w:val="0"/>
          <w:color w:val="000000"/>
          <w:position w:val="0"/>
          <w:sz w:val="20"/>
          <w:u w:val="none"/>
          <w:vertAlign w:val="baseline"/>
        </w:rPr>
        <w:t> [*2333] </w:t>
      </w:r>
      <w:r>
        <w:rPr>
          <w:rFonts w:ascii="arial" w:eastAsia="arial" w:hAnsi="arial" w:cs="arial"/>
          <w:b w:val="0"/>
          <w:i w:val="0"/>
          <w:strike w:val="0"/>
          <w:noProof w:val="0"/>
          <w:color w:val="000000"/>
          <w:position w:val="0"/>
          <w:sz w:val="20"/>
          <w:u w:val="none"/>
          <w:vertAlign w:val="baseline"/>
        </w:rPr>
        <w:t xml:space="preserve">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developed the following performance measures to evaluate the overall effectiveness of CAMP: (1) The percentage of CAMP participants completing the first academic year of their postsecondary program, and (2) the percentage of CAMP participants who, after completing the first academic year of college, continue their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propose annual targets for these measures in their applications. The national target for GPRA measure 1 for FY 2017 is that 86 percent of CAMP participants will complete the first academic year of their postsecondary program. The national target for GPRA measure 2 for FY 2017 is that 85 percent of CAMP participants continue their postsecondary education after completing the first academic year of college. The national targets for subsequent years may be adjusted based on additional baseline data. The panel readers will score related selection criteria on the basis of how well an applicant addresses these GPRA measures. Therefore, applicants will want to consider how to demonstrate a sound capacity to provide reliable data on the GPRA measures, including the project's annual performance targets for addressing the GPRA performance measures, as is required by the Office of Management and Budget approved annual performance report that is included in the application package. All grantees will be required to submit, as part of their annual performance report, information with respect to these GPRA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Emily Bank, U.S. Department of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TYY,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2017-00168 Filed 1-6-17;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G20-008H-02D7-00000-00&amp;context=" TargetMode="External" /><Relationship Id="rId11" Type="http://schemas.openxmlformats.org/officeDocument/2006/relationships/hyperlink" Target="https://advance.lexis.com/api/document?collection=administrative-codes&amp;id=urn:contentItem:56C5-S3C0-008G-Y4TG-00000-00&amp;context=" TargetMode="External" /><Relationship Id="rId12" Type="http://schemas.openxmlformats.org/officeDocument/2006/relationships/hyperlink" Target="https://advance.lexis.com/api/document?collection=administrative-codes&amp;id=urn:contentItem:56C5-S3C0-008G-Y4V0-00000-00&amp;context=" TargetMode="External" /><Relationship Id="rId13" Type="http://schemas.openxmlformats.org/officeDocument/2006/relationships/hyperlink" Target="https://advance.lexis.com/api/document?collection=administrative-codes&amp;id=urn:contentItem:5GMB-DPB0-008H-028K-00000-00&amp;context=" TargetMode="External" /><Relationship Id="rId14" Type="http://schemas.openxmlformats.org/officeDocument/2006/relationships/hyperlink" Target="mailto:emily.bank@ed.gov" TargetMode="External" /><Relationship Id="rId15" Type="http://schemas.openxmlformats.org/officeDocument/2006/relationships/hyperlink" Target="http://www.ed.gov/programs/camp/applicant.html" TargetMode="External" /><Relationship Id="rId16" Type="http://schemas.openxmlformats.org/officeDocument/2006/relationships/hyperlink" Target="https://advance.lexis.com/api/document?collection=administrative-codes&amp;id=urn:contentItem:5G9C-N1H0-008H-002J-00000-00&amp;context="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G-P670-006W-8276-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71-NRF4-411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