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23776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099, Wednesday, May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23776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Educational Technology, Media, and Materials for Individuals With Disabilities--Educational Materials in Accessible Formats for Children and Students With Visual Impairments and Print Disabilities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Educational Technology, Media, and Materials for Individuals with Disabilities--Educational Materials in Accessible Formats for Children and Students with Visual Impairments and Print Disabilities, Catalog of Federal Domestic Assistance (CFDA) number 84.327D.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Educational Technology, Media, and Materials for Individuals with Disabilities Program are to: (1) Improve results for students with disabilities by promoting the development, demonstration, and use of technology; (2) support educational activities designed to be of educational value in the classroom for students with disabilities; (3) provide support for captioning and video description that is appropriate for use in the classroom; and (4) provide accessible educational materials (AEM) to students with disabilities in a timely manner.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674(c)(1)(D) and 681(d) of the Individuals with Disabilities Education Act (IDEA), as amended (</w:t>
      </w:r>
      <w:hyperlink r:id="rId9" w:history="1">
        <w:r>
          <w:rPr>
            <w:rFonts w:ascii="arial" w:eastAsia="arial" w:hAnsi="arial" w:cs="arial"/>
            <w:b w:val="0"/>
            <w:i/>
            <w:strike w:val="0"/>
            <w:noProof w:val="0"/>
            <w:color w:val="0077CC"/>
            <w:position w:val="0"/>
            <w:sz w:val="20"/>
            <w:u w:val="single"/>
            <w:vertAlign w:val="baseline"/>
          </w:rPr>
          <w:t>20 U.S.C. 1474(c)(1)(D)</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 Materials in Accessible Formats for Children and Students with Visual Impairments and Print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priority is to fund a cooperative agreement to establish and operate a center that will provide free </w:t>
      </w:r>
      <w:r>
        <w:rPr>
          <w:rFonts w:ascii="arial" w:eastAsia="arial" w:hAnsi="arial" w:cs="arial"/>
          <w:b/>
          <w:i w:val="0"/>
          <w:strike w:val="0"/>
          <w:noProof w:val="0"/>
          <w:color w:val="000000"/>
          <w:position w:val="0"/>
          <w:sz w:val="20"/>
          <w:u w:val="none"/>
          <w:vertAlign w:val="baseline"/>
        </w:rPr>
        <w:t> [*23777] </w:t>
      </w:r>
      <w:r>
        <w:rPr>
          <w:rFonts w:ascii="arial" w:eastAsia="arial" w:hAnsi="arial" w:cs="arial"/>
          <w:b w:val="0"/>
          <w:i w:val="0"/>
          <w:strike w:val="0"/>
          <w:noProof w:val="0"/>
          <w:color w:val="000000"/>
          <w:position w:val="0"/>
          <w:sz w:val="20"/>
          <w:u w:val="none"/>
          <w:vertAlign w:val="baseline"/>
        </w:rPr>
        <w:t xml:space="preserve"> educational materials, n1 including textbooks, in accessible formats to eligible children and students-- individuals who are: (1) Blind, have a visual impairment, have a physical disability, or have a print disability; (2) certified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as unable to read typical printed material as a result of physical limitations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dyslexia, specific reading disability, and disabilities in which students are unable to manipulate standard books and materials); and (3) enrolled in elementary or secondary schools (as defined by the State) or postsecondary or graduate schools. n2 AEM include, but are not limited to: Electronic text, braille, audio files, description, closed captioning, and tactile 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the purposes of this priority, we are using the term "educational materials" as it is used in section 674(c)(1)(D)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the purposes of this priority, eligible elementary and secondary children and students may be receiving services or modifications under IDEA, section 504 of the Rehabilitation Act of 1973, as amended, and Title II of the Americans with Disabilities Act of 1990 (ADA); eligible postsecondary students may be receiving modifications, academic adjustments or auxiliary aids and services under section 504 or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 requires the provision of free educational materials, including textbooks and instructional materials, in accessible formats to eligible children and students. State educational agencies (SEAs) and local educational agencies (LEAs) must provide materials in accessible formats in a timely manner (IDEA Part B, section 612(a)(23)(B) and section 613(a)(6)(B)).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under section 504 of the Rehabilitation Act of 1973, as amended, institutions of higher education (IHEs), SEAs, and LEAs must provide educational materials in accessible formats as a means to accommodate students who are blind, have a visual impairment, have a physical disability, or have a print disability. The accessible formats are needed to provide these students with an equal educational opportunity. </w:t>
      </w:r>
      <w:hyperlink r:id="rId11" w:history="1">
        <w:r>
          <w:rPr>
            <w:rFonts w:ascii="arial" w:eastAsia="arial" w:hAnsi="arial" w:cs="arial"/>
            <w:b w:val="0"/>
            <w:i/>
            <w:strike w:val="0"/>
            <w:noProof w:val="0"/>
            <w:color w:val="0077CC"/>
            <w:position w:val="0"/>
            <w:sz w:val="20"/>
            <w:u w:val="single"/>
            <w:vertAlign w:val="baseline"/>
          </w:rPr>
          <w:t>34 CFR 104.4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ADA is also applicable and requires, among other things, that public entities, including public IHEs, ensure that students with disabilities have an equal opportunity to participate in school activities and ensure that communication with students with disabilities is as effective as communication with students without disabilities, through the provision, in a timely manner, of auxiliary aids and services. </w:t>
      </w:r>
      <w:hyperlink r:id="rId12" w:history="1">
        <w:r>
          <w:rPr>
            <w:rFonts w:ascii="arial" w:eastAsia="arial" w:hAnsi="arial" w:cs="arial"/>
            <w:b w:val="0"/>
            <w:i/>
            <w:strike w:val="0"/>
            <w:noProof w:val="0"/>
            <w:color w:val="0077CC"/>
            <w:position w:val="0"/>
            <w:sz w:val="20"/>
            <w:u w:val="single"/>
            <w:vertAlign w:val="baseline"/>
          </w:rPr>
          <w:t>28 CFR 35.160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condition of this grant, the materials and textbooks must be provided in formats that are of high quality and meet industry standards for accessibility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Content Accessibility Guidelines (WCAG) 2.0 Level AA Standard, EPUB Accessibility 1.0).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For additional information on WCAG 2.0, please refer to </w:t>
      </w:r>
      <w:hyperlink r:id="rId13" w:history="1">
        <w:r>
          <w:rPr>
            <w:rFonts w:ascii="arial" w:eastAsia="arial" w:hAnsi="arial" w:cs="arial"/>
            <w:b w:val="0"/>
            <w:i/>
            <w:strike w:val="0"/>
            <w:noProof w:val="0"/>
            <w:color w:val="0077CC"/>
            <w:position w:val="0"/>
            <w:sz w:val="20"/>
            <w:u w:val="single"/>
            <w:vertAlign w:val="baseline"/>
          </w:rPr>
          <w:t>www.w3.org/WAI/intro/wcag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on EPUB Accessibility 1.0, please refer to </w:t>
      </w:r>
      <w:hyperlink r:id="rId14" w:history="1">
        <w:r>
          <w:rPr>
            <w:rFonts w:ascii="arial" w:eastAsia="arial" w:hAnsi="arial" w:cs="arial"/>
            <w:b w:val="0"/>
            <w:i/>
            <w:strike w:val="0"/>
            <w:noProof w:val="0"/>
            <w:color w:val="0077CC"/>
            <w:position w:val="0"/>
            <w:sz w:val="20"/>
            <w:u w:val="single"/>
            <w:vertAlign w:val="baseline"/>
          </w:rPr>
          <w:t>www.idpf.org/epub/a11y/techniques/techniques.html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ensure the free distribution of educational materials in accessible formats, Congress has granted exceptions to copyright holders' exclusive rights to replication and distribution through the Chafee Amendment, which authorizes entities to reproduce or distribute copies of previously published works in specialized, accessible formats exclusively for use by eligible children and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2015-2016 school year, States reported that there were 29,186 enrolled students, ages 3 through 21, who were deaf-blind or had a visual impairment, and 2,357,143 had a specific learning disability, some of whom would typically qualify as having a print disability (U.S. Department of Education, 2016). Over the past 10 years, work under this program has provided more than 400,000 students with access to AEM, which have been downloaded more than 3,350,000 times. These numbers continue to grow daily (</w:t>
      </w:r>
      <w:hyperlink r:id="rId15" w:history="1">
        <w:r>
          <w:rPr>
            <w:rFonts w:ascii="arial" w:eastAsia="arial" w:hAnsi="arial" w:cs="arial"/>
            <w:b w:val="0"/>
            <w:i/>
            <w:strike w:val="0"/>
            <w:noProof w:val="0"/>
            <w:color w:val="0077CC"/>
            <w:position w:val="0"/>
            <w:sz w:val="20"/>
            <w:u w:val="single"/>
            <w:vertAlign w:val="baseline"/>
          </w:rPr>
          <w:t>www.bookshare.org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center will increase the production, availability, distribution, and use of AEM across grade levels and across ability levels. In order to do so, the center will upgrade available software to reflect new and emerging technology, increase the number of educational titles, reduce the time it takes to make accessible digital materials available, and improve the quality of these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priority is to fund a cooperative agreement to establish and operate a center that will provide free educational materials, n4 including textbooks and instructional materials, in accessible formats for eligible children and students--those who are: (1) Blind, have a visual impairment, have a physical disability or have a print disability; (2) certified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as unable to read normal printed material as a result of physical limitations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dyslexia, specific reading disability, and disabilities in which students are unable to manipulate standard books and materials); and (3) enrolled in elementary or secondary (as defined by the State) or postsecondary, or graduate schools. n5 Prior investments established a center to acquire educational materials, convert those materials into AEM, and distribute AEM to eligible children and students. These, and new AEM produced by the center funded under this priority, must remain available to eligible children and students after the end date of the project. In addition, it is critical to expand the availability, quality, and use of AEM, and apply new and emerging technology solutions to support efficient and effective production and distribution. The center must achieve, at a minimum, the following expected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the purposes of this priority, we are using the term "educational materials" as it is used in section 674(c)(1)(D)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the purposes of this priority, eligible elementary and secondary children and students may be receiving services under IDEA, section 504, or Title II of the ADA; eligible postsecondary students may be receiving modifications, academic adjustments, or auxiliary aids and services under section 504 or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provision of AEM for use by eligible children and students. Materials must be provided in a timely manner and directly to eligible children and students or to SEAs, LEAs, postsecondary institutions, graduate schools, and vocational rehabilitation agencies requesting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provision of free, high-quality, up-to-date software needed by eligible children and students, families, schools, LEAs, SEAs, postsecondary schools, and vocational rehabilitation agencies to use the AEM.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incorporation of the most efficient, cost-effective technology available to provide timely access to AEM that can be used across multiple accessible formats, including, at a minimum, braille-ready files, audio, standard text, standard text with audio, and large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production and distribution of high-quality, user-friendly AEM, including digital text, braille-ready files, and audio formats, using files that are consistent with the current industry standards and guidelines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Content Accessibility Guidelines (WCAG) 2.0, Level AA Standard, EPUB Accessibility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production of tools and software that can be used by developers, producers, publishers, and others to embed accessibility features into textbooks and educational materials during their initial development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distribution of AEM to traditionally underserved eligible children and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living in poverty, homeless students, and culturally and linguistically diverse students including English learners). </w:t>
      </w:r>
      <w:r>
        <w:rPr>
          <w:rFonts w:ascii="arial" w:eastAsia="arial" w:hAnsi="arial" w:cs="arial"/>
          <w:b/>
          <w:i w:val="0"/>
          <w:strike w:val="0"/>
          <w:noProof w:val="0"/>
          <w:color w:val="000000"/>
          <w:position w:val="0"/>
          <w:sz w:val="20"/>
          <w:u w:val="none"/>
          <w:vertAlign w:val="baseline"/>
        </w:rPr>
        <w:t> [*23778]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"Quality of the Project Design,"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used in connection with this priority communicates how a project will achieve its intended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w:t>
      </w:r>
      <w:hyperlink r:id="rId16"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OSEP uses the definition in paragraph (a)(1)(ii) of these application requirements. This definition, unlike the definition in </w:t>
      </w:r>
      <w:hyperlink r:id="rId16"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hyperlink r:id="rId17"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plan, linked to the proposed project's logic model, for a formative evaluation of the proposed project's activities. The plan must describe how the formative evaluation will use clear performance objectives to ensure continuous improvement in the operation of the proposed project, including objective measures of progress in implementing the project and ensuring quality of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A plan to implement the services and provide the products that are described in the </w:t>
      </w:r>
      <w:r>
        <w:rPr>
          <w:rFonts w:ascii="arial" w:eastAsia="arial" w:hAnsi="arial" w:cs="arial"/>
          <w:b w:val="0"/>
          <w:i/>
          <w:strike w:val="0"/>
          <w:noProof w:val="0"/>
          <w:color w:val="000000"/>
          <w:position w:val="0"/>
          <w:sz w:val="20"/>
          <w:u w:val="none"/>
          <w:vertAlign w:val="baseline"/>
        </w:rPr>
        <w:t>Products and Services</w:t>
      </w:r>
      <w:r>
        <w:rPr>
          <w:rFonts w:ascii="arial" w:eastAsia="arial" w:hAnsi="arial" w:cs="arial"/>
          <w:b w:val="0"/>
          <w:i w:val="0"/>
          <w:strike w:val="0"/>
          <w:noProof w:val="0"/>
          <w:color w:val="000000"/>
          <w:position w:val="0"/>
          <w:sz w:val="20"/>
          <w:u w:val="none"/>
          <w:vertAlign w:val="baseline"/>
        </w:rPr>
        <w:t xml:space="preserve"> section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 plan that focuses on improving the quality, timeliness, ease of use, and access to AEM for eligible children and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 plan to ensure that eligible children and students will continue to be able to access at no cost the educational materials, including textbooks, in accessible formats, when the center is no longer federally funded, including a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 software that is compatible for use with currently available devices. Examples include e-readers, smart phones, tablets, and data pads;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Anticipate future needs and technologies across the five years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 plan to ensure that materials and technologies are, to the maximum extent allowable under the law, openly licensed educational resources n6 through an open licensing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Openly licensed educational resources are teaching, learning, and research resources that reside in the public domain or have been released under a license that permits their use, modification, and sharing with others. Open resources may be full online courses or digital textbooks or more granular resources such as images, videos, and assessment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Cost and efficiency measures, or a plan for cost and efficiency measures, for the production of AEM;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 detailed digital rights management plan that will be implemented during the project and will protect the interests of rights holders while maintaining ease of access to AEM for eligible children and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 plan to consult with publishers, software developers, other manufacturers of AEM for eligible children and students, and the National Instructional Materials Access Center (NIMAC) n7 to ensure that the project uses the most efficient, cost-effective technology available to provide timely access to AEM. This plan should also address strategies to work towards universal applicability across all interfaces and media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For more information regarding the NIMAC, please see: </w:t>
      </w:r>
      <w:hyperlink r:id="rId19" w:history="1">
        <w:r>
          <w:rPr>
            <w:rFonts w:ascii="arial" w:eastAsia="arial" w:hAnsi="arial" w:cs="arial"/>
            <w:b w:val="0"/>
            <w:i/>
            <w:strike w:val="0"/>
            <w:noProof w:val="0"/>
            <w:color w:val="0077CC"/>
            <w:position w:val="0"/>
            <w:sz w:val="20"/>
            <w:u w:val="single"/>
            <w:vertAlign w:val="baseline"/>
          </w:rPr>
          <w:t>www.nimac.us/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 plan for how the project will coordinate across multiple partners to include IHEs, SEAs, and LEAs to reduce costs of production and duplication of materials, and to improve the timeliness of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Information on how the project will develop and implement a plan for increasing IHE, SEA, and LEA use of the project's resources and AEM as part of their systems for providing educational material in accessible formats to eligible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A plan for a data system that collects information on the free educational materials produced, provided, distributed to, and downloaded by, eligible children and students;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A description of how the project will ensure that project activities are conducted in compliance with section 121 of the copyright law, as amended (</w:t>
      </w:r>
      <w:hyperlink r:id="rId20" w:history="1">
        <w:r>
          <w:rPr>
            <w:rFonts w:ascii="arial" w:eastAsia="arial" w:hAnsi="arial" w:cs="arial"/>
            <w:b w:val="0"/>
            <w:i/>
            <w:strike w:val="0"/>
            <w:noProof w:val="0"/>
            <w:color w:val="0077CC"/>
            <w:position w:val="0"/>
            <w:sz w:val="20"/>
            <w:u w:val="single"/>
            <w:vertAlign w:val="baseline"/>
          </w:rPr>
          <w:t>www.copyright.gov/title17/92chap1.html#121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Products and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AEM, including textbooks, to SEAs and LEAs for use by eligible children and students. The AEM must be provided at no cost to the children, students, families, schools, SEAs and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AEM to eligible students. Materials may be provided directly to eligible students or to postsecondary and graduate schools and vocational rehabilitation agencies requesting AEM on behalf of eligible students. The AEM and any specialized software needed to use the materials must be provided at no cost to eligible students, postsecondary and graduate schools, and vocational rehabilitation agencies. The project may not assess fees to individual eligible students or to institutions, including postsecondary schools, graduate schools, and vocational rehabilitation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free high-quality, up-to-date software needed to use and access the AEM by eligible children, students, families, schools, LEAs and SEAs, postsecondary and graduate schools, and vocational rehabilitation agencies. The project must also keep up to date on emerging technologies and implement changes and updates to technology, software, and other material to ensure that they continue to meet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Incorporate the most efficient, cost-effective technology available to provide timely access to AEM that can be used across alternative media formats;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Produce high-quality, user-friendly AEM, including digital text, Braille-ready files, and audio formats. Materials produced as part of this cooperative agreement must include accessible digital images, charts, formulas, and 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Produce AEM using files that are consistent with the current industry standards for the production of AEM;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Encourage and support the inclusion of accessibility features that are embedded during the development and production of the AEM by publishers and producers, where possible;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Provide AEM for historically underserved eligible children and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living in poverty, homeless students, and culturally and linguistically diverse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In the narrative section of the application under "Quality of the Evaluation Plan," include an evaluation plan for the project. The evaluation plan must describe: measures of progress in implementation, including the criteria for determining the extent to which the project's products and services have </w:t>
      </w:r>
      <w:r>
        <w:rPr>
          <w:rFonts w:ascii="arial" w:eastAsia="arial" w:hAnsi="arial" w:cs="arial"/>
          <w:b/>
          <w:i w:val="0"/>
          <w:strike w:val="0"/>
          <w:noProof w:val="0"/>
          <w:color w:val="000000"/>
          <w:position w:val="0"/>
          <w:sz w:val="20"/>
          <w:u w:val="none"/>
          <w:vertAlign w:val="baseline"/>
        </w:rPr>
        <w:t> [*23779] </w:t>
      </w:r>
      <w:r>
        <w:rPr>
          <w:rFonts w:ascii="arial" w:eastAsia="arial" w:hAnsi="arial" w:cs="arial"/>
          <w:b w:val="0"/>
          <w:i w:val="0"/>
          <w:strike w:val="0"/>
          <w:noProof w:val="0"/>
          <w:color w:val="000000"/>
          <w:position w:val="0"/>
          <w:sz w:val="20"/>
          <w:u w:val="none"/>
          <w:vertAlign w:val="baseline"/>
        </w:rPr>
        <w:t xml:space="preserve"> reached its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project will allocate key project personnel and any consultants and subcontractors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relevant, and useful to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proposed project will establish and maintain an advisory committee consisting of representatives from an SEA and an LEA; representatives from community colleges and four-year IHEs; representatives from vocational rehabilitation agencies; eligible children and students, parents or family members of individuals with blindness, visual impairments, physical disabilities, and print disabilities; and representatives of schools or other institutions where AEM are used. The purpose of this advisory committee is to provide the project with input and ongoing advice on the project's goals, objectives, products, and services. The project must submit the proposed membership of the advisory committee to OSEP for approval within eight weeks after receipt of the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project will communicate and collaborate on an ongoing basis with OSEP-funded projects (see </w:t>
      </w:r>
      <w:hyperlink r:id="rId21" w:history="1">
        <w:r>
          <w:rPr>
            <w:rFonts w:ascii="arial" w:eastAsia="arial" w:hAnsi="arial" w:cs="arial"/>
            <w:b w:val="0"/>
            <w:i/>
            <w:strike w:val="0"/>
            <w:noProof w:val="0"/>
            <w:color w:val="0077CC"/>
            <w:position w:val="0"/>
            <w:sz w:val="20"/>
            <w:u w:val="single"/>
            <w:vertAlign w:val="baseline"/>
          </w:rPr>
          <w:t>www.osepideasthatwork.org/find-center-or-grant/find-a-center</w:t>
        </w:r>
      </w:hyperlink>
      <w:r>
        <w:rPr>
          <w:rFonts w:ascii="arial" w:eastAsia="arial" w:hAnsi="arial" w:cs="arial"/>
          <w:b w:val="0"/>
          <w:i w:val="0"/>
          <w:strike w:val="0"/>
          <w:noProof w:val="0"/>
          <w:color w:val="000000"/>
          <w:position w:val="0"/>
          <w:sz w:val="20"/>
          <w:u w:val="none"/>
          <w:vertAlign w:val="baseline"/>
        </w:rPr>
        <w:t>), including NIMAS-related projects. Activities could include jointly developing products, training sessions, and materials; and improving the AEM delivery system to ensure timely and easy access;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project will maintain ongoing communication with the OSEP project officer through bi-monthly phone conferences, email communication, and face-to-face meetings,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 The primary purpose of this meeting will be to review the Department's grantee requirements, discuss the project's planned activities and budget, and confirm the expectations for the project's performance measures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Two annual two-day trips to attend Department briefings, Department-sponsored conferences, and other meetings, as requested by OSEP, and to meet with the OSEP project officer and other funded projects for the purposes of cross-project collaboration and information exchange;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and approved by the OSEP project officer. With approval from the OSEP project officer, the project must reallocate any remaining funds from this annual set-aside no later than the end of the third quarter of each budget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Maintain a high-quality Web site, with an easy-to-navigate design, that meets government or industry-recognized standards for accessibility;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Include, in Appendix A, an assurance to assist OSEP with the transfer of pertinent resources and products and to maintain the continuity of services to States during the transition to this new award period,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22"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with which, and how well,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Chafee Amendment to the Copyright Law. (1996). </w:t>
      </w:r>
      <w:hyperlink r:id="rId23" w:history="1">
        <w:r>
          <w:rPr>
            <w:rFonts w:ascii="arial" w:eastAsia="arial" w:hAnsi="arial" w:cs="arial"/>
            <w:b w:val="0"/>
            <w:i/>
            <w:strike w:val="0"/>
            <w:noProof w:val="0"/>
            <w:color w:val="0077CC"/>
            <w:position w:val="0"/>
            <w:sz w:val="20"/>
            <w:u w:val="single"/>
            <w:vertAlign w:val="baseline"/>
          </w:rPr>
          <w:t>17 U.S.C. 121</w:t>
        </w:r>
      </w:hyperlink>
      <w:r>
        <w:rPr>
          <w:rFonts w:ascii="arial" w:eastAsia="arial" w:hAnsi="arial" w:cs="arial"/>
          <w:b w:val="0"/>
          <w:i w:val="0"/>
          <w:strike w:val="0"/>
          <w:noProof w:val="0"/>
          <w:color w:val="000000"/>
          <w:position w:val="0"/>
          <w:sz w:val="20"/>
          <w:u w:val="none"/>
          <w:vertAlign w:val="baseline"/>
        </w:rPr>
        <w:t xml:space="preserve"> [1]. Retrieved from </w:t>
      </w:r>
      <w:hyperlink r:id="rId20" w:history="1">
        <w:r>
          <w:rPr>
            <w:rFonts w:ascii="arial" w:eastAsia="arial" w:hAnsi="arial" w:cs="arial"/>
            <w:b w:val="0"/>
            <w:i/>
            <w:strike w:val="0"/>
            <w:noProof w:val="0"/>
            <w:color w:val="0077CC"/>
            <w:position w:val="0"/>
            <w:sz w:val="20"/>
            <w:u w:val="single"/>
            <w:vertAlign w:val="baseline"/>
          </w:rPr>
          <w:t>www.copyright.gov/title17/92chap1.html#121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(2016). IDEA section 618 data products: Static tables (2014-2015). Retrieved from </w:t>
      </w:r>
      <w:hyperlink r:id="rId24" w:history="1">
        <w:r>
          <w:rPr>
            <w:rFonts w:ascii="arial" w:eastAsia="arial" w:hAnsi="arial" w:cs="arial"/>
            <w:b w:val="0"/>
            <w:i/>
            <w:strike w:val="0"/>
            <w:noProof w:val="0"/>
            <w:color w:val="0077CC"/>
            <w:position w:val="0"/>
            <w:sz w:val="20"/>
            <w:u w:val="single"/>
            <w:vertAlign w:val="baseline"/>
          </w:rPr>
          <w:t>http://www2.ed.gov/programs/osepidea/618-data/static-tables/index.html#partb-cc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[*23780]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$ 30,047,000 for the Educational Technology, Media, and Materials for Individuals with Disabilities program for FY 2017, of which we intend to use an estimated $ 8,500,000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$ 8,500,000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25"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the absolute priority,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6"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Page Limit: The application narrative (Part III of the application) is where you, the applicant, address the selection criteria that reviewers use to evaluate your application. We recommend that you (1) limit Part III to no more than 70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recommended page limit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If the Department provides an accommodation or auxiliary aid to an individual with a disability in connection with the application </w:t>
      </w:r>
      <w:r>
        <w:rPr>
          <w:rFonts w:ascii="arial" w:eastAsia="arial" w:hAnsi="arial" w:cs="arial"/>
          <w:b/>
          <w:i w:val="0"/>
          <w:strike w:val="0"/>
          <w:noProof w:val="0"/>
          <w:color w:val="000000"/>
          <w:position w:val="0"/>
          <w:sz w:val="20"/>
          <w:u w:val="none"/>
          <w:vertAlign w:val="baseline"/>
        </w:rPr>
        <w:t> [*23781] </w:t>
      </w:r>
      <w:r>
        <w:rPr>
          <w:rFonts w:ascii="arial" w:eastAsia="arial" w:hAnsi="arial" w:cs="arial"/>
          <w:b w:val="0"/>
          <w:i w:val="0"/>
          <w:strike w:val="0"/>
          <w:noProof w:val="0"/>
          <w:color w:val="000000"/>
          <w:position w:val="0"/>
          <w:sz w:val="20"/>
          <w:u w:val="none"/>
          <w:vertAlign w:val="baseline"/>
        </w:rPr>
        <w:t xml:space="preserve">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9"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Educational Materials in Accessible Formats for Children and Students with Visual Impairments and Print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84.327D,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Educational Materials in Accessible Formats for Children and Students with Visual Impairments and Print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84.327, not 84.327D).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will not receive additional point value because you submit your application in electronic format, nor will we penalize you if you qualify for an exception to the electronic </w:t>
      </w:r>
      <w:r>
        <w:rPr>
          <w:rFonts w:ascii="arial" w:eastAsia="arial" w:hAnsi="arial" w:cs="arial"/>
          <w:b/>
          <w:i w:val="0"/>
          <w:strike w:val="0"/>
          <w:noProof w:val="0"/>
          <w:color w:val="000000"/>
          <w:position w:val="0"/>
          <w:sz w:val="20"/>
          <w:u w:val="none"/>
          <w:vertAlign w:val="baseline"/>
        </w:rPr>
        <w:t> [*23782] </w:t>
      </w:r>
      <w:r>
        <w:rPr>
          <w:rFonts w:ascii="arial" w:eastAsia="arial" w:hAnsi="arial" w:cs="arial"/>
          <w:b w:val="0"/>
          <w:i w:val="0"/>
          <w:strike w:val="0"/>
          <w:noProof w:val="0"/>
          <w:color w:val="000000"/>
          <w:position w:val="0"/>
          <w:sz w:val="20"/>
          <w:u w:val="none"/>
          <w:vertAlign w:val="baseline"/>
        </w:rPr>
        <w:t xml:space="preserve">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Gregory Knollman, U.S. Department of Education, 400 Maryland Avenue SW., Room 5158, Potomac Center Plaza, Washington, DC 20202-5076.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84.327D),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mail receipt that is not dated by the U.S. Postal Service. </w:t>
      </w:r>
      <w:r>
        <w:rPr>
          <w:rFonts w:ascii="arial" w:eastAsia="arial" w:hAnsi="arial" w:cs="arial"/>
          <w:b/>
          <w:i w:val="0"/>
          <w:strike w:val="0"/>
          <w:noProof w:val="0"/>
          <w:color w:val="000000"/>
          <w:position w:val="0"/>
          <w:sz w:val="20"/>
          <w:u w:val="none"/>
          <w:vertAlign w:val="baseline"/>
        </w:rPr>
        <w:t> [*23783]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84.327D),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project design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intended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there is a conceptual framework underlying the proposed research or demonstration activities and the quality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services are of sufficient quality, intensity, and duration to lead to outcomes to be achieved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activities constitute a coherent, sustained program of research and development in the field including, as appropriate, a substantial addition to an ongoing line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proposed project includes a thorough, high-quality plan for project implementation, and the use of appropriate methodological tools to ensure successful achievement of project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extent to which the proposed development efforts include adequate quality controls and, as appropriate, repeated testing of products;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The extent to which the services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products and services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products and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products and/or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products and services to be provided by the proposed project reflect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products and services are of sufficient quality, intensity and duration to lead to the outcomes intended to be achieved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products and services to be provided by the proposed project involve the collaboration of appropriate partners for maximizing the effectiveness of project products and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likely utility of the products and services that will result from the proposed project including their potential for being used effectively in a variety of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evaluation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goals, objectives,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include the use of objective performance measures that are clearly related to the intended outcomes of the project and will produce quantitative and qualitative data to the extent possible;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methods of evaluation will provide timely guidance for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project resources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adequacy of resources, including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key project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director and project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qualifications, including relevant training and experience, of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support, including facilities, equipment, supplies, and other resources, from the applicant organization and key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relevance and demonstrated commitment of each partner in the proposed project to the implementation and success of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extent to which the costs are reasonable in relation to the objectives, design, and potential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adequacy of the management plan to achieve the objectives of the proposed project on time and within </w:t>
      </w:r>
      <w:r>
        <w:rPr>
          <w:rFonts w:ascii="arial" w:eastAsia="arial" w:hAnsi="arial" w:cs="arial"/>
          <w:b/>
          <w:i w:val="0"/>
          <w:strike w:val="0"/>
          <w:noProof w:val="0"/>
          <w:color w:val="000000"/>
          <w:position w:val="0"/>
          <w:sz w:val="20"/>
          <w:u w:val="none"/>
          <w:vertAlign w:val="baseline"/>
        </w:rPr>
        <w:t> [*23784] </w:t>
      </w:r>
      <w:r>
        <w:rPr>
          <w:rFonts w:ascii="arial" w:eastAsia="arial" w:hAnsi="arial" w:cs="arial"/>
          <w:b w:val="0"/>
          <w:i w:val="0"/>
          <w:strike w:val="0"/>
          <w:noProof w:val="0"/>
          <w:color w:val="000000"/>
          <w:position w:val="0"/>
          <w:sz w:val="20"/>
          <w:u w:val="none"/>
          <w:vertAlign w:val="baseline"/>
        </w:rPr>
        <w:t xml:space="preserve">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adequacy of procedures for ensuring feedback and continuous improvement in the operation of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1"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Educational Technology, Media, and Materials for Individuals with Disabilities Program. These measures are included in the application package and focus on the extent to which projects are of high quality, are relevant to improving outcomes of children with disabilities, contribute to improving outcomes for children with disabilities, and generate evidence of validity and availability to appropriate populations.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Grantees will be required to report information on their project's performance in annual performance </w:t>
      </w:r>
      <w:r>
        <w:rPr>
          <w:rFonts w:ascii="arial" w:eastAsia="arial" w:hAnsi="arial" w:cs="arial"/>
          <w:b/>
          <w:i w:val="0"/>
          <w:strike w:val="0"/>
          <w:noProof w:val="0"/>
          <w:color w:val="000000"/>
          <w:position w:val="0"/>
          <w:sz w:val="20"/>
          <w:u w:val="none"/>
          <w:vertAlign w:val="baseline"/>
        </w:rPr>
        <w:t> [*23785] </w:t>
      </w:r>
      <w:r>
        <w:rPr>
          <w:rFonts w:ascii="arial" w:eastAsia="arial" w:hAnsi="arial" w:cs="arial"/>
          <w:b w:val="0"/>
          <w:i w:val="0"/>
          <w:strike w:val="0"/>
          <w:noProof w:val="0"/>
          <w:color w:val="000000"/>
          <w:position w:val="0"/>
          <w:sz w:val="20"/>
          <w:u w:val="none"/>
          <w:vertAlign w:val="baseline"/>
        </w:rPr>
        <w:t xml:space="preserve"> reports and additional performance data to the Department (</w:t>
      </w:r>
      <w:hyperlink r:id="rId47"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75.591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22"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19,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2017-10664 Filed 5-23-17;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6,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Gregory Knollman, U.S. Department of Education, 400 Maryland Avenue SW., Room 5076, Potomac Center Plaza, Washington, DC 20202-5108. Telephone: (202) 245-6425.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23776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s://advance.lexis.com/api/document?collection=administrative-codes&amp;id=urn:contentItem:5R5H-J1H0-008H-043J-00000-00&amp;context=" TargetMode="External" /><Relationship Id="rId12" Type="http://schemas.openxmlformats.org/officeDocument/2006/relationships/hyperlink" Target="https://advance.lexis.com/api/document?collection=administrative-codes&amp;id=urn:contentItem:5PS0-YKR0-008H-029J-00000-00&amp;context=" TargetMode="External" /><Relationship Id="rId13" Type="http://schemas.openxmlformats.org/officeDocument/2006/relationships/hyperlink" Target="http://www.w3.org/WAI/intro/wcag" TargetMode="External" /><Relationship Id="rId14" Type="http://schemas.openxmlformats.org/officeDocument/2006/relationships/hyperlink" Target="http://www.idpf.org/epub/a11y/techniques/techniques.html" TargetMode="External" /><Relationship Id="rId15" Type="http://schemas.openxmlformats.org/officeDocument/2006/relationships/hyperlink" Target="http://www.bookshare.org" TargetMode="External" /><Relationship Id="rId16" Type="http://schemas.openxmlformats.org/officeDocument/2006/relationships/hyperlink" Target="https://advance.lexis.com/api/document?collection=administrative-codes&amp;id=urn:contentItem:5S7T-7HV0-008H-03HM-00000-00&amp;context=" TargetMode="External" /><Relationship Id="rId17" Type="http://schemas.openxmlformats.org/officeDocument/2006/relationships/hyperlink" Target="http://www.osepideasthatwork.org/logicModel" TargetMode="External" /><Relationship Id="rId18" Type="http://schemas.openxmlformats.org/officeDocument/2006/relationships/hyperlink" Target="http://www.osepideasthatwork.org/resources-grantees/program-areas/ta-ta/tad-project-logic-model-and-conceptual-framework" TargetMode="External" /><Relationship Id="rId19" Type="http://schemas.openxmlformats.org/officeDocument/2006/relationships/hyperlink" Target="http://www.nimac.us/" TargetMode="External" /><Relationship Id="rId2" Type="http://schemas.openxmlformats.org/officeDocument/2006/relationships/webSettings" Target="webSettings.xml" /><Relationship Id="rId20" Type="http://schemas.openxmlformats.org/officeDocument/2006/relationships/hyperlink" Target="http://www.copyright.gov/title17/92chap1.html#121" TargetMode="External" /><Relationship Id="rId21" Type="http://schemas.openxmlformats.org/officeDocument/2006/relationships/hyperlink" Target="http://www.osepideasthatwork.org/find-center-or-grant/find-a-center" TargetMode="External" /><Relationship Id="rId22" Type="http://schemas.openxmlformats.org/officeDocument/2006/relationships/hyperlink" Target="https://advance.lexis.com/api/document?collection=administrative-codes&amp;id=urn:contentItem:5GMB-DPB0-008H-02K8-00000-00&amp;context=" TargetMode="External" /><Relationship Id="rId23" Type="http://schemas.openxmlformats.org/officeDocument/2006/relationships/hyperlink" Target="https://advance.lexis.com/api/document?collection=statutes-legislation&amp;id=urn:contentItem:4YF7-GVN1-NRF4-441S-00000-00&amp;context=" TargetMode="External" /><Relationship Id="rId24" Type="http://schemas.openxmlformats.org/officeDocument/2006/relationships/hyperlink" Target="http://www2.ed.gov/programs/osepidea/618-data/static-tables/index.html#partb-cc" TargetMode="External" /><Relationship Id="rId25" Type="http://schemas.openxmlformats.org/officeDocument/2006/relationships/hyperlink" Target="https://advance.lexis.com/api/document?collection=administrative-codes&amp;id=urn:contentItem:5GMB-DPC0-008H-02SJ-00000-00&amp;context=" TargetMode="External" /><Relationship Id="rId26" Type="http://schemas.openxmlformats.org/officeDocument/2006/relationships/hyperlink" Target="http://www.ed.gov/fund/grant/apply/grantapps/index.html" TargetMode="External" /><Relationship Id="rId27" Type="http://schemas.openxmlformats.org/officeDocument/2006/relationships/hyperlink" Target="http://www.EDPubs.gov" TargetMode="External" /><Relationship Id="rId28" Type="http://schemas.openxmlformats.org/officeDocument/2006/relationships/hyperlink" Target="mailto:edpubs@inet.ed.gov" TargetMode="External" /><Relationship Id="rId29" Type="http://schemas.openxmlformats.org/officeDocument/2006/relationships/hyperlink" Target="http://fedgov.dnb.com/webform" TargetMode="External" /><Relationship Id="rId3" Type="http://schemas.openxmlformats.org/officeDocument/2006/relationships/fontTable" Target="fontTable.xml" /><Relationship Id="rId30" Type="http://schemas.openxmlformats.org/officeDocument/2006/relationships/hyperlink" Target="http://www.SAM.gov" TargetMode="External" /><Relationship Id="rId31" Type="http://schemas.openxmlformats.org/officeDocument/2006/relationships/hyperlink" Target="http://www.grants.gov/web/grants/register.html" TargetMode="External" /><Relationship Id="rId32" Type="http://schemas.openxmlformats.org/officeDocument/2006/relationships/hyperlink" Target="http://www.Grants.gov" TargetMode="External" /><Relationship Id="rId33" Type="http://schemas.openxmlformats.org/officeDocument/2006/relationships/hyperlink" Target="http://www.G5.gov" TargetMode="External" /><Relationship Id="rId34" Type="http://schemas.openxmlformats.org/officeDocument/2006/relationships/hyperlink" Target="http://www.grants.gov/web/grants/applicants/apply-for-grants.html" TargetMode="External" /><Relationship Id="rId35" Type="http://schemas.openxmlformats.org/officeDocument/2006/relationships/hyperlink" Target="https://advance.lexis.com/api/document?collection=administrative-codes&amp;id=urn:contentItem:5GMB-DPB0-008H-02GP-00000-00&amp;context=" TargetMode="External" /><Relationship Id="rId36" Type="http://schemas.openxmlformats.org/officeDocument/2006/relationships/hyperlink" Target="https://advance.lexis.com/api/document?collection=administrative-codes&amp;id=urn:contentItem:5KS0-F5W0-008H-023P-00000-00&amp;context=" TargetMode="External" /><Relationship Id="rId37" Type="http://schemas.openxmlformats.org/officeDocument/2006/relationships/hyperlink" Target="https://advance.lexis.com/api/document?collection=administrative-codes&amp;id=urn:contentItem:5R5H-J1H0-008H-043K-00000-00&amp;context=" TargetMode="External" /><Relationship Id="rId38" Type="http://schemas.openxmlformats.org/officeDocument/2006/relationships/hyperlink" Target="https://advance.lexis.com/api/document?collection=administrative-codes&amp;id=urn:contentItem:5KS0-F5W0-008H-024V-00000-00&amp;context=" TargetMode="External" /><Relationship Id="rId39" Type="http://schemas.openxmlformats.org/officeDocument/2006/relationships/hyperlink" Target="https://advance.lexis.com/api/document?collection=administrative-codes&amp;id=urn:contentItem:5KS0-F600-008H-02P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5B-00000-00&amp;context=" TargetMode="External" /><Relationship Id="rId41" Type="http://schemas.openxmlformats.org/officeDocument/2006/relationships/hyperlink" Target="https://advance.lexis.com/api/document?collection=administrative-codes&amp;id=urn:contentItem:5HDM-DHF0-008G-Y2NJ-00000-00&amp;context=" TargetMode="External" /><Relationship Id="rId42" Type="http://schemas.openxmlformats.org/officeDocument/2006/relationships/hyperlink" Target="https://advance.lexis.com/api/document?collection=administrative-codes&amp;id=urn:contentItem:5F34-Y1R0-008G-Y1F9-00000-00&amp;context=" TargetMode="External" /><Relationship Id="rId43" Type="http://schemas.openxmlformats.org/officeDocument/2006/relationships/hyperlink" Target="https://advance.lexis.com/api/document?collection=administrative-codes&amp;id=urn:contentItem:5F2R-48P0-008G-Y31V-00000-00&amp;context=" TargetMode="External" /><Relationship Id="rId44" Type="http://schemas.openxmlformats.org/officeDocument/2006/relationships/hyperlink" Target="https://advance.lexis.com/api/document?collection=administrative-codes&amp;id=urn:contentItem:5GMB-DPC0-008H-02S7-00000-00&amp;context=" TargetMode="External" /><Relationship Id="rId45" Type="http://schemas.openxmlformats.org/officeDocument/2006/relationships/hyperlink" Target="https://advance.lexis.com/api/document?collection=administrative-codes&amp;id=urn:contentItem:5GMB-DPC0-008H-02SK-00000-00&amp;context=" TargetMode="External" /><Relationship Id="rId46" Type="http://schemas.openxmlformats.org/officeDocument/2006/relationships/hyperlink" Target="http://www.ed.gov/fund/grant/apply/appforms/appforms.html" TargetMode="External" /><Relationship Id="rId47" Type="http://schemas.openxmlformats.org/officeDocument/2006/relationships/hyperlink" Target="https://advance.lexis.com/api/document?collection=administrative-codes&amp;id=urn:contentItem:5GMB-DPB0-008H-027J-00000-00&amp;context=" TargetMode="External" /><Relationship Id="rId48" Type="http://schemas.openxmlformats.org/officeDocument/2006/relationships/hyperlink" Target="https://advance.lexis.com/api/document?collection=administrative-codes&amp;id=urn:contentItem:5GMB-DPB0-008H-027K-00000-00&amp;context=" TargetMode="External" /><Relationship Id="rId49" Type="http://schemas.openxmlformats.org/officeDocument/2006/relationships/hyperlink" Target="http://www.gpo.gov/fdsys" TargetMode="External" /><Relationship Id="rId5" Type="http://schemas.openxmlformats.org/officeDocument/2006/relationships/footer" Target="footer1.xml" /><Relationship Id="rId50" Type="http://schemas.openxmlformats.org/officeDocument/2006/relationships/hyperlink" Target="http://www.federalregister.gov"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M8-KJ20-006W-84W1-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TC1-NRF4-41G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5076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