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23791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099, Wednesday, May 24,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23791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24,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Educational Technology, Media, and Materials for Individuals With Disabilities--Research and Development Center on Developing Software To Adapt and Customize Instruction in Digital Learning Environments To Improve Results for Children With Disabilities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Educational Technology, Media, and Materials for Individuals with Disabilities--Research and Development Center on Developing Software to Adapt and Customize Instruction in Digital Learning Environments to Improve Results for Children with Disabilities, Catalog of Federal Domestic Assistance (CFDA) number 84.327A.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the Educational Technology, Media, and Materials for Individuals with Disabilities Program are to: (1) Improve results for students with disabilities by promoting the development, demonstration, and use of technology; (2) support educational activities designed to be of educational value in the classroom for students with disabilities; (3) provide support for captioning and video description that is appropriate for use in the classroom; and (4) provide accessible educational materials to students with disabilities in a timely manner.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674(b)(2)and 681(d) of the Individuals with Disabilities Education Act (IDEA) (</w:t>
      </w:r>
      <w:hyperlink r:id="rId9" w:history="1">
        <w:r>
          <w:rPr>
            <w:rFonts w:ascii="arial" w:eastAsia="arial" w:hAnsi="arial" w:cs="arial"/>
            <w:b w:val="0"/>
            <w:i/>
            <w:strike w:val="0"/>
            <w:noProof w:val="0"/>
            <w:color w:val="0077CC"/>
            <w:position w:val="0"/>
            <w:sz w:val="20"/>
            <w:u w:val="single"/>
            <w:vertAlign w:val="baseline"/>
          </w:rPr>
          <w:t>20 U.S.C. 1474(b)(2)</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Research and Development Center on Developing Software To Adapt and Customize Instruction in Digital Learning Environments To Improve Results for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priority is to fund a cooperative agreement to establish and operate a research and development center that will develop software designed to adapt and customize digital materials for children with disabilities, whether or not delivered online (Center). The software should enable teachers to differentiate instruction to meet the diverse needs of children with disabilities. In this way, the software </w:t>
      </w:r>
      <w:r>
        <w:rPr>
          <w:rFonts w:ascii="arial" w:eastAsia="arial" w:hAnsi="arial" w:cs="arial"/>
          <w:b/>
          <w:i w:val="0"/>
          <w:strike w:val="0"/>
          <w:noProof w:val="0"/>
          <w:color w:val="000000"/>
          <w:position w:val="0"/>
          <w:sz w:val="20"/>
          <w:u w:val="none"/>
          <w:vertAlign w:val="baseline"/>
        </w:rPr>
        <w:t> [*23792] </w:t>
      </w:r>
      <w:r>
        <w:rPr>
          <w:rFonts w:ascii="arial" w:eastAsia="arial" w:hAnsi="arial" w:cs="arial"/>
          <w:b w:val="0"/>
          <w:i w:val="0"/>
          <w:strike w:val="0"/>
          <w:noProof w:val="0"/>
          <w:color w:val="000000"/>
          <w:position w:val="0"/>
          <w:sz w:val="20"/>
          <w:u w:val="none"/>
          <w:vertAlign w:val="baseline"/>
        </w:rPr>
        <w:t xml:space="preserve"> will: (a) Enable educators, children with disabilities, and their parents to select settings and preferences that provide access and customize instructional materials to meet their individual needs in digital or online instruction; and (b) self-adjust so that material is presented at appropriate instructional levels based upon an individual child's input. n1 When possible, the software should be embedded during production of the digital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example, the software could provide user preferences and controls that automatically adapt instructional material to use an equivalent or alternative resource, such as text passages at different Lexile levels or mathematical equations with whole numbers between 1-10 instead of fractions or decimals. These adaptations would maintain the same learning objectives but present material in a mode that is both accessible to the student and personalized to his or her needs. In addition, the applicant may work with a publisher or distributor of existing online programs (curricula) with learning progression management by which the order of presentation to the student changes based upon the student's responses, such as advancing when a certain level of mastery is achieved or moving to additional instruction or practice if the response is inaccurate, etc. This combination of adaptations would maximize the level of customization and personalization for the student.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requires the provision of specially designed instruction to children with disabilities, regardless of the manner in which the instruction is delivered (traditional classroom setting, online, hybrid setting) (</w:t>
      </w:r>
      <w:hyperlink r:id="rId11" w:history="1">
        <w:r>
          <w:rPr>
            <w:rFonts w:ascii="arial" w:eastAsia="arial" w:hAnsi="arial" w:cs="arial"/>
            <w:b w:val="0"/>
            <w:i/>
            <w:strike w:val="0"/>
            <w:noProof w:val="0"/>
            <w:color w:val="0077CC"/>
            <w:position w:val="0"/>
            <w:sz w:val="20"/>
            <w:u w:val="single"/>
            <w:vertAlign w:val="baseline"/>
          </w:rPr>
          <w:t>34 CFR 300.39(a)(1)</w:t>
        </w:r>
      </w:hyperlink>
      <w:r>
        <w:rPr>
          <w:rFonts w:ascii="arial" w:eastAsia="arial" w:hAnsi="arial" w:cs="arial"/>
          <w:b w:val="0"/>
          <w:i w:val="0"/>
          <w:strike w:val="0"/>
          <w:noProof w:val="0"/>
          <w:color w:val="000000"/>
          <w:position w:val="0"/>
          <w:sz w:val="20"/>
          <w:u w:val="none"/>
          <w:vertAlign w:val="baseline"/>
        </w:rPr>
        <w:t xml:space="preserve">). Under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means adapting, as appropriate to meet the needs of an eligible child, the content, methodology, or delivery of instruction to address the unique needs of the child that result from the child's disability and to ensure access of the child to the general curriculum (</w:t>
      </w:r>
      <w:hyperlink r:id="rId11" w:history="1">
        <w:r>
          <w:rPr>
            <w:rFonts w:ascii="arial" w:eastAsia="arial" w:hAnsi="arial" w:cs="arial"/>
            <w:b w:val="0"/>
            <w:i/>
            <w:strike w:val="0"/>
            <w:noProof w:val="0"/>
            <w:color w:val="0077CC"/>
            <w:position w:val="0"/>
            <w:sz w:val="20"/>
            <w:u w:val="single"/>
            <w:vertAlign w:val="baseline"/>
          </w:rPr>
          <w:t>34 CFR 300.39(b)(3)</w:t>
        </w:r>
      </w:hyperlink>
      <w:r>
        <w:rPr>
          <w:rFonts w:ascii="arial" w:eastAsia="arial" w:hAnsi="arial" w:cs="arial"/>
          <w:b w:val="0"/>
          <w:i w:val="0"/>
          <w:strike w:val="0"/>
          <w:noProof w:val="0"/>
          <w:color w:val="000000"/>
          <w:position w:val="0"/>
          <w:sz w:val="20"/>
          <w:u w:val="none"/>
          <w:vertAlign w:val="baseline"/>
        </w:rPr>
        <w:t>). However, environments that use digital or online instruction or resources may not be specially designed for students with disabilities (Westat,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population of students needing specially designed instruction is significant. Recent estimates suggest that, in the 2013-14 school year, more than 2.7 million K-12 students, with and without disabilities, were participating in some type of online learning (Westat, 2016), and approximately 315,000 K-12 students were enrolled in statewide, fully online schools (Evergreen Education Group, 2014). Estimates indicate that more than 75 percent of districts offered at least some instruction online in the 2013-2014 school year (whether fully online or blended) (Evergreen Education Group, 2013). Due to the way data are reported, it is difficult to determine the number of students with disabilities participating in online environments. However, it is possible that the percentage is similar to that of students with disabilities physically in schools (nearly 13 percent), although estimates vary widely (National Center for Education Statistics, 2016; Westat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spite of the wide use of digital and online materials in instruction nationwide, there are still challenges to ensuring that (a) digital instructional material is fully accessible to children with disabilities, and (b) educators have the ability to effectively differentiate instruction to meet the individual needs of those children. Educators often incorrectly assume that if instructional material is digital, it is accessible, adaptable, and customizable to meet those children's individual needs; however, that is not necessarily the case. Even though digital materials may provide some access to instructional content, they may not adapt or allow for the customization necessary to ensure that unique needs of children with disabilities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existing technologies can make instructional materials accessible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text to speech, captioning and highlighting features, embedded videos, digital storybooks, image description, font and size choices), and some of these digital resources provide access to content and help to differentiate instruction for children who are engaged through digital or online platforms; however many obstacles still remain. These include challenges with implementing the supports and services specified in their individualized education programs (IEPs). For example, while font and color options may be readily available in most applications, there are few options to reduce the complexity of language. In addition, accessibility features may not be compatible across all operating systems and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barriers, educators, caregivers, parents, and children may struggle to find the appropriate features in a timely manner and could spend extended periods of time attempting to modify digital materials at the expense of instructional time. In addition, the inclusion of digital materials in instruction is a relatively new practice, and inconsistencies exist in the selection of accessibility features included in the production process. Finally, some of the technology necessary for successful differentiated instruction is in its infancy. Software that has the capability to adjust in complexity based on the child's input is not yet widely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digital learning materials could be more fully and individually customized and adapted across all learning environments, then children with disabilities would have more and better access to the general education curriculum. As such, the Office of Special Education Programs (OSEP) proposes a research center to develop the necessary software to improve results for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establish and operate a Research and Development Center on Developing Software to Adapt and Customize Instruction in Digital Learning Environments to Improve Results for Children with Disabilities. Under this priority, the Center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Determine the most effective digital products that are currently available to support differentiated instruction for children with disabilities in digital and online learning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Determine, for each of these products, the key design components that maximize the ability of educators, caregivers, parents, and children to adapt and customize digital content and to differentiate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 and deliver software that meets current industry standards and guidelines for accessibility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WCAG 2.0, EPUB Accessibility 1.0) n2 and includes accessible options that can be embedded into existing learning materials and into new digital learning materials during their development. Options must allow educators, caregivers, parents, and children to customize the instructional material and the software must automatically adjust complexity and delivery based on the child's input;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additional information on WCAG 2.0, please refer to </w:t>
      </w:r>
      <w:hyperlink r:id="rId12" w:history="1">
        <w:r>
          <w:rPr>
            <w:rFonts w:ascii="arial" w:eastAsia="arial" w:hAnsi="arial" w:cs="arial"/>
            <w:b w:val="0"/>
            <w:i/>
            <w:strike w:val="0"/>
            <w:noProof w:val="0"/>
            <w:color w:val="0077CC"/>
            <w:position w:val="0"/>
            <w:sz w:val="20"/>
            <w:u w:val="single"/>
            <w:vertAlign w:val="baseline"/>
          </w:rPr>
          <w:t>https://www.w3.org/WAI/intro/wcag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additional information on EPUB Accessibility 1.0, please refer to </w:t>
      </w:r>
      <w:hyperlink r:id="rId13" w:history="1">
        <w:r>
          <w:rPr>
            <w:rFonts w:ascii="arial" w:eastAsia="arial" w:hAnsi="arial" w:cs="arial"/>
            <w:b w:val="0"/>
            <w:i/>
            <w:strike w:val="0"/>
            <w:noProof w:val="0"/>
            <w:color w:val="0077CC"/>
            <w:position w:val="0"/>
            <w:sz w:val="20"/>
            <w:u w:val="single"/>
            <w:vertAlign w:val="baseline"/>
          </w:rPr>
          <w:t>www.idpf.org/epub/a11y/techniques/techniques.html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Ensure that the product is both an Open Educational Resource (OER) n3 and licensed through an open access licensing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Open Educational Resources (OER) are teaching and learning materials that you may freely use and reuse at no cost. Unlike fixed, copyrighted resources, OER have been authored or created by an individual or organization that chooses to retain few, if any, ownership rights. Retrieved from </w:t>
      </w:r>
      <w:hyperlink r:id="rId14" w:history="1">
        <w:r>
          <w:rPr>
            <w:rFonts w:ascii="arial" w:eastAsia="arial" w:hAnsi="arial" w:cs="arial"/>
            <w:b w:val="0"/>
            <w:i/>
            <w:strike w:val="0"/>
            <w:noProof w:val="0"/>
            <w:color w:val="0077CC"/>
            <w:position w:val="0"/>
            <w:sz w:val="20"/>
            <w:u w:val="single"/>
            <w:vertAlign w:val="baseline"/>
          </w:rPr>
          <w:t>www.oercommons.org/about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Identify legal issues surrounding accessible education materials that may impede the use of the product with digital products or platforms and determine ways to ensure access for all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Develop measures to evaluate the potential usefulness and fit of the selected accessibility components to be included in the development and production of the software; and </w:t>
      </w:r>
      <w:r>
        <w:rPr>
          <w:rFonts w:ascii="arial" w:eastAsia="arial" w:hAnsi="arial" w:cs="arial"/>
          <w:b/>
          <w:i w:val="0"/>
          <w:strike w:val="0"/>
          <w:noProof w:val="0"/>
          <w:color w:val="000000"/>
          <w:position w:val="0"/>
          <w:sz w:val="20"/>
          <w:u w:val="none"/>
          <w:vertAlign w:val="baseline"/>
        </w:rPr>
        <w:t> [*23793]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Maximize the efficiency of the product, by reducing the cost of including it in the production of materials (including added costs and time to re-design workflow to create the accessible materials) and ensuring optimal ease of use by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which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Address the need for adaptive software that includes a range of accessible options that allow the end user to customize the instructional material and self-adjust based on the child's input. To meet this requirement, the applicant must present information on what digital materials are currently available to educators, caregivers, parents, and children that offer specially designed instruction to meet the unique needs of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Improve outcomes for children with disabilities by enhancing their ability to access instruction that meets their State's college- and career-ready standards through differentiated and customized digital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Design,"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that the software developed meets the needs of publishers, distributors, developers, and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Achieve measurable outcomes. To meet this requirement, the applicant must develop a logic model that depicts, at a minimum, the goals, activities, outputs, and outcomes of the proposed projects. A logic model used in connection with this priority communicates how a project will achieve its intended outcomes and provides a framework for both the formative and summative evaluations of the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Rather than use the definition of "logic model" in section 77.1(c) of EDGAR, OSEP uses the definition in paragraph (b)(2) of these application requirements. This definition, unlike the definition in </w:t>
      </w:r>
      <w:hyperlink r:id="rId1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differentiates between logic models and conceptual frameworks. The following Web sites provide more information on logic models: </w:t>
      </w:r>
      <w:hyperlink r:id="rId16"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an iterative process of field testing in the development of the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Improve the capabilities of the software by describing the key components of the software that maximize the ability to adapt and customize content and to differentiate or individualize instruction in digital or online environments for children with disabilities and the specifications necessary for the software to be embedded during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 based on current research and technologies used to develop accessible education materials and support differentiation of instruction.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align to current industry standards and technical specifications in the development of the software;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the proposed project will work with publishers to ensure that the software can be embedded into the digital materials during initial development or retrofitting of existing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Meet current accessibility standards to achieve the intended outcomes of the proposed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it proposes to identify and develop the knowledge base on designing fully accessible and customizable digital and online instructional materials;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it proposes to ensure that the software will appropriately tagged metadata. This metadata should allow for the evaluation of accessibility and adaptation within online and digital learning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Develop a computer adaptable software product that is readily available to teachers, instructors, students, and parents; can be embedded during production; meets accessibility standards; and facilitates instruction that meets the unique needs of children with disabilities.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develop software that makes instructional material accessible based on the setting selected by the educator, caregiver, parent, or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the proposed project will develop and adaptable software product that facilitates differentiated instruction by adjusting in complexity based on the child's input;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include plans for continued improvement and scale up its work to ensure the software is available to the widest range of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Ensure effective communication and collaboration between project staff, stakeholders, and OSEP, including other OSEP-funded projects.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Describe how the project will communicate and collaborate on an ongoing basis with other OSEP-funded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Describe how the project will collaborate with publishers, Accessible Media Producers, technology developers, vendors, distributors, and others with expertise in accessible education materials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Describe how the project will communicate using a wide variety of media methods (presentations, publication, conference attendance, demonstrations) to reach a broad range of technology developers, publishers and end users, including educators, children with disabilities, and parents of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as described in the following paragraphs. The evaluation plan must describe: Measures of progress in implementation, including the criteria for determining the extent to which the project's research and product development have reached its target population; measures of intended outcomes or results of the project's activities in order to evaluate those activities; and how well the goals or objectives of the proposed project, as described in its logic model,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provide an assurance that, in designing the evaluation plan,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Designate, with the approval of the OSEP project officer, a project liaison staff person with sufficient dedicated time, experience in evaluation, and knowledge of the project to work in collaboration with the Center to Improve Program and Project Performance (CIP3), n4 the project director, and the OSEP project officer on the following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major tasks of CIP3 are to guide, coordinate, and oversee the design of formative evaluations for every large discretionary investment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awarded $ 500,000 or more per year and required to participate in the 3+2 process) in OSEP's Technical Assistance and Dissemination; Personnel Development; Parent Training and Information Centers; and Educational Technology, Media, and Materials programs. The efforts of CIP3 are expected to enhance individual project evaluation plans by providing expert and unbiased technical assistance in designing the evaluations with due consideration of the project's budget. CIP3 does not function as a third-party evaluator.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Revise, as needed, the logic model submitted in the grant application to </w:t>
      </w:r>
      <w:r>
        <w:rPr>
          <w:rFonts w:ascii="arial" w:eastAsia="arial" w:hAnsi="arial" w:cs="arial"/>
          <w:b/>
          <w:i w:val="0"/>
          <w:strike w:val="0"/>
          <w:noProof w:val="0"/>
          <w:color w:val="000000"/>
          <w:position w:val="0"/>
          <w:sz w:val="20"/>
          <w:u w:val="none"/>
          <w:vertAlign w:val="baseline"/>
        </w:rPr>
        <w:t> [*23794] </w:t>
      </w:r>
      <w:r>
        <w:rPr>
          <w:rFonts w:ascii="arial" w:eastAsia="arial" w:hAnsi="arial" w:cs="arial"/>
          <w:b w:val="0"/>
          <w:i w:val="0"/>
          <w:strike w:val="0"/>
          <w:noProof w:val="0"/>
          <w:color w:val="000000"/>
          <w:position w:val="0"/>
          <w:sz w:val="20"/>
          <w:u w:val="none"/>
          <w:vertAlign w:val="baseline"/>
        </w:rPr>
        <w:t xml:space="preserve"> provide a more comprehensive measurement of implementation and outcomes and to reflect any changes or clarifications to the model discussed at the kick-off meeting and throughout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Refine the evaluation design and instrumentation proposed in the grant application consistent with the logic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prepare evaluation questions about significant program processes and outcomes; develop quantitative or qualitative data collections that permit both the collection of progress data, including fidelity of implementation, as appropriate, and the usefulness of the software, designing instruments or identifying data sources, and identifying analytic strategies);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Revise, as needed, the evaluation plan submitted in the grant application such that it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Specifies the measures and associated instruments or sources for data appropriate to the evaluation questions, suggests analytic strategies for those data, provides a timeline for conducting the evaluation, and includes staff assignments for completion of the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Can be used to assist the project director and the OSEP project officer, with the assistance of CIP3, as needed, to specify the performance measures to be addressed in the project's Annual Performance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Cooperate with CIP3 staff in order to accomplish the tasks described in paragraph (1) of this section;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Dedicate sufficient funds in each budget year to cover the costs of carrying out the tasks described in paragraphs (1) and (2) of this section and implementing the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n5 and experience to carry out the proposed development of the software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This software may require extensive engineering expertise, such as computer-aided software engineering, which includes the domain of software tools used to design and implement applications, especially when embedding automated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accessibility tools, content adaptation tools) within information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online curriculum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clearly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 including an iterative process of field testing and redesigning the software throughout the five-year grant cycle to include adding more accessible features and functions to increase the capability of the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Allocation of key project personnel and any consultants and subcontractors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research and software development are of high quality, relevant, and useful to recipients;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 the software's development and design, including those of developers; technical designers; publishers; distributors; vendors; standards consortia members; families, including those who have children with disabilities; educators, including those who serve children with disabilities; researchers; and policy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proposed project will establish and maintain a technical review board. The technical review board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Consist of no fewer than five members representing the full range of diverse stakeholders, including at least one representative from each of the following five specific groups: Technology developers; publishers; end users, including educators of children with disabilities; persons with disabilities; and parents of children with disabilities. Board members should be identified and approved by OSEP no later than six weeks from the award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Meet at least twice per year during the project period with the project director, relevant project staff, and the OSEP project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Evaluate current technologies, standards, and guidelines that are used and applied in the production and use of educational materials to ensure that the material is accessible to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Evaluate current applications, materials, and programs that support and ensure access to educational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personnel-loading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one-half day project directors' conference in Washington, DC, during each year of the project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Two annual two-day trips to attend Department briefings, Department-sponsored conferences, and other meetings, as requested by OSEP;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 line item for an annual set-aside of five percent of the grant amount to support emerging needs that are consistent with the proposed project's intended outcomes, as those needs are identified in consultation with and approved by the OSEP project officer. With approval from the OSEP project officer, the project must reallocate any remaining funds from this annual set-aside no later than the end of the third quarter of each budget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Maintain a high-quality Web site, with an easy-to-navigate design, that meets government or industry-recognized standards for accessibility.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Evergreen Education Group. (2014). Keeping pace with K-12 digital learning 2014: An annual review of policy and practice. Retrieved from </w:t>
      </w:r>
      <w:hyperlink r:id="rId18" w:history="1">
        <w:r>
          <w:rPr>
            <w:rFonts w:ascii="arial" w:eastAsia="arial" w:hAnsi="arial" w:cs="arial"/>
            <w:b w:val="0"/>
            <w:i/>
            <w:strike w:val="0"/>
            <w:noProof w:val="0"/>
            <w:color w:val="0077CC"/>
            <w:position w:val="0"/>
            <w:sz w:val="20"/>
            <w:u w:val="single"/>
            <w:vertAlign w:val="baseline"/>
          </w:rPr>
          <w:t>http://www.kpk12.com/wp-content/uploads/EEG_KP2014-fnl-</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[*23795] </w:t>
      </w:r>
      <w:r>
        <w:rPr>
          <w:rFonts w:ascii="arial" w:eastAsia="arial" w:hAnsi="arial" w:cs="arial"/>
          <w:b w:val="0"/>
          <w:i/>
          <w:strike w:val="0"/>
          <w:noProof w:val="0"/>
          <w:color w:val="000000"/>
          <w:position w:val="0"/>
          <w:sz w:val="20"/>
          <w:u w:val="none"/>
          <w:vertAlign w:val="baseline"/>
        </w:rPr>
        <w:t xml:space="preserve"> lr.pdf.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Evergreen Education Group. (2013). Keeping pace with K-12 digital learning 2013: An annual review of policy and practice. Retrieved from </w:t>
      </w:r>
      <w:hyperlink r:id="rId19" w:history="1">
        <w:r>
          <w:rPr>
            <w:rFonts w:ascii="arial" w:eastAsia="arial" w:hAnsi="arial" w:cs="arial"/>
            <w:b w:val="0"/>
            <w:i/>
            <w:strike w:val="0"/>
            <w:noProof w:val="0"/>
            <w:color w:val="0077CC"/>
            <w:position w:val="0"/>
            <w:sz w:val="20"/>
            <w:u w:val="single"/>
            <w:vertAlign w:val="baseline"/>
          </w:rPr>
          <w:t>http://www.kpk12.com/wp-content/uploads/EEG_KP2013-lr.pdf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Center for Education Statistics. (2016). Students with disabilities. Retrieved from </w:t>
      </w:r>
      <w:hyperlink r:id="rId20" w:history="1">
        <w:r>
          <w:rPr>
            <w:rFonts w:ascii="arial" w:eastAsia="arial" w:hAnsi="arial" w:cs="arial"/>
            <w:b w:val="0"/>
            <w:i/>
            <w:strike w:val="0"/>
            <w:noProof w:val="0"/>
            <w:color w:val="0077CC"/>
            <w:position w:val="0"/>
            <w:sz w:val="20"/>
            <w:u w:val="single"/>
            <w:vertAlign w:val="baseline"/>
          </w:rPr>
          <w:t>https://nces.ed.gov/fastfacts/display.asp?id=64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Westat. 2016. Online learning and IDEA educational environments: Determining educational environments for students with disabilities. Retrieved from </w:t>
      </w:r>
      <w:hyperlink r:id="rId21" w:history="1">
        <w:r>
          <w:rPr>
            <w:rFonts w:ascii="arial" w:eastAsia="arial" w:hAnsi="arial" w:cs="arial"/>
            <w:b w:val="0"/>
            <w:i/>
            <w:strike w:val="0"/>
            <w:noProof w:val="0"/>
            <w:color w:val="0077CC"/>
            <w:position w:val="0"/>
            <w:sz w:val="20"/>
            <w:u w:val="single"/>
            <w:vertAlign w:val="baseline"/>
          </w:rPr>
          <w:t>https://ideadata.org/files/resources/581e7a0a140ba0f0248b4585/5852ca01150ba09f4e8b4576/online-learning-idea-educational-environ/2016/12/15/online-learning-idea-educational-environ.pdf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1474</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Further Continuing and Security Assistance Appropriations Act, 2017, would provide, on an annualized basis, $ 30,047,000 for the Educational Technology, Media, and Materials for Individuals with Disabilities program, of which we would use an estimated $ 1,000,000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$ 1,000,000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educational agencies (SEAs); local educational agencies (LEAs), including public charter schools that are considered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22"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IHEs and private nonprofit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must, with respect to the aspects of their proposed project relating to the absolute priority,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3"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4"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5"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 (1) limit Part III to no more than 70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recommended page limit does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24, 2017. </w:t>
      </w:r>
      <w:r>
        <w:rPr>
          <w:rFonts w:ascii="arial" w:eastAsia="arial" w:hAnsi="arial" w:cs="arial"/>
          <w:b/>
          <w:i w:val="0"/>
          <w:strike w:val="0"/>
          <w:noProof w:val="0"/>
          <w:color w:val="000000"/>
          <w:position w:val="0"/>
          <w:sz w:val="20"/>
          <w:u w:val="none"/>
          <w:vertAlign w:val="baseline"/>
        </w:rPr>
        <w:t> [*23796]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6"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Research and Development Center on Developing Software to Adapt and Customize Instruction in Digital Learning Environments to Improve Results for Children with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84.327A,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Research and Development Center on Developing Software to Adapt and Customize Instruction in Digital Learning Environments to Improve Results for Children with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84.327, not 84.327A).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w:t>
      </w:r>
      <w:r>
        <w:rPr>
          <w:rFonts w:ascii="arial" w:eastAsia="arial" w:hAnsi="arial" w:cs="arial"/>
          <w:b/>
          <w:i w:val="0"/>
          <w:strike w:val="0"/>
          <w:noProof w:val="0"/>
          <w:color w:val="000000"/>
          <w:position w:val="0"/>
          <w:sz w:val="20"/>
          <w:u w:val="none"/>
          <w:vertAlign w:val="baseline"/>
        </w:rPr>
        <w:t> [*23797] </w:t>
      </w:r>
      <w:r>
        <w:rPr>
          <w:rFonts w:ascii="arial" w:eastAsia="arial" w:hAnsi="arial" w:cs="arial"/>
          <w:b w:val="0"/>
          <w:i w:val="0"/>
          <w:strike w:val="0"/>
          <w:noProof w:val="0"/>
          <w:color w:val="000000"/>
          <w:position w:val="0"/>
          <w:sz w:val="20"/>
          <w:u w:val="none"/>
          <w:vertAlign w:val="baseline"/>
        </w:rPr>
        <w:t xml:space="preserve">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1"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Tara Courchaine, U.S. Department of Education, 400 Maryland Avenue SW., Room 5143, Potomac Center Plaza, Washington, DC 20202-TBD.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w:t>
      </w:r>
      <w:r>
        <w:rPr>
          <w:rFonts w:ascii="arial" w:eastAsia="arial" w:hAnsi="arial" w:cs="arial"/>
          <w:b/>
          <w:i w:val="0"/>
          <w:strike w:val="0"/>
          <w:noProof w:val="0"/>
          <w:color w:val="000000"/>
          <w:position w:val="0"/>
          <w:sz w:val="20"/>
          <w:u w:val="none"/>
          <w:vertAlign w:val="baseline"/>
        </w:rPr>
        <w:t> [*23798] </w:t>
      </w:r>
      <w:r>
        <w:rPr>
          <w:rFonts w:ascii="arial" w:eastAsia="arial" w:hAnsi="arial" w:cs="arial"/>
          <w:b w:val="0"/>
          <w:i w:val="0"/>
          <w:strike w:val="0"/>
          <w:noProof w:val="0"/>
          <w:color w:val="000000"/>
          <w:position w:val="0"/>
          <w:sz w:val="20"/>
          <w:u w:val="none"/>
          <w:vertAlign w:val="baseline"/>
        </w:rPr>
        <w:t xml:space="preserve"> must mail the original and two copies of your application, on or before the application deadline date, to the Department at the following address: U.S. Department of Education, Application Control Center, Attention: (CFDA Number 84.327A),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84.327A),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potential contribution of the proposed project to increasing the knowledge or understanding of problems issues or effective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likely utility of the product (such as information, materials, processes, or techniques) that will result from the proposed project, including the potential for it being used effectively in a variety of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results of the proposed project are disseminated in ways that will enable others to use the information or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design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services to be provided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there are (1) a logic model that depicts, at a minimum, the project's proposed goals, activities, outputs, and outcomes; and (2) a conceptual framework underlying the proposed activities and the quality of that model and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services to be provided by the proposed project reflect up-to-date knowledge and understanding of current research and development in the field; are highly relevant and useful to educators, children, and parents; and are delivered in a timely, cost-efficient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proposed project includes a thorough, high-quality plan for project implementation, and the use of appropriate tools to ensure successful achievement of project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to which the proposed development efforts include adequate quality controls, and as appropriate, repeated testing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extent to which the services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evaluation plan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evaluation to be conducted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data and performance feedback for examining the effectiveness of project implementation strategies and the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will produce quantitative and qualitative data that provide continuous performance feedback and demonstrate that the project has met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methods of evaluation will provide timely guidance for quality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project resources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adequacy of resources, including the personnel who will carry out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adequacy of resources,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including relevant training and experience, of key project personnel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 director, project and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qualifications, including relevant training and experience of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adequacy of support, including facilities, equipment, supplies, and other resources, from the applicant organization and key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management plan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management plan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adequacy of the management plan to achieve the objectives of the </w:t>
      </w:r>
      <w:r>
        <w:rPr>
          <w:rFonts w:ascii="arial" w:eastAsia="arial" w:hAnsi="arial" w:cs="arial"/>
          <w:b/>
          <w:i w:val="0"/>
          <w:strike w:val="0"/>
          <w:noProof w:val="0"/>
          <w:color w:val="000000"/>
          <w:position w:val="0"/>
          <w:sz w:val="20"/>
          <w:u w:val="none"/>
          <w:vertAlign w:val="baseline"/>
        </w:rPr>
        <w:t> [*23799] </w:t>
      </w:r>
      <w:r>
        <w:rPr>
          <w:rFonts w:ascii="arial" w:eastAsia="arial" w:hAnsi="arial" w:cs="arial"/>
          <w:b w:val="0"/>
          <w:i w:val="0"/>
          <w:strike w:val="0"/>
          <w:noProof w:val="0"/>
          <w:color w:val="000000"/>
          <w:position w:val="0"/>
          <w:sz w:val="20"/>
          <w:u w:val="none"/>
          <w:vertAlign w:val="baseline"/>
        </w:rPr>
        <w:t xml:space="preserv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time commitments of the project director, project staff, and project consultants or subcontractors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adequacy of mechanisms for ensuring high-quality products and services from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2"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3"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8"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9"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8"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0"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1"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2"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3"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Department has established a set of performance measures, including long-term measures, that are designed to yield information on various aspects of the effectiveness and quality of the Educational Technology, Media, and Materials for Individuals with Disabilities Program. These measures are included in the application package and focus on the extent to which projects are of high quality, are relevant to improving outcomes of children with disabilities, contribute to improving outcomes for children with disabilities, and generate evidence of validity and availability to appropriate populations.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Grantees will be required to report information on their project's performance in annual performance reports and additional performance data </w:t>
      </w:r>
      <w:r>
        <w:rPr>
          <w:rFonts w:ascii="arial" w:eastAsia="arial" w:hAnsi="arial" w:cs="arial"/>
          <w:b/>
          <w:i w:val="0"/>
          <w:strike w:val="0"/>
          <w:noProof w:val="0"/>
          <w:color w:val="000000"/>
          <w:position w:val="0"/>
          <w:sz w:val="20"/>
          <w:u w:val="none"/>
          <w:vertAlign w:val="baseline"/>
        </w:rPr>
        <w:t> [*23800] </w:t>
      </w:r>
      <w:r>
        <w:rPr>
          <w:rFonts w:ascii="arial" w:eastAsia="arial" w:hAnsi="arial" w:cs="arial"/>
          <w:b w:val="0"/>
          <w:i w:val="0"/>
          <w:strike w:val="0"/>
          <w:noProof w:val="0"/>
          <w:color w:val="000000"/>
          <w:position w:val="0"/>
          <w:sz w:val="20"/>
          <w:u w:val="none"/>
          <w:vertAlign w:val="baseline"/>
        </w:rPr>
        <w:t xml:space="preserve"> to the Department (</w:t>
      </w:r>
      <w:hyperlink r:id="rId44"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75.591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6"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3"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7"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8"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19,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Special Education Programs, 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2017-10663 Filed 5-23-17;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24,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6,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Tara Courchaine, U.S. Department of Education, 400 Maryland Avenue SW., Room 5143, Potomac Center Plaza, Washington, DC 20202-2500. Telephone: (202) 245-6462.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23791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PC-00000-00&amp;context=" TargetMode="External" /><Relationship Id="rId11" Type="http://schemas.openxmlformats.org/officeDocument/2006/relationships/hyperlink" Target="https://advance.lexis.com/api/document?collection=administrative-codes&amp;id=urn:contentItem:5R5H-J1N0-008H-04TC-00000-00&amp;context=" TargetMode="External" /><Relationship Id="rId12" Type="http://schemas.openxmlformats.org/officeDocument/2006/relationships/hyperlink" Target="https://www.w3.org/WAI/intro/wcag" TargetMode="External" /><Relationship Id="rId13" Type="http://schemas.openxmlformats.org/officeDocument/2006/relationships/hyperlink" Target="http://www.idpf.org/epub/a11y/techniques/techniques.html" TargetMode="External" /><Relationship Id="rId14" Type="http://schemas.openxmlformats.org/officeDocument/2006/relationships/hyperlink" Target="http://www.oercommons.org/about" TargetMode="External" /><Relationship Id="rId15" Type="http://schemas.openxmlformats.org/officeDocument/2006/relationships/hyperlink" Target="https://advance.lexis.com/api/document?collection=administrative-codes&amp;id=urn:contentItem:5S7T-7HV0-008H-03HM-00000-00&amp;context=" TargetMode="External" /><Relationship Id="rId16" Type="http://schemas.openxmlformats.org/officeDocument/2006/relationships/hyperlink" Target="http://www.osepideasthatwork.org/logicModel" TargetMode="External" /><Relationship Id="rId17" Type="http://schemas.openxmlformats.org/officeDocument/2006/relationships/hyperlink" Target="http://www.osepideasthatwork.org/resources-grantees/program-areas/ta-ta/tad-project-logic-model-and-conceptual-framework" TargetMode="External" /><Relationship Id="rId18" Type="http://schemas.openxmlformats.org/officeDocument/2006/relationships/hyperlink" Target="http://www.kpk12.com/wp-content/uploads/EEG_KP2014-fnl-" TargetMode="External" /><Relationship Id="rId19" Type="http://schemas.openxmlformats.org/officeDocument/2006/relationships/hyperlink" Target="http://www.kpk12.com/wp-content/uploads/EEG_KP2013-lr.pdf" TargetMode="External" /><Relationship Id="rId2" Type="http://schemas.openxmlformats.org/officeDocument/2006/relationships/webSettings" Target="webSettings.xml" /><Relationship Id="rId20" Type="http://schemas.openxmlformats.org/officeDocument/2006/relationships/hyperlink" Target="https://nces.ed.gov/fastfacts/display.asp?id=64" TargetMode="External" /><Relationship Id="rId21" Type="http://schemas.openxmlformats.org/officeDocument/2006/relationships/hyperlink" Target="https://ideadata.org/files/resources/581e7a0a140ba0f0248b4585/5852ca01150ba09f4e8b4576/online-learning-idea-educational-environ/2016/12/15/online-learning-idea-educational-environ.pdf" TargetMode="External" /><Relationship Id="rId22" Type="http://schemas.openxmlformats.org/officeDocument/2006/relationships/hyperlink" Target="https://advance.lexis.com/api/document?collection=administrative-codes&amp;id=urn:contentItem:5GMB-DPC0-008H-02SJ-00000-00&amp;context=" TargetMode="External" /><Relationship Id="rId23" Type="http://schemas.openxmlformats.org/officeDocument/2006/relationships/hyperlink" Target="http://www.ed.gov/fund/grant/apply/grantapps/index.html" TargetMode="External" /><Relationship Id="rId24" Type="http://schemas.openxmlformats.org/officeDocument/2006/relationships/hyperlink" Target="http://www.EDPubs.gov" TargetMode="External" /><Relationship Id="rId25" Type="http://schemas.openxmlformats.org/officeDocument/2006/relationships/hyperlink" Target="mailto:edpubs@inet.ed.gov" TargetMode="External" /><Relationship Id="rId26" Type="http://schemas.openxmlformats.org/officeDocument/2006/relationships/hyperlink" Target="http://fedgov.dnb.com/webform" TargetMode="External" /><Relationship Id="rId27" Type="http://schemas.openxmlformats.org/officeDocument/2006/relationships/hyperlink" Target="http://www.SAM.gov" TargetMode="External" /><Relationship Id="rId28" Type="http://schemas.openxmlformats.org/officeDocument/2006/relationships/hyperlink" Target="http://www.grants.gov/web/grants/register.html" TargetMode="External" /><Relationship Id="rId29" Type="http://schemas.openxmlformats.org/officeDocument/2006/relationships/hyperlink" Target="http://www.Grants.gov" TargetMode="External" /><Relationship Id="rId3" Type="http://schemas.openxmlformats.org/officeDocument/2006/relationships/fontTable" Target="fontTable.xml" /><Relationship Id="rId30" Type="http://schemas.openxmlformats.org/officeDocument/2006/relationships/hyperlink" Target="http://www.G5.gov" TargetMode="External" /><Relationship Id="rId31" Type="http://schemas.openxmlformats.org/officeDocument/2006/relationships/hyperlink" Target="http://www.grants.gov/web/grants/applicants/apply-for-grants.html" TargetMode="External" /><Relationship Id="rId32" Type="http://schemas.openxmlformats.org/officeDocument/2006/relationships/hyperlink" Target="https://advance.lexis.com/api/document?collection=administrative-codes&amp;id=urn:contentItem:5GMB-DPB0-008H-02GP-00000-00&amp;context=" TargetMode="External" /><Relationship Id="rId33" Type="http://schemas.openxmlformats.org/officeDocument/2006/relationships/hyperlink" Target="https://advance.lexis.com/api/document?collection=administrative-codes&amp;id=urn:contentItem:5KS0-F5W0-008H-023P-00000-00&amp;context=" TargetMode="External" /><Relationship Id="rId34" Type="http://schemas.openxmlformats.org/officeDocument/2006/relationships/hyperlink" Target="https://advance.lexis.com/api/document?collection=administrative-codes&amp;id=urn:contentItem:5R5H-J1H0-008H-043K-00000-00&amp;context=" TargetMode="External" /><Relationship Id="rId35" Type="http://schemas.openxmlformats.org/officeDocument/2006/relationships/hyperlink" Target="https://advance.lexis.com/api/document?collection=administrative-codes&amp;id=urn:contentItem:5KS0-F5W0-008H-024V-00000-00&amp;context=" TargetMode="External" /><Relationship Id="rId36" Type="http://schemas.openxmlformats.org/officeDocument/2006/relationships/hyperlink" Target="https://advance.lexis.com/api/document?collection=administrative-codes&amp;id=urn:contentItem:5KS0-F600-008H-02PT-00000-00&amp;context=" TargetMode="External" /><Relationship Id="rId37" Type="http://schemas.openxmlformats.org/officeDocument/2006/relationships/hyperlink" Target="https://advance.lexis.com/api/document?collection=administrative-codes&amp;id=urn:contentItem:5KS0-F5W0-008H-025B-00000-00&amp;context=" TargetMode="External" /><Relationship Id="rId38" Type="http://schemas.openxmlformats.org/officeDocument/2006/relationships/hyperlink" Target="https://advance.lexis.com/api/document?collection=administrative-codes&amp;id=urn:contentItem:5HDM-DHF0-008G-Y2NJ-00000-00&amp;context=" TargetMode="External" /><Relationship Id="rId39" Type="http://schemas.openxmlformats.org/officeDocument/2006/relationships/hyperlink" Target="https://advance.lexis.com/api/document?collection=administrative-codes&amp;id=urn:contentItem:5F34-Y1R0-008G-Y1F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F2R-48P0-008G-Y31V-00000-00&amp;context=" TargetMode="External" /><Relationship Id="rId41" Type="http://schemas.openxmlformats.org/officeDocument/2006/relationships/hyperlink" Target="https://advance.lexis.com/api/document?collection=administrative-codes&amp;id=urn:contentItem:5GMB-DPC0-008H-02S7-00000-00&amp;context=" TargetMode="External" /><Relationship Id="rId42" Type="http://schemas.openxmlformats.org/officeDocument/2006/relationships/hyperlink" Target="https://advance.lexis.com/api/document?collection=administrative-codes&amp;id=urn:contentItem:5GMB-DPC0-008H-02SK-00000-00&amp;context=" TargetMode="External" /><Relationship Id="rId43" Type="http://schemas.openxmlformats.org/officeDocument/2006/relationships/hyperlink" Target="http://www.ed.gov/fund/grant/apply/appforms/appforms.html" TargetMode="External" /><Relationship Id="rId44" Type="http://schemas.openxmlformats.org/officeDocument/2006/relationships/hyperlink" Target="https://advance.lexis.com/api/document?collection=administrative-codes&amp;id=urn:contentItem:5GMB-DPB0-008H-027J-00000-00&amp;context=" TargetMode="External" /><Relationship Id="rId45" Type="http://schemas.openxmlformats.org/officeDocument/2006/relationships/hyperlink" Target="https://advance.lexis.com/api/document?collection=administrative-codes&amp;id=urn:contentItem:5GMB-DPB0-008H-027K-00000-00&amp;context=" TargetMode="External" /><Relationship Id="rId46" Type="http://schemas.openxmlformats.org/officeDocument/2006/relationships/hyperlink" Target="https://advance.lexis.com/api/document?collection=administrative-codes&amp;id=urn:contentItem:5GMB-DPB0-008H-02K8-00000-00&amp;context=" TargetMode="External" /><Relationship Id="rId47" Type="http://schemas.openxmlformats.org/officeDocument/2006/relationships/hyperlink" Target="http://www.gpo.gov/fdsys" TargetMode="External" /><Relationship Id="rId48" Type="http://schemas.openxmlformats.org/officeDocument/2006/relationships/hyperlink" Target="http://www.federalregister.gov" TargetMode="External" /><Relationship Id="rId49" Type="http://schemas.openxmlformats.org/officeDocument/2006/relationships/numbering" Target="numbering.xml" /><Relationship Id="rId5" Type="http://schemas.openxmlformats.org/officeDocument/2006/relationships/footer" Target="footer1.xml" /><Relationship Id="rId50"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M8-KJ20-006W-84W3-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TC1-NRF4-41G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23791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71570011</vt:lpwstr>
  </property>
  <property fmtid="{D5CDD505-2E9C-101B-9397-08002B2CF9AE}" pid="3" name="LADocCount">
    <vt:lpwstr>1</vt:lpwstr>
  </property>
  <property fmtid="{D5CDD505-2E9C-101B-9397-08002B2CF9AE}" pid="4" name="UserPermID">
    <vt:lpwstr>urn:user:PA185916758</vt:lpwstr>
  </property>
</Properties>
</file>