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25389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104, Thursday, June 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25389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Bats BZX Exchange, Inc.; Notice of Filing and Immediate Effectiveness of a Proposed Rule Change To Amend the Market Data Section of Its Fee Schedule To Adopt Fees for a New Market Data Product Called the ETF Implied Liquidity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34-80772; File No. SR-BatsBZX-2017-36]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May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May 17, 2017, Bats BZX Exchange, Inc. (the "Exchange" or "BZX") filed with the Securities and Exchange Commission (the "Commission") the proposed rule change as described in Items I, II, and III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the Market Data section of its fee schedule to adopt fees for a new market data product called the ETF Implied Liquidity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www.bats.com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Market Data section of its fee schedule to adopt fees for a new market data product called the ETF Implied Liquidity Feed. The ETF Implied Liquidity feed is an optional data feed that would provide the Exchange's proprietary calculation of the implied liquidity and the aggregate best bid and offer ("BBO") of all displayed orders on the Exchange and its affiliated exchanges n5 for all standard, non-leveraged U.S. equity Exchange Traded Funds ("ETFs") n6 traded on the System. n7 An ETF's implied liquidity disseminated via the proposed feed would consist of the ETF's implied BBO (including the implied size) calculated via a proprietary methodology based on the national best bid and offer ("NBBO"), the number of shares of securities underlying one creation unit of the ETF, and the estimated cash included in one creation unit of the ETF. The Exchange intends to begin to offer the ETF Implied Liquidity Feed on June 1, 2017.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Exchange's affiliates are Bats EDGA Exchange, Inc., ("EDGA"), Bats EDGX Exchange, Inc. ("EDGX"), and Bats BYX Exchange, Inc. ("BYX") ("collectively, the "Bats Exchanges").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securities underlying each of the U.S. equity ETFs included in the proposed feed must be considered NMS Securities as defined under Rule 600(b)(46)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hyperlink r:id="rId11" w:history="1">
        <w:r>
          <w:rPr>
            <w:rFonts w:ascii="arial" w:eastAsia="arial" w:hAnsi="arial" w:cs="arial"/>
            <w:b w:val="0"/>
            <w:i/>
            <w:strike w:val="0"/>
            <w:noProof w:val="0"/>
            <w:color w:val="0077CC"/>
            <w:position w:val="0"/>
            <w:sz w:val="20"/>
            <w:u w:val="single"/>
            <w:vertAlign w:val="baseline"/>
          </w:rPr>
          <w:t>17 CFR 242.600(b)(46)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80580 (May 3, 2017) (SR-BatsBZX-2017-25) (Notice of Filing and Immediate Effectiveness of a Proposed Rule Change to Amend Rule 11.22, Data Products, to Adopt a New Market Data Product Known as the ETF Implied Liquidity Feed) (filed April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Bats to Introduce ETF Implied Liquidity Feed Effective June 1, 2017,</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http://cdn.batstrading.com/resources/market_data/2017/Bats-to-Introduce-ETF-Implied-Liquidity-Feed-Effective-June-1-2017.pdf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[*25390]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now proposes to amend its fee schedule to adopt fees for the ETF Implied Liquidity Feed. The proposed fees include the following, each of which are described in detail below: (i) Distribution Fees for both Internal and External Distributors; n9 (ii) Usage Fees for both Professional n10 and Non-Professional n11 Users; and (iii) a Data Consolidation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 "Distributor" is defined as "any entity that receives the Exchange Market Data product directly from the Exchange or indirectly through another entity and then distributes it internally or externally to a third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"Internal Distributor" is defined as "a Distributor that receives the Exchange Market Data product and then distributes that data to one or more Users within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"External Distributor" is defined as "a Distributor that receives the Exchange Market Data product and then distributes that data to a third party or one or more Users outside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"Professional User" is defined as "any User other than a Non-Professional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http://www.bats.com/us/equities/membership/fee_schedule/bzx/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"Non-Professional User" is defined as "a natural person who is not: (i) Registered or qualified in any capacity with the Commission, the Commodity Futures Trading Commission, any state securities agency, any securities exchange or association, or any commodities or futures contract market or association; (ii) engaged as an "investment adviser" as that term is defined in Section 202(a)(11)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Fees.</w:t>
      </w:r>
      <w:r>
        <w:rPr>
          <w:rFonts w:ascii="arial" w:eastAsia="arial" w:hAnsi="arial" w:cs="arial"/>
          <w:b w:val="0"/>
          <w:i w:val="0"/>
          <w:strike w:val="0"/>
          <w:noProof w:val="0"/>
          <w:color w:val="000000"/>
          <w:position w:val="0"/>
          <w:sz w:val="20"/>
          <w:u w:val="none"/>
          <w:vertAlign w:val="baseline"/>
        </w:rPr>
        <w:t xml:space="preserve"> As proposed, each Internal and External Distributor that receives the ETF Implied Liquidity Feed shall pay a fee of $ 5,000 per month. n12 The Exchange proposes to waive certain fees for Distributors that also receive the Bats One Feed. n13 The ETF Implied Liquidity Feed and the Bats One Feed are similar in that both include the aggregate BBO for all displayed orders on the Bats Exchanges. The key difference here is that the ETF Implied Liquidity Feed also contains the Exchange's proprietary calculation of the ETF's implied liquidity. As such, the Exchange believes it is reasonable to waive certain charges for those Distributors that receive both products. First, the Exchange proposes to waive the Distributor fee for External Distributors of the ETF Implied Liquidity Feed where that External Distributor also receives and is charged the External Distributor fee for the Bats One Feed. The Exchange notes that the proposed External Distribution fee for the ETF Implied Liquidity Feed of $ 5,000 per month equals that charged for Bats One Summary. The External Distribution fee for Bats One Premium is higher at $ 12,500 per month. Second, the Exchange proposes to waive the related Logical Port fee of $ 550 per port per month for both Internal and External Distributors of the ETF Implied Liquidity Feed where they also receive and are charged a Logical Port fee for the Bats One Feed. Distributors would continue to pay the Logical Port fee to receive the Bats One Feed. Lastly, as described below, the Exchange proposes to waive the Data Consolidation fee for External Distributors of the ETF Implied Liquidity Feed where that External Distributor also receives and is charged the Data Consolidation fee for the Bats One Feed. The Exchange believes waiving the above fees would avoid overlapping charges for Distributors that also receive the Bats One Feed, as both feeds include the aggregated BBO of the Bats Exchanges as a core part of their offering. These Distributors would continue to pay these fees for receipt of the Bats One Feed and are liable for the User fees to be charged for the ETF Implied Liquidity Feed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 Distributor that acts as both an Internal Distributor and an External Distributor of the ETF Implied Liquidity Feed will be subject to both the Internal Distribution Fee and the External Distribution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Bats One Feed is a data feed that disseminates, on a real-time basis, the aggregate BBO for securities traded on each of the Bats Exchanges. The Bats One Feed also contains the individual last sale information for the Bats Exchanges (collectively with the aggregate BBO, the "Bats One Summary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11.22(j).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 No. 2 and Order Granting Accelerated Approval to Proposed Rule Changes, as Modified by Amendments Nos. 1 and 2, to Establish a New Market Data Product called the Bats One Feed) ("Bats One Approval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External Distributors that redistribute the ETF Implied Liquidity Feed different fees for their Professional Users and Non-Professional Users. The Exchange will assess a monthly fee for Professional Users of $ 25.00 per User. Non-Professional Users will be assessed a monthly fee of $ 1.00 per User. The Exchange does not propose to charge per User fees to Internal Distributors that receive the ETF Implied Liquidity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Distributors that receive the ETF Implied Liquidity Feed will be required to count every Professional User and Non-Professional User to which they provide the ETF Implied Liquidity Feed, the requirements for which are identical to that currently in place for other market data products offered by the Exchange. n14 Thus, the External Distributor's count will include every person and device that accesses the data regardless of the purpose for which the individual or device uses the data. External Distributors must report all Professional and Non-Professional Users in accordance with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14"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(proposing fees for the Bats One Feed); 75406 (July 9, 2015), </w:t>
      </w:r>
      <w:hyperlink r:id="rId15" w:history="1">
        <w:r>
          <w:rPr>
            <w:rFonts w:ascii="arial" w:eastAsia="arial" w:hAnsi="arial" w:cs="arial"/>
            <w:b w:val="0"/>
            <w:i/>
            <w:strike w:val="0"/>
            <w:noProof w:val="0"/>
            <w:color w:val="0077CC"/>
            <w:position w:val="0"/>
            <w:sz w:val="20"/>
            <w:u w:val="single"/>
            <w:vertAlign w:val="baseline"/>
          </w:rPr>
          <w:t>80 FR 41522</w:t>
        </w:r>
      </w:hyperlink>
      <w:r>
        <w:rPr>
          <w:rFonts w:ascii="arial" w:eastAsia="arial" w:hAnsi="arial" w:cs="arial"/>
          <w:b w:val="0"/>
          <w:i w:val="0"/>
          <w:strike w:val="0"/>
          <w:noProof w:val="0"/>
          <w:color w:val="000000"/>
          <w:position w:val="0"/>
          <w:sz w:val="20"/>
          <w:u w:val="none"/>
          <w:vertAlign w:val="baseline"/>
        </w:rPr>
        <w:t xml:space="preserve"> (July 15, 2015) (SR-BATS-2015-48) (proposing user fees for the BZX Top and Last Sale data feeds); 75785 (August 28, 2015), </w:t>
      </w:r>
      <w:hyperlink r:id="rId16" w:history="1">
        <w:r>
          <w:rPr>
            <w:rFonts w:ascii="arial" w:eastAsia="arial" w:hAnsi="arial" w:cs="arial"/>
            <w:b w:val="0"/>
            <w:i/>
            <w:strike w:val="0"/>
            <w:noProof w:val="0"/>
            <w:color w:val="0077CC"/>
            <w:position w:val="0"/>
            <w:sz w:val="20"/>
            <w:u w:val="single"/>
            <w:vertAlign w:val="baseline"/>
          </w:rPr>
          <w:t>80 FR 53360</w:t>
        </w:r>
      </w:hyperlink>
      <w:r>
        <w:rPr>
          <w:rFonts w:ascii="arial" w:eastAsia="arial" w:hAnsi="arial" w:cs="arial"/>
          <w:b w:val="0"/>
          <w:i w:val="0"/>
          <w:strike w:val="0"/>
          <w:noProof w:val="0"/>
          <w:color w:val="000000"/>
          <w:position w:val="0"/>
          <w:sz w:val="20"/>
          <w:u w:val="none"/>
          <w:vertAlign w:val="baseline"/>
        </w:rPr>
        <w:t xml:space="preserve"> (September 3, 2015) (SR-BATS-2015-64) (proposing fees for BZX Book Viewer);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79636 (December 21, 2016), </w:t>
      </w:r>
      <w:hyperlink r:id="rId17" w:history="1">
        <w:r>
          <w:rPr>
            <w:rFonts w:ascii="arial" w:eastAsia="arial" w:hAnsi="arial" w:cs="arial"/>
            <w:b w:val="0"/>
            <w:i/>
            <w:strike w:val="0"/>
            <w:noProof w:val="0"/>
            <w:color w:val="0077CC"/>
            <w:position w:val="0"/>
            <w:sz w:val="20"/>
            <w:u w:val="single"/>
            <w:vertAlign w:val="baseline"/>
          </w:rPr>
          <w:t>81 FR 95693</w:t>
        </w:r>
      </w:hyperlink>
      <w:r>
        <w:rPr>
          <w:rFonts w:ascii="arial" w:eastAsia="arial" w:hAnsi="arial" w:cs="arial"/>
          <w:b w:val="0"/>
          <w:i w:val="0"/>
          <w:strike w:val="0"/>
          <w:noProof w:val="0"/>
          <w:color w:val="000000"/>
          <w:position w:val="0"/>
          <w:sz w:val="20"/>
          <w:u w:val="none"/>
          <w:vertAlign w:val="baseline"/>
        </w:rPr>
        <w:t xml:space="preserve"> (December 28, 2016) (SR-BatsBZX-2016-87) (proposing fees for BZX Summary Depth).</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the ETF Implied Liquidity Feed, the External Distributor must count as one User each unique User that the External Distributor has entitled to have access to the ETF Implied Liquidity Feed. However, where a device is dedicated specifically to a single individual, the External Distributor must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must identify and report each unique User. If a User uses the same unique method to gain access to the ETF Implied Liquidity Feed, the External Distributor must count that as one User. However, if a unique User uses multiple methods to gain access to the ETF Implied Liquidity Feed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must report each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must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Distributor must include only the individuals, and not the device, in the 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Consolidation Fee.</w:t>
      </w:r>
      <w:r>
        <w:rPr>
          <w:rFonts w:ascii="arial" w:eastAsia="arial" w:hAnsi="arial" w:cs="arial"/>
          <w:b w:val="0"/>
          <w:i w:val="0"/>
          <w:strike w:val="0"/>
          <w:noProof w:val="0"/>
          <w:color w:val="000000"/>
          <w:position w:val="0"/>
          <w:sz w:val="20"/>
          <w:u w:val="none"/>
          <w:vertAlign w:val="baseline"/>
        </w:rPr>
        <w:t xml:space="preserve"> The Exchange also proposes to charge External Distributors of the ETF Implied Liquidity Feed a separate Data Consolidation Fee of $ 500 per month, which reflects the value of the aggregation and consolidation function the Exchange performs in creating the portion of the feed that includes the aggregated BBO of all displayed orders on the Exchange and its affiliated exchanges. The Exchange would provide the aggregate BBO disseminated via the Bats One Feed as part of the ETF </w:t>
      </w:r>
      <w:r>
        <w:rPr>
          <w:rFonts w:ascii="arial" w:eastAsia="arial" w:hAnsi="arial" w:cs="arial"/>
          <w:b/>
          <w:i w:val="0"/>
          <w:strike w:val="0"/>
          <w:noProof w:val="0"/>
          <w:color w:val="000000"/>
          <w:position w:val="0"/>
          <w:sz w:val="20"/>
          <w:u w:val="none"/>
          <w:vertAlign w:val="baseline"/>
        </w:rPr>
        <w:t> [*25391] </w:t>
      </w:r>
      <w:r>
        <w:rPr>
          <w:rFonts w:ascii="arial" w:eastAsia="arial" w:hAnsi="arial" w:cs="arial"/>
          <w:b w:val="0"/>
          <w:i w:val="0"/>
          <w:strike w:val="0"/>
          <w:noProof w:val="0"/>
          <w:color w:val="000000"/>
          <w:position w:val="0"/>
          <w:sz w:val="20"/>
          <w:u w:val="none"/>
          <w:vertAlign w:val="baseline"/>
        </w:rPr>
        <w:t xml:space="preserve"> Implied Liquidity feed. n15 The Exchange creates the Bats One Feed, including the aggregated BBO of the Bats Exchanges, by aggregating data derived from the EDGX Depth, EDGA Depth, BYX Depth, and BZX Depth. n16 The Exchange proposes to waive the Data Consolidation fee for External Distributors of the ETF Implied Liquidity Feed where that External Distributor also receives and is charged the Data Consolidation fee for the Bats One Feed. As stated above, the Exchange believes waiving this fee would avoid overlapping charges for Distributors that also receive the Bats One Feed, as both feeds include the aggregated BBO of the Bats Exchanges. In such case, the External Distributor is being charged a $ 1,000 Data Consolidation fee for the Bats One Feed, which covers the consolidation function already being performed by the Exchange in constructing the aggregated BBO for the Bats Exchanges. The Exchange, therefore, believes it is reasonable to not charge External Distributors an additional Data Consolidation fee for the same aggregation function performed for the Bats One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One Approval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EDGA Rule 13.8, EDGX Rule 13.8, BZX Rule 11.22(a) and (c), and BYX Rule 11.22 (a) and (c) for a description of the depth of book feeds offered by each of the Bats Exchanges. Rather than these depth-of-book feeds, the Exchange notes that a vendor seeking to build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proposed ETF Implied Liquidity feed could simply utilize the top-of-book data feeds from each of the Bats Exchange's to create an aggregated 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intends to implement the proposed fees on June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n17 in general, and furthers the objectives of Section 6(b)(4), n18 in particular, as it is designed to provide for the equitable allocation of reasonable dues, fees and other charges among its members and other recipients of Exchange data. The Exchange believes that the proposed rates are equitable and non-discriminatory in that they apply uniformly to all recipients of Exchange data.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8"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8"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Section 11(A) of the Act n19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n20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9"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0"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who subscribe to the ETF Implied Liquidity Feed will be subject to the proposed fees. The ETF Implied Liquidity Feed would be distributed and purchased on a voluntary basis, in that neither the Exchange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Firms have a wide variety of alternative market data products from which to choose, such as similar proprietary data products offered by other exchanges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the ETF Implied Liquidity Feed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For example, the ETF Implied Liquidity Feed provides investors with alternative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similar market data product currently offered by other exchanges. n21 If another exchange (or its affiliate) were to charge less to distribute its similar product than the Exchange charges to create the ETF Implied Liquidity Feed, prospective Users likely would not subscribe to, or would cease subscribing to the ETF Implied Liquidity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Stock Market LLC's ("Nasdaq") Global Index Data Service ("GIDS")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http://business.nasdaq.com/intel/indexes/index-data/index.html#!/tcm:5044-12151</w:t>
        </w:r>
      </w:hyperlink>
      <w:r>
        <w:rPr>
          <w:rFonts w:ascii="arial" w:eastAsia="arial" w:hAnsi="arial" w:cs="arial"/>
          <w:b w:val="0"/>
          <w:i w:val="0"/>
          <w:strike w:val="0"/>
          <w:noProof w:val="0"/>
          <w:color w:val="000000"/>
          <w:position w:val="0"/>
          <w:sz w:val="20"/>
          <w:u w:val="none"/>
          <w:vertAlign w:val="baseline"/>
        </w:rPr>
        <w:t xml:space="preserve"> (providing on a real-time basis intraday portfolio values, daily valuation information, such as NAV per Share, estimated cash per Share, estimated cash per creation unit, total cash per creation unit and total shares outstanding of the fund and ETF directory messages designed to provide the symbols of the ETF valuations).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footnote 28 of Securities Exchange Act Release No. 77714 (April 26, 2016), </w:t>
      </w:r>
      <w:r>
        <w:rPr>
          <w:rFonts w:ascii="arial" w:eastAsia="arial" w:hAnsi="arial" w:cs="arial"/>
          <w:b w:val="0"/>
          <w:i/>
          <w:strike w:val="0"/>
          <w:noProof w:val="0"/>
          <w:color w:val="000000"/>
          <w:position w:val="0"/>
          <w:sz w:val="20"/>
          <w:u w:val="none"/>
          <w:vertAlign w:val="baseline"/>
        </w:rPr>
        <w:t>81 FR 26281</w:t>
      </w:r>
      <w:r>
        <w:rPr>
          <w:rFonts w:ascii="arial" w:eastAsia="arial" w:hAnsi="arial" w:cs="arial"/>
          <w:b w:val="0"/>
          <w:i w:val="0"/>
          <w:strike w:val="0"/>
          <w:noProof w:val="0"/>
          <w:color w:val="000000"/>
          <w:position w:val="0"/>
          <w:sz w:val="20"/>
          <w:u w:val="none"/>
          <w:vertAlign w:val="baseline"/>
        </w:rPr>
        <w:t xml:space="preserve"> (May 2, 2016) (describing Nasdaq's GIDS within the order approving SR-Nasdaq-2016-028).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29 of Securities Exchange Act Release No. 78592 (August 16, 2016), </w:t>
      </w:r>
      <w:hyperlink r:id="rId22" w:history="1">
        <w:r>
          <w:rPr>
            <w:rFonts w:ascii="arial" w:eastAsia="arial" w:hAnsi="arial" w:cs="arial"/>
            <w:b w:val="0"/>
            <w:i/>
            <w:strike w:val="0"/>
            <w:noProof w:val="0"/>
            <w:color w:val="0077CC"/>
            <w:position w:val="0"/>
            <w:sz w:val="20"/>
            <w:u w:val="single"/>
            <w:vertAlign w:val="baseline"/>
          </w:rPr>
          <w:t>81 FR 56729</w:t>
        </w:r>
      </w:hyperlink>
      <w:r>
        <w:rPr>
          <w:rFonts w:ascii="arial" w:eastAsia="arial" w:hAnsi="arial" w:cs="arial"/>
          <w:b w:val="0"/>
          <w:i w:val="0"/>
          <w:strike w:val="0"/>
          <w:noProof w:val="0"/>
          <w:color w:val="000000"/>
          <w:position w:val="0"/>
          <w:sz w:val="20"/>
          <w:u w:val="none"/>
          <w:vertAlign w:val="baseline"/>
        </w:rPr>
        <w:t xml:space="preserve"> (August 22, 2016) (describing Nasdaq's GIDS within the order approving SR-Nasdaq-2016-061).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NYSE Arca, Inc.'s ("NYSE Arca") EOD ETF Report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http://www.nyxdata.com/Data-Products/NYSE-Arca-EOD-ETF-Report</w:t>
        </w:r>
      </w:hyperlink>
      <w:r>
        <w:rPr>
          <w:rFonts w:ascii="arial" w:eastAsia="arial" w:hAnsi="arial" w:cs="arial"/>
          <w:b w:val="0"/>
          <w:i w:val="0"/>
          <w:strike w:val="0"/>
          <w:noProof w:val="0"/>
          <w:color w:val="000000"/>
          <w:position w:val="0"/>
          <w:sz w:val="20"/>
          <w:u w:val="none"/>
          <w:vertAlign w:val="baseline"/>
        </w:rPr>
        <w:t xml:space="preserve"> (providing information such as the ETF's closing trades and quotes at different key points during the trading day, as well referential information such as shares outstanding, the primary market, and NAV).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4"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25"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 </w:t>
      </w:r>
      <w:r>
        <w:rPr>
          <w:rFonts w:ascii="arial" w:eastAsia="arial" w:hAnsi="arial" w:cs="arial"/>
          <w:b/>
          <w:i w:val="0"/>
          <w:strike w:val="0"/>
          <w:noProof w:val="0"/>
          <w:color w:val="000000"/>
          <w:position w:val="0"/>
          <w:sz w:val="20"/>
          <w:u w:val="none"/>
          <w:vertAlign w:val="baseline"/>
        </w:rPr>
        <w:t> [*25392]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w:t>
      </w:r>
      <w:r>
        <w:rPr>
          <w:rFonts w:ascii="arial" w:eastAsia="arial" w:hAnsi="arial" w:cs="arial"/>
          <w:b w:val="0"/>
          <w:i w:val="0"/>
          <w:strike w:val="0"/>
          <w:noProof w:val="0"/>
          <w:color w:val="000000"/>
          <w:position w:val="0"/>
          <w:sz w:val="20"/>
          <w:u w:val="none"/>
          <w:vertAlign w:val="baseline"/>
        </w:rPr>
        <w:t xml:space="preserve"> The Exchange believes that the proposed Distribution Fee is reasonable and equitably allocated in light of alternatives offered by other market centers. The Exchange believes it is reasonable to waive certain charges for those Distributors that receive both the ETF Implied Liquidity Feed and the Bats One Feed as both include the aggregate BBO for all displayed orders on the Bats Exchanges. The key difference here is that the ETF Implied Liquidity Feed also contains the Exchange's proprietary calculation of the ETF's implied liquidity. Waiver of the Distributor fee for External Distributors that also receive and pay the External Distributor for the Bats One Feed is equitable and reasonable because those External Distributors are being charged the External Distributor fees for Bats One, which are currently $ 5,000 per month for Bats One Summary and $ 12,500 per month for Bats One Premium. The fee waiver here is equitable due to both products providing the same key data element--the aggregated BBO of the Bats Exchanges. While the ETF Implied Liquidity Feed also includes the Exchange's proprietary calculation of an ETF's implied liquidity, the Exchange notes that External Distributors of the ETF Implied Liquidity Feed would continue to be subject to the per User fees. Therefore, the Exchange believes it is equitable and reasonable to waive the External Distributor fees in such case. The Exchange further believes that not extending this waiver to Internal Distributors is not unfairly discriminatory as Internal Distributors of the Bats One Feed are not charged User fees like External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believes it is equitable and reasonable to waive the related Logical Port fee for both Internal and External Distributors of the ETF Implied Liquidity Feed that also receive and are charged a Logical Port fee for the Bats One Feed. As stated above, both the Bats One Feed and the ETF Implied Liquidity Feed contain the same key data element--the aggregated BBO of the Bats Exchange. The Exchange believes not charging a Logical Port Fee in order to obtain the Exchange's proprietary calculation of the ETF's implied liquidity where that Member is currently paying a Logical Port fee to obtain the aggregated BBO of the Bats Exchanges via the Bats One Feed is reasonable. Such Distributors would continue to pay the Logical Port of $ 550 per port to receive the Bats One Feed as set forth in the Exchange's fee schedule.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the ETF Implied Liquidity Feed are equitable and reasonable because they will result in greater availability to Professional and Non-Professional Users. Moreover, introducing a modest Non-Professional User fee for the ETF Implied Liquidity Feed is reasonable because it provides an additional method for retail investors to access the ETF Implied Liquidity Feed data by providing the same data that is available to Professional Users. The Exchange believes that the proposed fees are equitable and not unfairly discriminatory because they will be charged uniformly to recipient firms and Users. The Exchange also believes it is not unfairly discriminatory to only charge User fees to External Distributor of the ETF Implied Liquidity Feed as it is those Distributors that redistribute the data to their subscribers for a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 structure of differentiated Professional and Non-Professional fees is utilized by the Exchange for the Bats One Feed and has long been used by other exchanges for their proprietary data products, and by the Nasdaq UTP and the CTA and CQ Plans in order to reduce the price of data to retail investors and make it more broadly available. n23 Offering the ETF Implied Liquidity Feed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14"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74283 (February 18, 2015), </w:t>
      </w:r>
      <w:hyperlink r:id="rId26" w:history="1">
        <w:r>
          <w:rPr>
            <w:rFonts w:ascii="arial" w:eastAsia="arial" w:hAnsi="arial" w:cs="arial"/>
            <w:b w:val="0"/>
            <w:i/>
            <w:strike w:val="0"/>
            <w:noProof w:val="0"/>
            <w:color w:val="0077CC"/>
            <w:position w:val="0"/>
            <w:sz w:val="20"/>
            <w:u w:val="single"/>
            <w:vertAlign w:val="baseline"/>
          </w:rPr>
          <w:t>80 FR 9809</w:t>
        </w:r>
      </w:hyperlink>
      <w:r>
        <w:rPr>
          <w:rFonts w:ascii="arial" w:eastAsia="arial" w:hAnsi="arial" w:cs="arial"/>
          <w:b w:val="0"/>
          <w:i w:val="0"/>
          <w:strike w:val="0"/>
          <w:noProof w:val="0"/>
          <w:color w:val="000000"/>
          <w:position w:val="0"/>
          <w:sz w:val="20"/>
          <w:u w:val="none"/>
          <w:vertAlign w:val="baseline"/>
        </w:rPr>
        <w:t xml:space="preserve"> (February 24, 2015) (SR-EDGA-2015-09); 74282 (February 17, 2015), </w:t>
      </w:r>
      <w:hyperlink r:id="rId27" w:history="1">
        <w:r>
          <w:rPr>
            <w:rFonts w:ascii="arial" w:eastAsia="arial" w:hAnsi="arial" w:cs="arial"/>
            <w:b w:val="0"/>
            <w:i/>
            <w:strike w:val="0"/>
            <w:noProof w:val="0"/>
            <w:color w:val="0077CC"/>
            <w:position w:val="0"/>
            <w:sz w:val="20"/>
            <w:u w:val="single"/>
            <w:vertAlign w:val="baseline"/>
          </w:rPr>
          <w:t>80 FR 9487</w:t>
        </w:r>
      </w:hyperlink>
      <w:r>
        <w:rPr>
          <w:rFonts w:ascii="arial" w:eastAsia="arial" w:hAnsi="arial" w:cs="arial"/>
          <w:b w:val="0"/>
          <w:i w:val="0"/>
          <w:strike w:val="0"/>
          <w:noProof w:val="0"/>
          <w:color w:val="000000"/>
          <w:position w:val="0"/>
          <w:sz w:val="20"/>
          <w:u w:val="none"/>
          <w:vertAlign w:val="baseline"/>
        </w:rPr>
        <w:t xml:space="preserve"> (February 23, 2015) (SR-EDGX-2015-09);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74284 (February 18, 2015), </w:t>
      </w:r>
      <w:hyperlink r:id="rId28" w:history="1">
        <w:r>
          <w:rPr>
            <w:rFonts w:ascii="arial" w:eastAsia="arial" w:hAnsi="arial" w:cs="arial"/>
            <w:b w:val="0"/>
            <w:i/>
            <w:strike w:val="0"/>
            <w:noProof w:val="0"/>
            <w:color w:val="0077CC"/>
            <w:position w:val="0"/>
            <w:sz w:val="20"/>
            <w:u w:val="single"/>
            <w:vertAlign w:val="baseline"/>
          </w:rPr>
          <w:t>80 FR 9792</w:t>
        </w:r>
      </w:hyperlink>
      <w:r>
        <w:rPr>
          <w:rFonts w:ascii="arial" w:eastAsia="arial" w:hAnsi="arial" w:cs="arial"/>
          <w:b w:val="0"/>
          <w:i w:val="0"/>
          <w:strike w:val="0"/>
          <w:noProof w:val="0"/>
          <w:color w:val="000000"/>
          <w:position w:val="0"/>
          <w:sz w:val="20"/>
          <w:u w:val="none"/>
          <w:vertAlign w:val="baseline"/>
        </w:rPr>
        <w:t xml:space="preserve"> (February 24, 2015) (SR-BYX-2015-09) ("Initial BATS One Feed Fee Filings").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Nasdaq Rules 7023(b) and 7047.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Consolidation Fee.</w:t>
      </w:r>
      <w:r>
        <w:rPr>
          <w:rFonts w:ascii="arial" w:eastAsia="arial" w:hAnsi="arial" w:cs="arial"/>
          <w:b w:val="0"/>
          <w:i w:val="0"/>
          <w:strike w:val="0"/>
          <w:noProof w:val="0"/>
          <w:color w:val="000000"/>
          <w:position w:val="0"/>
          <w:sz w:val="20"/>
          <w:u w:val="none"/>
          <w:vertAlign w:val="baseline"/>
        </w:rPr>
        <w:t xml:space="preserve"> The Exchange believes that the proposed $ 500 per month Data Consolidation Fee charged to External Distributors who receive the ETF Implied Liquidity Feed is reasonable because it represents the value of the data aggregation and consolidation function that the Exchange performs. The Exchange also believes it is equitable and reasonable to waive the Data Consolidation fee for External Distributors of the ETF Implied Liquidity Feed where that External Distributor also receives and is charged the Data Consolidation fee for the Bats One Feed. In such case, the External Distributor is being charged a $ 1,000 Data Consolidation fee for the Bats One Feed, which covers the consolidation function already being performed by the Exchange in constructing the aggregated BBO for the Bats Exchanges. Therefore, the Exchange believes it is equitable and reasonable to not charge an External Distributor two separate fees for the same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further believes the proposed Data Consolidation Fee is not designed to permit unfair discrimination because all External Distributor who subscribe to the ETF Implied Liquidity Feed will be charged the same fee. The Exchange believes it is reasonable and not unfairly discriminatory to not charge Internal Distributor a separate Data Consolidation Fee as instituting such a fee is designed to ensure that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Exchange's ETF Implied Liquidity Feed on the same price basis as the Exchange. The proposed fee structure ensures the prices charged for the external distribution of the ETF Implied Liquidity Feed are not lower than the cost a vendor would incur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Therefore, the Exchange believes the proposed application of the Data Consolidation Fee is reasonable would not permit unfair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the ETF Implied Liquidity Feed is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w:t>
      </w:r>
      <w:r>
        <w:rPr>
          <w:rFonts w:ascii="arial" w:eastAsia="arial" w:hAnsi="arial" w:cs="arial"/>
          <w:b/>
          <w:i w:val="0"/>
          <w:strike w:val="0"/>
          <w:noProof w:val="0"/>
          <w:color w:val="000000"/>
          <w:position w:val="0"/>
          <w:sz w:val="20"/>
          <w:u w:val="none"/>
          <w:vertAlign w:val="baseline"/>
        </w:rPr>
        <w:t> [*25393] </w:t>
      </w:r>
      <w:r>
        <w:rPr>
          <w:rFonts w:ascii="arial" w:eastAsia="arial" w:hAnsi="arial" w:cs="arial"/>
          <w:b w:val="0"/>
          <w:i w:val="0"/>
          <w:strike w:val="0"/>
          <w:noProof w:val="0"/>
          <w:color w:val="000000"/>
          <w:position w:val="0"/>
          <w:sz w:val="20"/>
          <w:u w:val="none"/>
          <w:vertAlign w:val="baseline"/>
        </w:rPr>
        <w:t xml:space="preserve">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alternatives to the ETF Implied Liquidity Feed ensures that the Exchange cannot set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Exchange represents that the proposed pricing of the ETF Implied Liquidity Feed provides investors with alternative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similar market data product currently offered by other exchanges. n24 In addition, the pricing is designed to ensure that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ETF Implied Liquidity Feed on the same price basis as the Exchange. As stated above, the Exchange notes that a vendor seeking to build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proposed ETF Implied Liquidity feed could simply utilize the top-of-book data feeds from each of the Bats Exchange's to create an aggregated BBO. n25 These top-of-book feeds are EDGA Top, EDGX Top, BYX Top and BZX Top. The Exchange represents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could obtain these top-of-book data feeds from each of the Bats Exchanges on the same latency basis as the system that performs the aggregation and consolidation of the Bats One Summary Feed. While the proposed ETF Implied Liquidity feed does not separately provide the ETF's NBBO, the number of shares of securities underlying one creation unit of the ETF, or the estimated cash included in one creation unit of the ETF, a vendor could obtain this information from the securities information processors and other publicly available sources to perform its own calculation of an ETF's implied liquidity to include as part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Therefore, a vendor could create a product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proposed ETF Implied Liquidity feed on the same terms as the Exchange. The Exchange designed the pricing of this product to enable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ETF Implied Liquidity Feed on the same cost basis as the Exchange. The offering of certain fee waivers described herein continues to enable vendors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as the waivers are only granted where the Distributor is receiving the Bats One Feed and paying the required fees for External Distribution, Logical Ports, and Data Consolidation.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n26 and paragraph (f) of Rule 19b-4 thereunder. n27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9" w:history="1">
        <w:r>
          <w:rPr>
            <w:rFonts w:ascii="arial" w:eastAsia="arial" w:hAnsi="arial" w:cs="arial"/>
            <w:b w:val="0"/>
            <w:i/>
            <w:strike w:val="0"/>
            <w:noProof w:val="0"/>
            <w:color w:val="0077CC"/>
            <w:position w:val="0"/>
            <w:sz w:val="20"/>
            <w:u w:val="single"/>
            <w:vertAlign w:val="baseline"/>
          </w:rPr>
          <w:t>17 CFR 240.19b-4(f)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0"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SR-BatsBZX-2017-36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SR-BatsBZX-2017-36. This file number should be included on the subject line if email is used. To help the Commission process and review your comments more efficiently, please use only one method. The Commission will post all comments on the Commission's Internet Web site (</w:t>
      </w:r>
      <w:hyperlink r:id="rId29"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SR-BatsBZX-2017-36 and should be submitted on or before June 22,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31"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2017-11254 Filed 5-31-17;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25389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com" TargetMode="External" /><Relationship Id="rId11" Type="http://schemas.openxmlformats.org/officeDocument/2006/relationships/hyperlink" Target="https://advance.lexis.com/api/document?collection=administrative-codes&amp;id=urn:contentItem:5MJ8-4SN0-008G-Y35K-00000-00&amp;context=" TargetMode="External" /><Relationship Id="rId12" Type="http://schemas.openxmlformats.org/officeDocument/2006/relationships/hyperlink" Target="http://cdn.batstrading.com/resources/market_data/2017/Bats-to-Introduce-ETF-Implied-Liquidity-Feed-Effective-June-1-2017.pdf" TargetMode="External" /><Relationship Id="rId13" Type="http://schemas.openxmlformats.org/officeDocument/2006/relationships/hyperlink" Target="http://www.bats.com/us/equities/membership/fee_schedule/bzx/" TargetMode="External" /><Relationship Id="rId14" Type="http://schemas.openxmlformats.org/officeDocument/2006/relationships/hyperlink" Target="https://advance.lexis.com/api/document?collection=administrative-codes&amp;id=urn:contentItem:5FCD-XN80-006W-849Y-00000-00&amp;context=" TargetMode="External" /><Relationship Id="rId15" Type="http://schemas.openxmlformats.org/officeDocument/2006/relationships/hyperlink" Target="https://advance.lexis.com/api/document?collection=administrative-codes&amp;id=urn:contentItem:5GFH-J4T0-006W-802D-00000-00&amp;context=" TargetMode="External" /><Relationship Id="rId16" Type="http://schemas.openxmlformats.org/officeDocument/2006/relationships/hyperlink" Target="https://advance.lexis.com/api/document?collection=administrative-codes&amp;id=urn:contentItem:5GV5-2B20-006W-80CY-00000-00&amp;context=" TargetMode="External" /><Relationship Id="rId17" Type="http://schemas.openxmlformats.org/officeDocument/2006/relationships/hyperlink" Target="https://advance.lexis.com/api/document?collection=administrative-codes&amp;id=urn:contentItem:5MGY-55R0-006W-8128-00000-00&amp;context=" TargetMode="External" /><Relationship Id="rId18" Type="http://schemas.openxmlformats.org/officeDocument/2006/relationships/hyperlink" Target="https://advance.lexis.com/api/document?collection=statutes-legislation&amp;id=urn:contentItem:4YF7-GPC1-NRF4-4309-00000-00&amp;context=" TargetMode="External" /><Relationship Id="rId19" Type="http://schemas.openxmlformats.org/officeDocument/2006/relationships/hyperlink" Target="https://advance.lexis.com/api/document?collection=statutes-legislation&amp;id=urn:contentItem:4YF7-GK71-NRF4-4360-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MJ8-4SN0-008G-Y35P-00000-00&amp;context=" TargetMode="External" /><Relationship Id="rId21" Type="http://schemas.openxmlformats.org/officeDocument/2006/relationships/hyperlink" Target="http://business.nasdaq.com/intel/indexes/index-data/index.html#!/tcm:5044-12151" TargetMode="External" /><Relationship Id="rId22" Type="http://schemas.openxmlformats.org/officeDocument/2006/relationships/hyperlink" Target="https://advance.lexis.com/api/document?collection=administrative-codes&amp;id=urn:contentItem:5KHN-4K20-006W-825G-00000-00&amp;context=" TargetMode="External" /><Relationship Id="rId23" Type="http://schemas.openxmlformats.org/officeDocument/2006/relationships/hyperlink" Target="http://www.nyxdata.com/Data-Products/NYSE-Arca-EOD-ETF-Report" TargetMode="External" /><Relationship Id="rId24" Type="http://schemas.openxmlformats.org/officeDocument/2006/relationships/hyperlink" Target="http://www.sec.gov/rules/concept/s72899/buck1.htm" TargetMode="External" /><Relationship Id="rId25" Type="http://schemas.openxmlformats.org/officeDocument/2006/relationships/hyperlink" Target="https://advance.lexis.com/api/document?collection=administrative-codes&amp;id=urn:contentItem:5DVR-H6T0-006W-82NV-00000-00&amp;context=" TargetMode="External" /><Relationship Id="rId26" Type="http://schemas.openxmlformats.org/officeDocument/2006/relationships/hyperlink" Target="https://advance.lexis.com/api/document?collection=administrative-codes&amp;id=urn:contentItem:5FCD-XN80-006W-849W-00000-00&amp;context=" TargetMode="External" /><Relationship Id="rId27" Type="http://schemas.openxmlformats.org/officeDocument/2006/relationships/hyperlink" Target="https://advance.lexis.com/api/document?collection=administrative-codes&amp;id=urn:contentItem:5FC5-VB30-006W-844R-00000-00&amp;context=" TargetMode="External" /><Relationship Id="rId28" Type="http://schemas.openxmlformats.org/officeDocument/2006/relationships/hyperlink" Target="https://advance.lexis.com/api/document?collection=administrative-codes&amp;id=urn:contentItem:5FCD-XN80-006W-849P-00000-00&amp;context=" TargetMode="External" /><Relationship Id="rId29" Type="http://schemas.openxmlformats.org/officeDocument/2006/relationships/hyperlink" Target="http://www.sec.gov/rules/sro.shtml" TargetMode="External" /><Relationship Id="rId3" Type="http://schemas.openxmlformats.org/officeDocument/2006/relationships/fontTable" Target="fontTable.xml" /><Relationship Id="rId30" Type="http://schemas.openxmlformats.org/officeDocument/2006/relationships/hyperlink" Target="mailto:rule-comments@sec.gov" TargetMode="External" /><Relationship Id="rId31" Type="http://schemas.openxmlformats.org/officeDocument/2006/relationships/hyperlink" Target="https://advance.lexis.com/api/document?collection=administrative-codes&amp;id=urn:contentItem:5SPP-2120-008G-Y2ND-00000-00&amp;contex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P0-7X10-006W-80JP-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25389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