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26783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110, Friday, June 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26783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American History and Civics Education--Presidential and Congressional Academies for American History and Civics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the Presidential and Congressional Academies for American History and Civics (Academies) Program, Catalog of Federal Domestic Assistance (CFDA) number 84.422A.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Academies Program supports the establishment of: (1) Presidential Academies for the Teaching of American History and Civics that offer workshops for both veteran and new teachers to strengthen their knowledge of American history, civics, and government education (Presidential Academies); and (2) Congressional Academies for Students of American History and Civics that provide high school students opportunities to enrich their understanding of these subjects (Congressional Academies).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Academies Program supports projects to raise student achievement in American history and civics by improving teachers' and students' knowledge, understanding, and engagement with these subjects through intensive workshops with scholars, master teachers, and curriculum experts. Project activities should reflect the best available research and practice in teaching and learning. Presidential Academies will help teachers develop further expertise in the content areas of American history and civics, teaching strategies, use of technologies, and other essential elements of teaching to rigorous college- and career-ready standards. Congressional Academies are intended to broaden and deepen students' interest in and understanding of American history and civics through the use of content-rich, engaging learning resources and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encourage applicants to consider projects that will focus on serving high-need students and students from underserved populations to help ensure that these students have access to high-quality, interactive instruction that will help them become college- and career-ready and be better prepared to participate fully in civic activities. We also include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to encourage applicants to consider projects that develop innovative and comprehensive programs using the resources of the National Parks. These programs would include, to the extent practicable, coordination or alignment of activities with the National Park Service National Centennial Parks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include two absolute priorities that require applicants to conduct both Presidential Academies and Congressional Academies in order to ensure that teachers and students are receiving opportunities to participate in high-quality American history and civics educational experiences. In addition, applicants may consider projects that are designed to recruit teachers and students from the same schools and school districts in order to promote a seamless delivery of training and instruction and maximize project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expected to measure the impact of their projects on teacher development and student learning through applicable assessments. Early findings from grantee evaluations may help guide the grantee's subsequent teacher professional development and student learning efforts over the five-year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absolute priorities and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w:t>
      </w:r>
      <w:hyperlink r:id="rId8" w:history="1">
        <w:r>
          <w:rPr>
            <w:rFonts w:ascii="arial" w:eastAsia="arial" w:hAnsi="arial" w:cs="arial"/>
            <w:b w:val="0"/>
            <w:i/>
            <w:strike w:val="0"/>
            <w:noProof w:val="0"/>
            <w:color w:val="0077CC"/>
            <w:position w:val="0"/>
            <w:sz w:val="20"/>
            <w:u w:val="single"/>
            <w:vertAlign w:val="baseline"/>
          </w:rPr>
          <w:t>34 CFR 75.105(b)(2)(iv)</w:t>
        </w:r>
      </w:hyperlink>
      <w:r>
        <w:rPr>
          <w:rFonts w:ascii="arial" w:eastAsia="arial" w:hAnsi="arial" w:cs="arial"/>
          <w:b w:val="0"/>
          <w:i w:val="0"/>
          <w:strike w:val="0"/>
          <w:noProof w:val="0"/>
          <w:color w:val="000000"/>
          <w:position w:val="0"/>
          <w:sz w:val="20"/>
          <w:u w:val="none"/>
          <w:vertAlign w:val="baseline"/>
        </w:rPr>
        <w:t xml:space="preserve">, both absolute priorities are from section 2232(e)(1) and (f)(1) of the Elementary and Secondary Education Act of 1965, as amended by the Every Student Succeeds Act (ESEA), </w:t>
      </w:r>
      <w:hyperlink r:id="rId9" w:history="1">
        <w:r>
          <w:rPr>
            <w:rFonts w:ascii="arial" w:eastAsia="arial" w:hAnsi="arial" w:cs="arial"/>
            <w:b w:val="0"/>
            <w:i/>
            <w:strike w:val="0"/>
            <w:noProof w:val="0"/>
            <w:color w:val="0077CC"/>
            <w:position w:val="0"/>
            <w:sz w:val="20"/>
            <w:u w:val="single"/>
            <w:vertAlign w:val="baseline"/>
          </w:rPr>
          <w:t>20 U.S.C. 6662</w:t>
        </w:r>
      </w:hyperlink>
      <w:r>
        <w:rPr>
          <w:rFonts w:ascii="arial" w:eastAsia="arial" w:hAnsi="arial" w:cs="arial"/>
          <w:b w:val="0"/>
          <w:i w:val="0"/>
          <w:strike w:val="0"/>
          <w:noProof w:val="0"/>
          <w:color w:val="000000"/>
          <w:position w:val="0"/>
          <w:sz w:val="20"/>
          <w:u w:val="none"/>
          <w:vertAlign w:val="baseline"/>
        </w:rPr>
        <w:t xml:space="preserve">. The first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0"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In accordance with </w:t>
      </w:r>
      <w:hyperlink r:id="rId8"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xml:space="preserve">, the second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allowable activities specified in section 2232(e)(4) of the ESEA.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both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1--Presidential Academies for the Teaching of American History and Civics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an applicant must propose to establish a Presidential Academy that offers a seminar or institute for teachers of American history and civics,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Provides intensive professional development opportunities for teachers of American history and civics to strengthen such teachers' knowledge of the subjects of American history and civics;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Is led by a team of primary scholars and core teachers who are accomplished in the field of American history and civics; </w:t>
      </w:r>
      <w:r>
        <w:rPr>
          <w:rFonts w:ascii="arial" w:eastAsia="arial" w:hAnsi="arial" w:cs="arial"/>
          <w:b/>
          <w:i w:val="0"/>
          <w:strike w:val="0"/>
          <w:noProof w:val="0"/>
          <w:color w:val="000000"/>
          <w:position w:val="0"/>
          <w:sz w:val="20"/>
          <w:u w:val="none"/>
          <w:vertAlign w:val="baseline"/>
        </w:rPr>
        <w:t> [*26784]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conducted during the summer or other appropriate time;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of not less than two weeks and not more than six weeks in duration.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2--Congressional Academies for Students of American History and Civics.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an applicant must propose to establish a seminar or institute for outstanding students of American history and civics,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Broadens and deepens such students' understanding of American history and civics;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led by a team of primary scholars and core teachers who are accomplished in the field of American history and civics;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Is conducted during the summer or other appropriate time;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Is of not less than two weeks and not more than six weeks in duration.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8"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up to an additional 10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one and an additional five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1--Supporting High-Need Students.</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academic outcomes for high-need students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2--Using the Resources of the National Parks.</w:t>
      </w:r>
      <w:r>
        <w:rPr>
          <w:rFonts w:ascii="arial" w:eastAsia="arial" w:hAnsi="arial" w:cs="arial"/>
          <w:b w:val="0"/>
          <w:i w:val="0"/>
          <w:strike w:val="0"/>
          <w:noProof w:val="0"/>
          <w:color w:val="000000"/>
          <w:position w:val="0"/>
          <w:sz w:val="20"/>
          <w:u w:val="none"/>
          <w:vertAlign w:val="baseline"/>
        </w:rPr>
        <w:t xml:space="preser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propose to develop innovative and comprehensive programs using the resources of the National Parks, including, to the extent practicable, through coordination or alignment of activities with the National Park Service National Centennial Parks initiative.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Supplemental Priorities and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which must define the term in a manner consistent with its State's Teacher Equity Plan, as required by section 1111(b)(8)(C) of the ESEA. The applicant must provide the definition(s) of "high-minority schools"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The following requirements are from section 2232(e)(2) and (3) and (f)(2) and (3) and apply to all applications submitted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Selection of teachers.</w:t>
      </w:r>
      <w:r>
        <w:rPr>
          <w:rFonts w:ascii="arial" w:eastAsia="arial" w:hAnsi="arial" w:cs="arial"/>
          <w:b w:val="0"/>
          <w:i w:val="0"/>
          <w:strike w:val="0"/>
          <w:noProof w:val="0"/>
          <w:color w:val="000000"/>
          <w:position w:val="0"/>
          <w:sz w:val="20"/>
          <w:u w:val="none"/>
          <w:vertAlign w:val="baseline"/>
        </w:rPr>
        <w:t xml:space="preserve"> Each year, each Presidential Academy shall select between 50 and 300 teachers of American history and civics from public or private elementary schools and secondary schools to attend the seminar or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Teacher stipends.</w:t>
      </w:r>
      <w:r>
        <w:rPr>
          <w:rFonts w:ascii="arial" w:eastAsia="arial" w:hAnsi="arial" w:cs="arial"/>
          <w:b w:val="0"/>
          <w:i w:val="0"/>
          <w:strike w:val="0"/>
          <w:noProof w:val="0"/>
          <w:color w:val="000000"/>
          <w:position w:val="0"/>
          <w:sz w:val="20"/>
          <w:u w:val="none"/>
          <w:vertAlign w:val="baseline"/>
        </w:rPr>
        <w:t xml:space="preserve"> Each teacher selected to participate in a seminar or institute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be awarded a fixed stipend based on the length of the seminar or institute to ensure that such teacher does not incur personal costs associated with the teacher's participation in the seminar or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Selection of students.</w:t>
      </w:r>
      <w:r>
        <w:rPr>
          <w:rFonts w:ascii="arial" w:eastAsia="arial" w:hAnsi="arial" w:cs="arial"/>
          <w:b w:val="0"/>
          <w:i w:val="0"/>
          <w:strike w:val="0"/>
          <w:noProof w:val="0"/>
          <w:color w:val="000000"/>
          <w:position w:val="0"/>
          <w:sz w:val="20"/>
          <w:u w:val="none"/>
          <w:vertAlign w:val="baseline"/>
        </w:rPr>
        <w:t xml:space="preserve"> Each year, each Congressional Academy shall select between 100 and 300 eligible students to attend the seminar or institute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Eligible students.</w:t>
      </w:r>
      <w:r>
        <w:rPr>
          <w:rFonts w:ascii="arial" w:eastAsia="arial" w:hAnsi="arial" w:cs="arial"/>
          <w:b w:val="0"/>
          <w:i w:val="0"/>
          <w:strike w:val="0"/>
          <w:noProof w:val="0"/>
          <w:color w:val="000000"/>
          <w:position w:val="0"/>
          <w:sz w:val="20"/>
          <w:u w:val="none"/>
          <w:vertAlign w:val="baseline"/>
        </w:rPr>
        <w:t xml:space="preserve"> A student shall be eligible to attend a seminar or institute offered by a Congressional Academy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recommended by the student's secondary school principal or other school leader to attend the seminar or institute;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Will be a secondary school junior or senior in the academic year following attendance at the seminar or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Student stipends.</w:t>
      </w:r>
      <w:r>
        <w:rPr>
          <w:rFonts w:ascii="arial" w:eastAsia="arial" w:hAnsi="arial" w:cs="arial"/>
          <w:b w:val="0"/>
          <w:i w:val="0"/>
          <w:strike w:val="0"/>
          <w:noProof w:val="0"/>
          <w:color w:val="000000"/>
          <w:position w:val="0"/>
          <w:sz w:val="20"/>
          <w:u w:val="none"/>
          <w:vertAlign w:val="baseline"/>
        </w:rPr>
        <w:t xml:space="preserve"> Each student selected to participate in a seminar or institute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be awarded a fixed stipend based on the length of the seminar or institute to ensure that such student does not incur personal costs associated with the student's participation in the seminar or institute.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Section 2232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$ 1,815,000.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$ 300,000-$ 700,000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institution of higher education, or nonprofit educational organization, museum, library, or research center with demonstrated expertise in historical methodology or the teaching of American history and civics; or a consortium of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application, an applicant is required to submit documentation of its organization's expertise in historical methodology or the teaching of American history or civics.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Consortium applicants must follow the procedures for group applications described in </w:t>
      </w:r>
      <w:hyperlink r:id="rId11"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12" w:history="1">
        <w:r>
          <w:rPr>
            <w:rFonts w:ascii="arial" w:eastAsia="arial" w:hAnsi="arial" w:cs="arial"/>
            <w:b w:val="0"/>
            <w:i/>
            <w:strike w:val="0"/>
            <w:noProof w:val="0"/>
            <w:color w:val="0077CC"/>
            <w:position w:val="0"/>
            <w:sz w:val="20"/>
            <w:u w:val="single"/>
            <w:vertAlign w:val="baseline"/>
          </w:rPr>
          <w:t>34 CFR 75.129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Under section 2232(g)(1) of the ESEA, each grant recipient must provide, from non-Federal sources, an amount equal to 100 percent of the amount of the grant, which may be provided in cash or in-kind contributions, to carry out the activities supported by the grant. To meet this requirement, grantees must provide matching contributions on an </w:t>
      </w:r>
      <w:r>
        <w:rPr>
          <w:rFonts w:ascii="arial" w:eastAsia="arial" w:hAnsi="arial" w:cs="arial"/>
          <w:b/>
          <w:i w:val="0"/>
          <w:strike w:val="0"/>
          <w:noProof w:val="0"/>
          <w:color w:val="000000"/>
          <w:position w:val="0"/>
          <w:sz w:val="20"/>
          <w:u w:val="none"/>
          <w:vertAlign w:val="baseline"/>
        </w:rPr>
        <w:t> [*26785] </w:t>
      </w:r>
      <w:r>
        <w:rPr>
          <w:rFonts w:ascii="arial" w:eastAsia="arial" w:hAnsi="arial" w:cs="arial"/>
          <w:b w:val="0"/>
          <w:i w:val="0"/>
          <w:strike w:val="0"/>
          <w:noProof w:val="0"/>
          <w:color w:val="000000"/>
          <w:position w:val="0"/>
          <w:sz w:val="20"/>
          <w:u w:val="none"/>
          <w:vertAlign w:val="baseline"/>
        </w:rPr>
        <w:t xml:space="preserve"> annual basis relative to the amount of Academies Program funds received for a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2232(g)(2) of the ESEA, the Secretary may waive this matching requirement for any fiscal year for an eligible entity if the Secretary determines that applying the matching requirement would result in serious hardship or an inability to carry out the authorized activities described in section 2232. Applicants that wish to apply for a waiver for one or more fiscal years may include a request in their application that describes how the 100 percent matching requirement would cause serious hardship or an inability to carry out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In accordance with section 2301 of the ESEA, funds made available under this program must be used to supplement, and not supplant, other Federal, State, and local funds that would otherwise be expended to carry out activities under this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Christine Miller, U.S. Department of Education, 400 Maryland Avenue SW., Room 4W205, Washington, DC 20202-5970. Telephone: (202) 260-7350 or by email: </w:t>
      </w:r>
      <w:hyperlink r:id="rId13" w:history="1">
        <w:r>
          <w:rPr>
            <w:rFonts w:ascii="arial" w:eastAsia="arial" w:hAnsi="arial" w:cs="arial"/>
            <w:b w:val="0"/>
            <w:i/>
            <w:strike w:val="0"/>
            <w:noProof w:val="0"/>
            <w:color w:val="0077CC"/>
            <w:position w:val="0"/>
            <w:sz w:val="20"/>
            <w:u w:val="single"/>
            <w:vertAlign w:val="baseline"/>
          </w:rPr>
          <w:t>Christine.Miller@ed.gov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the Department by sending a short email message indicating the applicant's intent to submit an application for funding. The email need not include information regarding the content of the proposed application, only the applicant's intent to submit it. You should send this email notification to: </w:t>
      </w:r>
      <w:hyperlink r:id="rId14" w:history="1">
        <w:r>
          <w:rPr>
            <w:rFonts w:ascii="arial" w:eastAsia="arial" w:hAnsi="arial" w:cs="arial"/>
            <w:b w:val="0"/>
            <w:i/>
            <w:strike w:val="0"/>
            <w:noProof w:val="0"/>
            <w:color w:val="0077CC"/>
            <w:position w:val="0"/>
            <w:sz w:val="20"/>
            <w:u w:val="single"/>
            <w:vertAlign w:val="baseline"/>
          </w:rPr>
          <w:t>Academies@ed.gov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Applicants that do not provide this email notification may still apply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recommend that you (1) limit the application narrative to no more than 50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Part I, the cover sheet; Part II, the budget section, including the narrative budget justification; Part IV, the assurances and certifications; or the one-page abstract, the resumes, the bibliography, or the letters of support. However, the recommended page limit does apply to all of the application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Academies Program, your application may include business information that you consider proprietary. In </w:t>
      </w:r>
      <w:hyperlink r:id="rId15"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post the project narrative section of funded Academies Program applications on our Web site,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In the appropriate Appendix section of your application, under "Other Attachments Form," please list the page number or numbers on which we can find this information. For additional information please see </w:t>
      </w:r>
      <w:hyperlink r:id="rId15"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July 10,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Webinars:</w:t>
      </w:r>
      <w:r>
        <w:rPr>
          <w:rFonts w:ascii="arial" w:eastAsia="arial" w:hAnsi="arial" w:cs="arial"/>
          <w:b w:val="0"/>
          <w:i w:val="0"/>
          <w:strike w:val="0"/>
          <w:noProof w:val="0"/>
          <w:color w:val="000000"/>
          <w:position w:val="0"/>
          <w:sz w:val="20"/>
          <w:u w:val="none"/>
          <w:vertAlign w:val="baseline"/>
        </w:rPr>
        <w:t xml:space="preserve"> Information about pre-application webinars will be posted at </w:t>
      </w:r>
      <w:hyperlink r:id="rId16" w:history="1">
        <w:r>
          <w:rPr>
            <w:rFonts w:ascii="arial" w:eastAsia="arial" w:hAnsi="arial" w:cs="arial"/>
            <w:b w:val="0"/>
            <w:i/>
            <w:strike w:val="0"/>
            <w:noProof w:val="0"/>
            <w:color w:val="0077CC"/>
            <w:position w:val="0"/>
            <w:sz w:val="20"/>
            <w:u w:val="single"/>
            <w:vertAlign w:val="baseline"/>
          </w:rPr>
          <w:t>https://innovation.ed.gov/what-we-do/american-history-and-civics-</w:t>
        </w:r>
      </w:hyperlink>
      <w:r>
        <w:rPr>
          <w:rFonts w:ascii="arial" w:eastAsia="arial" w:hAnsi="arial" w:cs="arial"/>
          <w:b w:val="0"/>
          <w:i/>
          <w:strike w:val="0"/>
          <w:noProof w:val="0"/>
          <w:color w:val="000000"/>
          <w:position w:val="0"/>
          <w:sz w:val="20"/>
          <w:u w:val="none"/>
          <w:vertAlign w:val="baseline"/>
        </w:rPr>
        <w:t xml:space="preserve"> academies/.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 Deadline for Intergovernmental Review: September 22,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2 CFR 200, subpart 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Maintain an active SAM registration with current information while your application is under review </w:t>
      </w:r>
      <w:r>
        <w:rPr>
          <w:rFonts w:ascii="arial" w:eastAsia="arial" w:hAnsi="arial" w:cs="arial"/>
          <w:b/>
          <w:i w:val="0"/>
          <w:strike w:val="0"/>
          <w:noProof w:val="0"/>
          <w:color w:val="000000"/>
          <w:position w:val="0"/>
          <w:sz w:val="20"/>
          <w:u w:val="none"/>
          <w:vertAlign w:val="baseline"/>
        </w:rPr>
        <w:t> [*26786] </w:t>
      </w:r>
      <w:r>
        <w:rPr>
          <w:rFonts w:ascii="arial" w:eastAsia="arial" w:hAnsi="arial" w:cs="arial"/>
          <w:b w:val="0"/>
          <w:i w:val="0"/>
          <w:strike w:val="0"/>
          <w:noProof w:val="0"/>
          <w:color w:val="000000"/>
          <w:position w:val="0"/>
          <w:sz w:val="20"/>
          <w:u w:val="none"/>
          <w:vertAlign w:val="baseline"/>
        </w:rPr>
        <w:t xml:space="preserve">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7"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8"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 xml:space="preserve"> Applications for grants under the Academies Program, CFDA number 84.422A,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Academies Program at </w:t>
      </w:r>
      <w:hyperlink r:id="rId20"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84.422, not 84.422A).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2"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flattened Portable Document Format (PDF), meaning any fillable PDF documents must be saved as flattened non-fillable files. Therefore, do not upload an interactive or fillable PDF file. If you upload a file type other than a read-only, flattened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There is no need to password protect a file in order to meet the requirement to submit a read-only flattened PDF. And, as noted above, the Department will not review password protected files.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w:t>
      </w:r>
      <w:r>
        <w:rPr>
          <w:rFonts w:ascii="arial" w:eastAsia="arial" w:hAnsi="arial" w:cs="arial"/>
          <w:b/>
          <w:i w:val="0"/>
          <w:strike w:val="0"/>
          <w:noProof w:val="0"/>
          <w:color w:val="000000"/>
          <w:position w:val="0"/>
          <w:sz w:val="20"/>
          <w:u w:val="none"/>
          <w:vertAlign w:val="baseline"/>
        </w:rPr>
        <w:t> [*26787] </w:t>
      </w:r>
      <w:r>
        <w:rPr>
          <w:rFonts w:ascii="arial" w:eastAsia="arial" w:hAnsi="arial" w:cs="arial"/>
          <w:b w:val="0"/>
          <w:i w:val="0"/>
          <w:strike w:val="0"/>
          <w:noProof w:val="0"/>
          <w:color w:val="000000"/>
          <w:position w:val="0"/>
          <w:sz w:val="20"/>
          <w:u w:val="none"/>
          <w:vertAlign w:val="baseline"/>
        </w:rPr>
        <w:t xml:space="preserve">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flattened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Christine Miller, U.S. Department of Education, 400 Maryland Avenue SW., Room 4W205, Washington, DC 20202-5960. FAX: (202) 205-5630.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84.422A),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84.422A),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Application Control Center will mail to you a notification of receipt of your </w:t>
      </w:r>
      <w:r>
        <w:rPr>
          <w:rFonts w:ascii="arial" w:eastAsia="arial" w:hAnsi="arial" w:cs="arial"/>
          <w:b/>
          <w:i w:val="0"/>
          <w:strike w:val="0"/>
          <w:noProof w:val="0"/>
          <w:color w:val="000000"/>
          <w:position w:val="0"/>
          <w:sz w:val="20"/>
          <w:u w:val="none"/>
          <w:vertAlign w:val="baseline"/>
        </w:rPr>
        <w:t> [*26788] </w:t>
      </w:r>
      <w:r>
        <w:rPr>
          <w:rFonts w:ascii="arial" w:eastAsia="arial" w:hAnsi="arial" w:cs="arial"/>
          <w:b w:val="0"/>
          <w:i w:val="0"/>
          <w:strike w:val="0"/>
          <w:noProof w:val="0"/>
          <w:color w:val="000000"/>
          <w:position w:val="0"/>
          <w:sz w:val="20"/>
          <w:u w:val="none"/>
          <w:vertAlign w:val="baseline"/>
        </w:rPr>
        <w:t xml:space="preserve">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3"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 applicant may earn up to a total of 100 points based on the selection criteria. The maximum score for addressing each criterion is indicated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(35 points) 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design of the proposed project reflects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(25 points) 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proposed project is likely to build local capacity to provide, improve, or expand services that address the needs of the target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importance or magnitude of the results or outcomes likely to be attained by the proposed project, especially improvements in teaching and student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(25 points) 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(15 points) 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will provide performance feedback and permit periodic assessment of progress toward achieving intended outcomes.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4"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2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0"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1"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0"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2"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3"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w:t>
      </w:r>
      <w:r>
        <w:rPr>
          <w:rFonts w:ascii="arial" w:eastAsia="arial" w:hAnsi="arial" w:cs="arial"/>
          <w:b/>
          <w:i w:val="0"/>
          <w:strike w:val="0"/>
          <w:noProof w:val="0"/>
          <w:color w:val="000000"/>
          <w:position w:val="0"/>
          <w:sz w:val="20"/>
          <w:u w:val="none"/>
          <w:vertAlign w:val="baseline"/>
        </w:rPr>
        <w:t> [*26789] </w:t>
      </w:r>
      <w:r>
        <w:rPr>
          <w:rFonts w:ascii="arial" w:eastAsia="arial" w:hAnsi="arial" w:cs="arial"/>
          <w:b w:val="0"/>
          <w:i w:val="0"/>
          <w:strike w:val="0"/>
          <w:noProof w:val="0"/>
          <w:color w:val="000000"/>
          <w:position w:val="0"/>
          <w:sz w:val="20"/>
          <w:u w:val="none"/>
          <w:vertAlign w:val="baseline"/>
        </w:rPr>
        <w:t xml:space="preserve"> may also require more frequent performance reports under </w:t>
      </w:r>
      <w:hyperlink r:id="rId34"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5"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36"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Department has established the following Government Performance and Results Act of 1993 performance objective for the Academies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will demonstrate through pre- and post-assessments an increased understanding of American history and civics that can be directly linked to their participation in the Presidential or Congressional academy.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track performance on this objective through the following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Presidential Academies:</w:t>
      </w:r>
      <w:r>
        <w:rPr>
          <w:rFonts w:ascii="arial" w:eastAsia="arial" w:hAnsi="arial" w:cs="arial"/>
          <w:b w:val="0"/>
          <w:i w:val="0"/>
          <w:strike w:val="0"/>
          <w:noProof w:val="0"/>
          <w:color w:val="000000"/>
          <w:position w:val="0"/>
          <w:sz w:val="20"/>
          <w:u w:val="none"/>
          <w:vertAlign w:val="baseline"/>
        </w:rPr>
        <w:t xml:space="preserve"> The average percentage gain on an assessment after participation in the Presidential academy.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Congressional Academies:</w:t>
      </w:r>
      <w:r>
        <w:rPr>
          <w:rFonts w:ascii="arial" w:eastAsia="arial" w:hAnsi="arial" w:cs="arial"/>
          <w:b w:val="0"/>
          <w:i w:val="0"/>
          <w:strike w:val="0"/>
          <w:noProof w:val="0"/>
          <w:color w:val="000000"/>
          <w:position w:val="0"/>
          <w:sz w:val="20"/>
          <w:u w:val="none"/>
          <w:vertAlign w:val="baseline"/>
        </w:rPr>
        <w:t xml:space="preserve"> The average percentage gain on an assessment after participation in the Congressional Academy.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advise an applicant for a grant under this program to give careful consideration to these measures in conceptualizing the approach and evaluation of its proposed project. Each grantee will be required to provide, in its annual and final performance reports, data about its performance with respect to these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3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25"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val="0"/>
          <w:strike w:val="0"/>
          <w:noProof w:val="0"/>
          <w:color w:val="000000"/>
          <w:position w:val="0"/>
          <w:sz w:val="20"/>
          <w:u w:val="none"/>
          <w:vertAlign w:val="baseline"/>
        </w:rPr>
        <w:t>.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2017-12024 Filed 6-8-17;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9,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July 10,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Webinars:</w:t>
      </w:r>
      <w:r>
        <w:rPr>
          <w:rFonts w:ascii="arial" w:eastAsia="arial" w:hAnsi="arial" w:cs="arial"/>
          <w:b w:val="0"/>
          <w:i w:val="0"/>
          <w:strike w:val="0"/>
          <w:noProof w:val="0"/>
          <w:color w:val="000000"/>
          <w:position w:val="0"/>
          <w:sz w:val="20"/>
          <w:u w:val="none"/>
          <w:vertAlign w:val="baseline"/>
        </w:rPr>
        <w:t xml:space="preserve"> Information about pre-application webinars will be posted at </w:t>
      </w:r>
      <w:hyperlink r:id="rId16" w:history="1">
        <w:r>
          <w:rPr>
            <w:rFonts w:ascii="arial" w:eastAsia="arial" w:hAnsi="arial" w:cs="arial"/>
            <w:b w:val="0"/>
            <w:i/>
            <w:strike w:val="0"/>
            <w:noProof w:val="0"/>
            <w:color w:val="0077CC"/>
            <w:position w:val="0"/>
            <w:sz w:val="20"/>
            <w:u w:val="single"/>
            <w:vertAlign w:val="baseline"/>
          </w:rPr>
          <w:t>https://innovation.ed.gov/what-we-do/american-history-and-civics-</w:t>
        </w:r>
      </w:hyperlink>
      <w:r>
        <w:rPr>
          <w:rFonts w:ascii="arial" w:eastAsia="arial" w:hAnsi="arial" w:cs="arial"/>
          <w:b w:val="0"/>
          <w:i/>
          <w:strike w:val="0"/>
          <w:noProof w:val="0"/>
          <w:color w:val="000000"/>
          <w:position w:val="0"/>
          <w:sz w:val="20"/>
          <w:u w:val="none"/>
          <w:vertAlign w:val="baseline"/>
        </w:rPr>
        <w:t xml:space="preserve"> academies/.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24,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22,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Christine Miller, U.S. Department of Education, 400 Maryland Avenue SW., Room 4W205, Washington, DC 20202-5960. Or by email: </w:t>
      </w:r>
      <w:hyperlink r:id="rId14" w:history="1">
        <w:r>
          <w:rPr>
            <w:rFonts w:ascii="arial" w:eastAsia="arial" w:hAnsi="arial" w:cs="arial"/>
            <w:b w:val="0"/>
            <w:i/>
            <w:strike w:val="0"/>
            <w:noProof w:val="0"/>
            <w:color w:val="0077CC"/>
            <w:position w:val="0"/>
            <w:sz w:val="20"/>
            <w:u w:val="single"/>
            <w:vertAlign w:val="baseline"/>
          </w:rPr>
          <w:t>Academies@ed.gov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26783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T7-0130-006W-81YP-00000-00&amp;context=" TargetMode="External" /><Relationship Id="rId11" Type="http://schemas.openxmlformats.org/officeDocument/2006/relationships/hyperlink" Target="https://advance.lexis.com/api/document?collection=administrative-codes&amp;id=urn:contentItem:5GMB-DPB0-008H-0269-00000-00&amp;context=" TargetMode="External" /><Relationship Id="rId12" Type="http://schemas.openxmlformats.org/officeDocument/2006/relationships/hyperlink" Target="https://advance.lexis.com/api/document?collection=administrative-codes&amp;id=urn:contentItem:5GMB-DPB0-008H-026C-00000-00&amp;context=" TargetMode="External" /><Relationship Id="rId13" Type="http://schemas.openxmlformats.org/officeDocument/2006/relationships/hyperlink" Target="mailto:Christine.Miller@ed.gov" TargetMode="External" /><Relationship Id="rId14" Type="http://schemas.openxmlformats.org/officeDocument/2006/relationships/hyperlink" Target="mailto:Academies@ed.gov" TargetMode="External" /><Relationship Id="rId15" Type="http://schemas.openxmlformats.org/officeDocument/2006/relationships/hyperlink" Target="https://advance.lexis.com/api/document?collection=administrative-codes&amp;id=urn:contentItem:5G9C-N1H0-008H-002J-00000-00&amp;context=" TargetMode="External" /><Relationship Id="rId16" Type="http://schemas.openxmlformats.org/officeDocument/2006/relationships/hyperlink" Target="https://innovation.ed.gov/what-we-do/american-history-and-civics-" TargetMode="External" /><Relationship Id="rId17" Type="http://schemas.openxmlformats.org/officeDocument/2006/relationships/hyperlink" Target="http://fedgov.dnb.com/webform" TargetMode="External" /><Relationship Id="rId18" Type="http://schemas.openxmlformats.org/officeDocument/2006/relationships/hyperlink" Target="http://www.SAM.gov" TargetMode="External" /><Relationship Id="rId19" Type="http://schemas.openxmlformats.org/officeDocument/2006/relationships/hyperlink" Target="http://www.grants.gov/web/grants/register.html" TargetMode="External" /><Relationship Id="rId2" Type="http://schemas.openxmlformats.org/officeDocument/2006/relationships/webSettings" Target="webSettings.xml" /><Relationship Id="rId20" Type="http://schemas.openxmlformats.org/officeDocument/2006/relationships/hyperlink" Target="http://www.Grants.gov" TargetMode="External" /><Relationship Id="rId21" Type="http://schemas.openxmlformats.org/officeDocument/2006/relationships/hyperlink" Target="http://www.G5.gov" TargetMode="External" /><Relationship Id="rId22" Type="http://schemas.openxmlformats.org/officeDocument/2006/relationships/hyperlink" Target="http://www.grants.gov/web/grants/applicants/apply-for-grants.html" TargetMode="External" /><Relationship Id="rId23" Type="http://schemas.openxmlformats.org/officeDocument/2006/relationships/hyperlink" Target="https://advance.lexis.com/api/document?collection=administrative-codes&amp;id=urn:contentItem:5S7T-7HS0-008H-02VY-00000-00&amp;context=" TargetMode="External" /><Relationship Id="rId24" Type="http://schemas.openxmlformats.org/officeDocument/2006/relationships/hyperlink" Target="https://advance.lexis.com/api/document?collection=administrative-codes&amp;id=urn:contentItem:5GMB-DPB0-008H-02GP-00000-00&amp;context=" TargetMode="External" /><Relationship Id="rId25" Type="http://schemas.openxmlformats.org/officeDocument/2006/relationships/hyperlink" Target="https://advance.lexis.com/api/document?collection=administrative-codes&amp;id=urn:contentItem:5KS0-F5W0-008H-023P-00000-00&amp;context=" TargetMode="External" /><Relationship Id="rId26" Type="http://schemas.openxmlformats.org/officeDocument/2006/relationships/hyperlink" Target="https://advance.lexis.com/api/document?collection=administrative-codes&amp;id=urn:contentItem:5R5H-J1H0-008H-043K-00000-00&amp;context=" TargetMode="External" /><Relationship Id="rId27" Type="http://schemas.openxmlformats.org/officeDocument/2006/relationships/hyperlink" Target="https://advance.lexis.com/api/document?collection=administrative-codes&amp;id=urn:contentItem:5KS0-F5W0-008H-024V-00000-00&amp;context=" TargetMode="External" /><Relationship Id="rId28" Type="http://schemas.openxmlformats.org/officeDocument/2006/relationships/hyperlink" Target="https://advance.lexis.com/api/document?collection=administrative-codes&amp;id=urn:contentItem:5KS0-F600-008H-02PT-00000-00&amp;context=" TargetMode="External" /><Relationship Id="rId29" Type="http://schemas.openxmlformats.org/officeDocument/2006/relationships/hyperlink" Target="https://advance.lexis.com/api/document?collection=administrative-codes&amp;id=urn:contentItem:5KS0-F5W0-008H-025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HDM-DHF0-008G-Y2NJ-00000-00&amp;context=" TargetMode="External" /><Relationship Id="rId31" Type="http://schemas.openxmlformats.org/officeDocument/2006/relationships/hyperlink" Target="https://advance.lexis.com/api/document?collection=administrative-codes&amp;id=urn:contentItem:5F34-Y1R0-008G-Y1F9-00000-00&amp;context=" TargetMode="External" /><Relationship Id="rId32" Type="http://schemas.openxmlformats.org/officeDocument/2006/relationships/hyperlink" Target="https://advance.lexis.com/api/document?collection=administrative-codes&amp;id=urn:contentItem:5F2R-48P0-008G-Y31V-00000-00&amp;context=" TargetMode="External" /><Relationship Id="rId33" Type="http://schemas.openxmlformats.org/officeDocument/2006/relationships/hyperlink" Target="https://advance.lexis.com/api/document?collection=administrative-codes&amp;id=urn:contentItem:5GMB-DPC0-008H-02S7-00000-00&amp;context=" TargetMode="External" /><Relationship Id="rId34" Type="http://schemas.openxmlformats.org/officeDocument/2006/relationships/hyperlink" Target="https://advance.lexis.com/api/document?collection=administrative-codes&amp;id=urn:contentItem:5GMB-DPC0-008H-02SK-00000-00&amp;context=" TargetMode="External" /><Relationship Id="rId35" Type="http://schemas.openxmlformats.org/officeDocument/2006/relationships/hyperlink" Target="http://www.ed.gov/fund/grant/apply/appforms/appforms.html" TargetMode="External" /><Relationship Id="rId36" Type="http://schemas.openxmlformats.org/officeDocument/2006/relationships/hyperlink" Target="https://advance.lexis.com/api/document?collection=administrative-codes&amp;id=urn:contentItem:5GMB-DPB0-008H-0272-00000-00&amp;context=" TargetMode="External" /><Relationship Id="rId37" Type="http://schemas.openxmlformats.org/officeDocument/2006/relationships/hyperlink" Target="https://advance.lexis.com/api/document?collection=administrative-codes&amp;id=urn:contentItem:5GMB-DPB0-008H-02K8-00000-00&amp;context=" TargetMode="External" /><Relationship Id="rId38" Type="http://schemas.openxmlformats.org/officeDocument/2006/relationships/hyperlink" Target="http://www.gpo.gov/fdsys" TargetMode="External" /><Relationship Id="rId39" Type="http://schemas.openxmlformats.org/officeDocument/2006/relationships/hyperlink" Target="http://www.federalregister.gov"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RN-VPY0-006W-81CP-00000-00&amp;context=" TargetMode="External" /><Relationship Id="rId8" Type="http://schemas.openxmlformats.org/officeDocument/2006/relationships/hyperlink" Target="https://advance.lexis.com/api/document?collection=administrative-codes&amp;id=urn:contentItem:5GMB-DPB0-008H-02BK-00000-00&amp;context=" TargetMode="External" /><Relationship Id="rId9" Type="http://schemas.openxmlformats.org/officeDocument/2006/relationships/hyperlink" Target="https://advance.lexis.com/api/document?collection=statutes-legislation&amp;id=urn:contentItem:4YF7-GRC1-NRF4-426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26783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71560696</vt:lpwstr>
  </property>
  <property fmtid="{D5CDD505-2E9C-101B-9397-08002B2CF9AE}" pid="3" name="LADocCount">
    <vt:lpwstr>1</vt:lpwstr>
  </property>
  <property fmtid="{D5CDD505-2E9C-101B-9397-08002B2CF9AE}" pid="4" name="UserPermID">
    <vt:lpwstr>urn:user:PA185916758</vt:lpwstr>
  </property>
</Properties>
</file>