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26820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110, Friday, June 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26820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Amend the Exchange's Fees at Rule 7046</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34-80856; File No. SR-NASDAQ-2017-051]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June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May 23, 2017,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Exchange's fees at Rule 7046 to: (i) Introduce a new fee structure that would allow members to sponsor their customers to receive Nasdaq Trading Insights for a $ 1,000 per month sponsorship fee to be paid by the member, and fees based on the number of ports to be paid by the sponsored firm; and (ii) extend a free trial offer period from 14 to 30 days. The changes are described in further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amend the Exchange's fees at Rule 7046 to: (i) Introduce a new fee structure that would allow members to sponsor their customers to receive Nasdaq Trading Insights for a $ 1,000 per month sponsorship fee to be paid by the member, and fees based on the number of ports to be paid by the sponsored firm; and (ii) extend a free trial offer period from 14 to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Trading Insights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Trading Insights is an optional market data service that employs advanced analytics and machine learning to analyze order activity. It is comprised of three active market data components: (a) Missed Opportunity--Liquidity; (b) Missed Opportunity--Latency; and (c) Peer Benchmarking. The initial filing for this product had also proposed a fourth component--a Liquidity Dynamics Analysis--which, as reported in a prior filing, n3 has been delayed in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Release No. 79119 (October 19, 2016), </w:t>
      </w:r>
      <w:hyperlink r:id="rId11" w:history="1">
        <w:r>
          <w:rPr>
            <w:rFonts w:ascii="arial" w:eastAsia="arial" w:hAnsi="arial" w:cs="arial"/>
            <w:b w:val="0"/>
            <w:i/>
            <w:strike w:val="0"/>
            <w:noProof w:val="0"/>
            <w:color w:val="0077CC"/>
            <w:position w:val="0"/>
            <w:sz w:val="20"/>
            <w:u w:val="single"/>
            <w:vertAlign w:val="baseline"/>
          </w:rPr>
          <w:t>81 FR 73157</w:t>
        </w:r>
      </w:hyperlink>
      <w:r>
        <w:rPr>
          <w:rFonts w:ascii="arial" w:eastAsia="arial" w:hAnsi="arial" w:cs="arial"/>
          <w:b w:val="0"/>
          <w:i w:val="0"/>
          <w:strike w:val="0"/>
          <w:noProof w:val="0"/>
          <w:color w:val="000000"/>
          <w:position w:val="0"/>
          <w:sz w:val="20"/>
          <w:u w:val="none"/>
          <w:vertAlign w:val="baseline"/>
        </w:rPr>
        <w:t xml:space="preserve"> (October 24, 2016) (SR-NASDAQ-2016-138).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Missed Opportunity--Liquidity component identifies when an order from a market participant could have been increased in size, resulting in the execution of additional shares. This component is designed to provide information to a market participant interested in gaining insight into hidden pockets of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Missed Opportunity--Latency component identifies the amount of time by which an otherwise marketable order missed execution. This component is designed to provide information to market participants interested in optimizing their models and trading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Peer Benchmarking component ranks the quality of a market participant's trading performance against its peers, allowing market participants to view their relative trading performance by port, n4 with each port ranked independently by each metric against the ports of peer firms trading on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 port is a means by which a member firm connects to Nasdaq's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market participant is eligible to receive information regarding only its own data for each Trading Insights component. That data is provided on a T+1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proposal to create Trading Insights, filed in August of 2016, n5 included a Liquidity Dynamics Analysis component, which was to help market participants identify pockets of accessible liquidity. In October of 2016, the Exchange announced that this component would be delayed and unavailable to subscribers.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78462 (August 2, 2016), </w:t>
      </w:r>
      <w:hyperlink r:id="rId12" w:history="1">
        <w:r>
          <w:rPr>
            <w:rFonts w:ascii="arial" w:eastAsia="arial" w:hAnsi="arial" w:cs="arial"/>
            <w:b w:val="0"/>
            <w:i/>
            <w:strike w:val="0"/>
            <w:noProof w:val="0"/>
            <w:color w:val="0077CC"/>
            <w:position w:val="0"/>
            <w:sz w:val="20"/>
            <w:u w:val="single"/>
            <w:vertAlign w:val="baseline"/>
          </w:rPr>
          <w:t>81 FR 52486</w:t>
        </w:r>
      </w:hyperlink>
      <w:r>
        <w:rPr>
          <w:rFonts w:ascii="arial" w:eastAsia="arial" w:hAnsi="arial" w:cs="arial"/>
          <w:b w:val="0"/>
          <w:i w:val="0"/>
          <w:strike w:val="0"/>
          <w:noProof w:val="0"/>
          <w:color w:val="000000"/>
          <w:position w:val="0"/>
          <w:sz w:val="20"/>
          <w:u w:val="none"/>
          <w:vertAlign w:val="baseline"/>
        </w:rPr>
        <w:t xml:space="preserve"> (August 8, 2016) (SR-NASDAQ-2016-101).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Release No. 79119 (October 19, 2016), </w:t>
      </w:r>
      <w:hyperlink r:id="rId11" w:history="1">
        <w:r>
          <w:rPr>
            <w:rFonts w:ascii="arial" w:eastAsia="arial" w:hAnsi="arial" w:cs="arial"/>
            <w:b w:val="0"/>
            <w:i/>
            <w:strike w:val="0"/>
            <w:noProof w:val="0"/>
            <w:color w:val="0077CC"/>
            <w:position w:val="0"/>
            <w:sz w:val="20"/>
            <w:u w:val="single"/>
            <w:vertAlign w:val="baseline"/>
          </w:rPr>
          <w:t>81 FR 73157</w:t>
        </w:r>
      </w:hyperlink>
      <w:r>
        <w:rPr>
          <w:rFonts w:ascii="arial" w:eastAsia="arial" w:hAnsi="arial" w:cs="arial"/>
          <w:b w:val="0"/>
          <w:i w:val="0"/>
          <w:strike w:val="0"/>
          <w:noProof w:val="0"/>
          <w:color w:val="000000"/>
          <w:position w:val="0"/>
          <w:sz w:val="20"/>
          <w:u w:val="none"/>
          <w:vertAlign w:val="baseline"/>
        </w:rPr>
        <w:t xml:space="preserve"> (October 24, 2016) (SR-NASDAQ-2016-138).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subscription to Nasdaq Trading Insights is currently available for a monthly fee based on the number of ports for which the market participant subscribes to such information: $ 1,500 for 1-5 ports; $ 2,000 for 6-15 ports; $ 2,500 for 16-25 ports; and $ 3,500 for 26 ports or more. There is no current fee structure that would allow members to sponsor their customers to receive Nasdaq Trading Insights.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two changes to the Trading Insights product: (i) Introduce a new fee structure that would allow members to sponsor their customers to receive Nasdaq Trading Insights for a $ 1,000 per month sponsorship fee to be paid by the member, and fees based on the number of ports to be paid by the sponsored firm; and (ii) extend a free trial offer period from 14 to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Sponsorship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introduce a new fee structure that would allow members to sponsor an unlimited number of their customers to obtain access to Trading Insights' analytics for a $ 1,000 per month sponsorship fee to </w:t>
      </w:r>
      <w:r>
        <w:rPr>
          <w:rFonts w:ascii="arial" w:eastAsia="arial" w:hAnsi="arial" w:cs="arial"/>
          <w:b/>
          <w:i w:val="0"/>
          <w:strike w:val="0"/>
          <w:noProof w:val="0"/>
          <w:color w:val="000000"/>
          <w:position w:val="0"/>
          <w:sz w:val="20"/>
          <w:u w:val="none"/>
          <w:vertAlign w:val="baseline"/>
        </w:rPr>
        <w:t> [*26821] </w:t>
      </w:r>
      <w:r>
        <w:rPr>
          <w:rFonts w:ascii="arial" w:eastAsia="arial" w:hAnsi="arial" w:cs="arial"/>
          <w:b w:val="0"/>
          <w:i w:val="0"/>
          <w:strike w:val="0"/>
          <w:noProof w:val="0"/>
          <w:color w:val="000000"/>
          <w:position w:val="0"/>
          <w:sz w:val="20"/>
          <w:u w:val="none"/>
          <w:vertAlign w:val="baseline"/>
        </w:rPr>
        <w:t xml:space="preserve"> be paid by the member, as well as standard fees based on the number of ports to be paid by the sponsored firm(s) set forth in Rule 7046(b)(2). Standard fees for both members and sponsored firms will be at the current rates: $ 1,500 for 1-5 ports; $ 2,000 for 6-15 ports; $ 2,500 for 16-25 ports; and $ 3,500 for 26 ports or more. A sponsoring member may receive data from the same port as a sponsored firm, but only the sponsored firm would be charged a fee for that data. The sponsoring member will be charged a Standard Fee for Trading Insights on all ports transmitting the proprietary data of that member, but the sponsoring member will not be charged for any data on ports subscribed by a sponsored firm.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For example, a member firm that subscribes to Trading Insights information on six ports, and sponsors a firm to subscribe to Trading Insight information on one of those six ports, will be charged Standard Fees for five ports, while the sponsored firm will be charged Standard Fees for one 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member will only be able to view data concerning ports that contain information related to its own proprietary trading or its customers' trading. n8 A sponsored firm will only be able to view data on ports that contain its own trading information. A member will not be able to view data concerning the ports of other members or the customers of other members. A customer will not be able to view data concerning the ports of other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 Securities Exchange Act Release No. 78462 (August 2, 2016), </w:t>
      </w:r>
      <w:hyperlink r:id="rId12" w:history="1">
        <w:r>
          <w:rPr>
            <w:rFonts w:ascii="arial" w:eastAsia="arial" w:hAnsi="arial" w:cs="arial"/>
            <w:b w:val="0"/>
            <w:i/>
            <w:strike w:val="0"/>
            <w:noProof w:val="0"/>
            <w:color w:val="0077CC"/>
            <w:position w:val="0"/>
            <w:sz w:val="20"/>
            <w:u w:val="single"/>
            <w:vertAlign w:val="baseline"/>
          </w:rPr>
          <w:t>81 FR 52486</w:t>
        </w:r>
      </w:hyperlink>
      <w:r>
        <w:rPr>
          <w:rFonts w:ascii="arial" w:eastAsia="arial" w:hAnsi="arial" w:cs="arial"/>
          <w:b w:val="0"/>
          <w:i w:val="0"/>
          <w:strike w:val="0"/>
          <w:noProof w:val="0"/>
          <w:color w:val="000000"/>
          <w:position w:val="0"/>
          <w:sz w:val="20"/>
          <w:u w:val="none"/>
          <w:vertAlign w:val="baseline"/>
        </w:rPr>
        <w:t xml:space="preserve"> (August 8, 2016) (SR-NASDAQ-2016-101), the Exchange stated that it would ensure that each market participant receives only its own unique data and would not be able to obtain any other market participant's unique data. As a narrow exception to this general proposition, it is appropriate for a member to have access to its customer's information because the customer itself discloses trading activity to the member, and the Trading Insights information will enable the member to act more effectively on its customer's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change will increase market transparency by creating a fee structure designed to encourage the dissemination of Trading Insights information to non-members by setting a sponsorship fee that remains flat notwithstanding the number of non-members receiving that information. As such, the proposed change is fair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Trial Offers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extend the current 14 day free trial offer to 30 days. The trial may be repeated if the Exchange elects to release a new version of the product. The Exchange has found that the additional time is necessary for potential subscribers to thoroughly test the product, and the Exchange believes that such enhanced testing will lead to more subscriptions to the product. The Exchange will offer additional free trials if Nasdaq elects to release a new version of the product that warrants new testing. The Exchange will report the release of any new version of the product on the Nasdaq Trader Web site (</w:t>
      </w:r>
      <w:hyperlink r:id="rId13" w:history="1">
        <w:r>
          <w:rPr>
            <w:rFonts w:ascii="arial" w:eastAsia="arial" w:hAnsi="arial" w:cs="arial"/>
            <w:b w:val="0"/>
            <w:i/>
            <w:strike w:val="0"/>
            <w:noProof w:val="0"/>
            <w:color w:val="0077CC"/>
            <w:position w:val="0"/>
            <w:sz w:val="20"/>
            <w:u w:val="single"/>
            <w:vertAlign w:val="baseline"/>
          </w:rPr>
          <w:t>www.nasdaqtrader.com</w:t>
        </w:r>
      </w:hyperlink>
      <w:r>
        <w:rPr>
          <w:rFonts w:ascii="arial" w:eastAsia="arial" w:hAnsi="arial" w:cs="arial"/>
          <w:b w:val="0"/>
          <w:i w:val="0"/>
          <w:strike w:val="0"/>
          <w:noProof w:val="0"/>
          <w:color w:val="000000"/>
          <w:position w:val="0"/>
          <w:sz w:val="20"/>
          <w:u w:val="none"/>
          <w:vertAlign w:val="baseline"/>
        </w:rPr>
        <w:t>), or a successor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a technical change to Rule 7046(b)(1), the paragraph including the trial offer provision, to delete a sentence stating that the product will not be pro-rated. This sentence is unnecessary because it is repeated in Rule 7046(b)(2).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 for Trading Insights are optional in that they apply only to firms that elect to purchase the product. The proposed changes do not impact the cost of any other Nasdaq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n9 in general, and furthers the objectives of Sections 6(b)(4) and 6(b)(5) of the Act, n10 in particular, in that it provides for the equitable allocation of reasonable dues, fees and other charges among members and issuers and other persons using any facility,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4"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creates a fee structure designed to encourage the dissemination of Nasdaq Trading Insights to non-members by setting a sponsorship fee that remains flat notwithstanding the number of non-members receiving that information. Lengthening trial periods for new potential subscribers will also increase distribution by allowing potential subscribers to become more familiar with the benefits of the product, which may lead to additional subscriptions.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provides for the equitable allocation of reasonable dues, fees and other charges among members and issuers and other persons using any facility because the proposed fee structure reasonably reflects the value that members and sponsored customers receive for their service. The new $ 1,000 per month sponsorship fee for members enables them to distribute Trading Insights information to an unlimited number of customers for a flat fee, and provides the member with an opportunity to view customer port data without paying the Standard Fees paid by their customers. The Standard Fees paid by customers will allow them to obtain port information at exactly the same rates that would be paid by members. The fee structure therefore reflects the value of Trading Insights to both customers and members,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all similarly-situated persons will be charged the same fee for the same service. All members that opt to purchase the service or sponsor a customer for that service will be charged the same standard and sponsorship fees. All customers that are sponsored by a member and opt to purchase the service will be charged the same standard fees for information on their ports. The service is not available to non-members and customers not sponsored by a member because the information provided by this service pertains only to ports used by members and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 the Commission granted SROs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Nasdaq believes that Nasdaq Trading Insights--which employs advanced analytics and machine learning to analyze order activity--is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NMS--deregulating the market in proprietary data--would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5"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n13 ("NetCoalition") the D.C. Circuit upheld the Commission's use of a market-based </w:t>
      </w:r>
      <w:r>
        <w:rPr>
          <w:rFonts w:ascii="arial" w:eastAsia="arial" w:hAnsi="arial" w:cs="arial"/>
          <w:b/>
          <w:i w:val="0"/>
          <w:strike w:val="0"/>
          <w:noProof w:val="0"/>
          <w:color w:val="000000"/>
          <w:position w:val="0"/>
          <w:sz w:val="20"/>
          <w:u w:val="none"/>
          <w:vertAlign w:val="baseline"/>
        </w:rPr>
        <w:t> [*26822] </w:t>
      </w:r>
      <w:r>
        <w:rPr>
          <w:rFonts w:ascii="arial" w:eastAsia="arial" w:hAnsi="arial" w:cs="arial"/>
          <w:b w:val="0"/>
          <w:i w:val="0"/>
          <w:strike w:val="0"/>
          <w:noProof w:val="0"/>
          <w:color w:val="000000"/>
          <w:position w:val="0"/>
          <w:sz w:val="20"/>
          <w:u w:val="none"/>
          <w:vertAlign w:val="baseline"/>
        </w:rPr>
        <w:t xml:space="preserve"> approach in evaluating the fairness of market data fees against a challenge claiming that Congress mandated a cost-based approach. n14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n15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6"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6" w:history="1">
        <w:r>
          <w:rPr>
            <w:rFonts w:ascii="arial" w:eastAsia="arial" w:hAnsi="arial" w:cs="arial"/>
            <w:b w:val="0"/>
            <w:i/>
            <w:strike w:val="0"/>
            <w:noProof w:val="0"/>
            <w:color w:val="0077CC"/>
            <w:position w:val="0"/>
            <w:sz w:val="20"/>
            <w:u w:val="single"/>
            <w:vertAlign w:val="baseline"/>
          </w:rPr>
          <w:t>Id. at 537.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6"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7"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products such as Nasdaq Trading Insights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provide.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Sec. Indus. Fin. Mkts. Ass'n (SIFMA), Initial Decision Release No. 1015, 2016 SEC LEXIS 2278</w:t>
        </w:r>
      </w:hyperlink>
      <w:r>
        <w:rPr>
          <w:rFonts w:ascii="arial" w:eastAsia="arial" w:hAnsi="arial" w:cs="arial"/>
          <w:b w:val="0"/>
          <w:i w:val="0"/>
          <w:strike w:val="0"/>
          <w:noProof w:val="0"/>
          <w:color w:val="000000"/>
          <w:position w:val="0"/>
          <w:sz w:val="20"/>
          <w:u w:val="none"/>
          <w:vertAlign w:val="baseline"/>
        </w:rPr>
        <w:t xml:space="preserve"> (ALJ June 1, 2016) (finding the existence of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respect to non-core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are consistent with Section 6(b)(5) of the Act because they increase transparency by promoting the distribution of sophisticated trading analyses to sponsored firms and providing longer trial periods to allow potential subscribers to become more familiar with the benefits of the product. The proposed changes would not permit unfair discrimination because the Exchange will apply the same fee to all similarly-situated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 for Trading Insights are optional in that they apply only to firms that elect to purchase the product, which, like all proprietary data products, they may cancel at any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Indeed, the Exchange believes that the Nasdaq Trading Insights product enhances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providing new options for analyzing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data products is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firms may freely choose alternative venues and data vendors based on the aggregate fees assessed, the data offered, and the value provided.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n18 In Nasdaq's case,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 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an "excessive" price for one product will have to be reflected in lower prices for other products sold by the Exchange, or otherwise the Exchange may experience a loss in sales that may adversely affect its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instance, the proposed rule change enhances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creating a fee structure that encourages the dissemination of Nasdaq Trading Insights to non-members and expanding free trial offers to allow members and non-members to become more familiar with the product. If Nasdaq Trading Insights were to become unattractive to members and sponsored firms, those </w:t>
      </w:r>
      <w:r>
        <w:rPr>
          <w:rFonts w:ascii="arial" w:eastAsia="arial" w:hAnsi="arial" w:cs="arial"/>
          <w:b/>
          <w:i w:val="0"/>
          <w:strike w:val="0"/>
          <w:noProof w:val="0"/>
          <w:color w:val="000000"/>
          <w:position w:val="0"/>
          <w:sz w:val="20"/>
          <w:u w:val="none"/>
          <w:vertAlign w:val="baseline"/>
        </w:rPr>
        <w:t> [*26823] </w:t>
      </w:r>
      <w:r>
        <w:rPr>
          <w:rFonts w:ascii="arial" w:eastAsia="arial" w:hAnsi="arial" w:cs="arial"/>
          <w:b w:val="0"/>
          <w:i w:val="0"/>
          <w:strike w:val="0"/>
          <w:noProof w:val="0"/>
          <w:color w:val="000000"/>
          <w:position w:val="0"/>
          <w:sz w:val="20"/>
          <w:u w:val="none"/>
          <w:vertAlign w:val="baseline"/>
        </w:rPr>
        <w:t xml:space="preserve"> firms would opt not to purchase the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0"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SR-NASDAQ-2017-051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SR-NASDAQ-2017-051. This file number should be included on the subject line if email is used. To help the Commission process and review your comments more efficiently, please use only one method. The Commission will post all comments on the Commission's Internet Web site (</w:t>
      </w:r>
      <w:hyperlink r:id="rId1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SR-NASDAQ-2017-051, and should be submitted on or before June 30,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1"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authority.&lt;20&gt;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2017-11961 Filed 6-8-17;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26820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administrative-codes&amp;id=urn:contentItem:5M11-SWV0-006W-84BB-00000-00&amp;context=" TargetMode="External" /><Relationship Id="rId12" Type="http://schemas.openxmlformats.org/officeDocument/2006/relationships/hyperlink" Target="https://advance.lexis.com/api/document?collection=administrative-codes&amp;id=urn:contentItem:5KDM-WDR0-006W-80MB-00000-00&amp;context=" TargetMode="External" /><Relationship Id="rId13" Type="http://schemas.openxmlformats.org/officeDocument/2006/relationships/hyperlink" Target="http://www.nasdaqtrader.com" TargetMode="External" /><Relationship Id="rId14" Type="http://schemas.openxmlformats.org/officeDocument/2006/relationships/hyperlink" Target="https://advance.lexis.com/api/document?collection=statutes-legislation&amp;id=urn:contentItem:4YF7-GPC1-NRF4-4309-00000-00&amp;context=" TargetMode="External" /><Relationship Id="rId15" Type="http://schemas.openxmlformats.org/officeDocument/2006/relationships/hyperlink" Target="https://advance.lexis.com/api/document?collection=administrative-codes&amp;id=urn:contentItem:4GH9-4PB0-014W-D1VJ-00000-00&amp;context=" TargetMode="External" /><Relationship Id="rId16" Type="http://schemas.openxmlformats.org/officeDocument/2006/relationships/hyperlink" Target="https://advance.lexis.com/api/document?collection=cases&amp;id=urn:contentItem:803V-DT30-YB0V-T01B-00000-00&amp;context=" TargetMode="External" /><Relationship Id="rId17" Type="http://schemas.openxmlformats.org/officeDocument/2006/relationships/hyperlink" Target="https://advance.lexis.com/api/document?collection=administrative-codes&amp;id=urn:contentItem:4V3T-8BP0-006W-834G-00000-00&amp;context=" TargetMode="External" /><Relationship Id="rId18" Type="http://schemas.openxmlformats.org/officeDocument/2006/relationships/hyperlink" Target="https://advance.lexis.com/api/document?collection=administrative-materials&amp;id=urn:contentItem:5K44-XNM0-000Y-43WY-00000-00&amp;context=" TargetMode="External" /><Relationship Id="rId19" Type="http://schemas.openxmlformats.org/officeDocument/2006/relationships/hyperlink" Target="http://www.sec.gov/rules/sro.shtml" TargetMode="External" /><Relationship Id="rId2" Type="http://schemas.openxmlformats.org/officeDocument/2006/relationships/webSettings" Target="webSettings.xml" /><Relationship Id="rId20" Type="http://schemas.openxmlformats.org/officeDocument/2006/relationships/hyperlink" Target="mailto:rule-comments@sec.gov" TargetMode="External" /><Relationship Id="rId21" Type="http://schemas.openxmlformats.org/officeDocument/2006/relationships/hyperlink" Target="https://advance.lexis.com/api/document?collection=administrative-codes&amp;id=urn:contentItem:5SPP-2120-008G-Y2ND-00000-00&amp;context=" TargetMode="Externa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RN-VPY0-006W-81DV-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63445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71343525</vt:lpwstr>
  </property>
  <property fmtid="{D5CDD505-2E9C-101B-9397-08002B2CF9AE}" pid="3" name="LADocCount">
    <vt:lpwstr>1</vt:lpwstr>
  </property>
  <property fmtid="{D5CDD505-2E9C-101B-9397-08002B2CF9AE}" pid="4" name="UserPermID">
    <vt:lpwstr>urn:user:PA185916758</vt:lpwstr>
  </property>
</Properties>
</file>