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27318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113, Wednesday, June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27318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Merge the OpenView Depth-of-Book Product Into TotalView</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34-80891; File No. SR-NASDAQ-2017-054]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June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May 26, 2017,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merge the OpenView depth-of-book product into TotalView, and to amend the Exchange's fees at Rules 7023 and 7026 to reflect the merger of these two products, as described further below. The Exchange has designated the proposed amendments to be operative on August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amend the Exchange's fees at Rules 7023 and 7026 to merge the OpenView depth-of-book product into TotalView.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TotalView and OpenView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TotalView, the Exchange's complete depth data feed product for Nasdaq-listed securities, provides every eligible order at every price level for all Nasdaq members, as well as Net Order Imbalance information. n3 OpenView--almost universally purchased in conjunction with Nasdaq's other depth-of-book products, TotalView and Level 2 n4 --provides the same information as TotalView for stocks listed on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Net Order Imbalance information provides data relating to buy and sell interest at the open and close of the trading day, in the context of an Initial Public Offering, and after a trading halt.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79863 (January 23, 2017) </w:t>
      </w:r>
      <w:r>
        <w:rPr>
          <w:rFonts w:ascii="arial" w:eastAsia="arial" w:hAnsi="arial" w:cs="arial"/>
          <w:b w:val="0"/>
          <w:i/>
          <w:strike w:val="0"/>
          <w:noProof w:val="0"/>
          <w:color w:val="000000"/>
          <w:position w:val="0"/>
          <w:sz w:val="20"/>
          <w:u w:val="none"/>
          <w:vertAlign w:val="baseline"/>
        </w:rPr>
        <w:t>82 FR 8632</w:t>
      </w:r>
      <w:r>
        <w:rPr>
          <w:rFonts w:ascii="arial" w:eastAsia="arial" w:hAnsi="arial" w:cs="arial"/>
          <w:b w:val="0"/>
          <w:i w:val="0"/>
          <w:strike w:val="0"/>
          <w:noProof w:val="0"/>
          <w:color w:val="000000"/>
          <w:position w:val="0"/>
          <w:sz w:val="20"/>
          <w:u w:val="none"/>
          <w:vertAlign w:val="baseline"/>
        </w:rPr>
        <w:t xml:space="preserve"> (January 27, 2017) (SR-NASDAQ-2017-004) (explaining that Level 2 will be retired as a separate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TotalView and OpenView may be purchased through monthly subscription fees or enterprise license fees. Different fee structures apply if purchasers opt to view TotalView or OpenView using an Enhanced Display Solution ("EDS") or utilize the data in a non-display fashion using a Managed Data Solution ("MDS"). The current fees associated with TotalView and OpenView that will be affected by the proposed changes, set forth in Rules 7023 and 7026,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 Subscriber Fees.</w:t>
      </w:r>
      <w:r>
        <w:rPr>
          <w:rFonts w:ascii="arial" w:eastAsia="arial" w:hAnsi="arial" w:cs="arial"/>
          <w:b w:val="0"/>
          <w:i w:val="0"/>
          <w:strike w:val="0"/>
          <w:noProof w:val="0"/>
          <w:color w:val="000000"/>
          <w:position w:val="0"/>
          <w:sz w:val="20"/>
          <w:u w:val="none"/>
          <w:vertAlign w:val="baseline"/>
        </w:rPr>
        <w:t xml:space="preserve"> Monthly Non-Professional per Subscriber fees are $ 14 for TotalView, n5 and $ 1 for OpenView. n6 Monthly Professional Subscriber fees are $ 70 for TotalView, n7 and $ 6 for OpenView.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Nasdaq Rule 7023(b)(2)(A).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Nasdaq Rule 7023(b)(3)(A).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Nasdaq Rule 7023(b)(2)(B). Fees are for Display Usage, or for Non-Display Usage based upon indirect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Nasdaq Rule 7023(b)(3)(B). Fees are for Display Usage, or for Non-Display Usage based upon indirect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Professional Subscriber Fees for Non-Display Usage.</w:t>
      </w:r>
      <w:r>
        <w:rPr>
          <w:rFonts w:ascii="arial" w:eastAsia="arial" w:hAnsi="arial" w:cs="arial"/>
          <w:b w:val="0"/>
          <w:i w:val="0"/>
          <w:strike w:val="0"/>
          <w:noProof w:val="0"/>
          <w:color w:val="000000"/>
          <w:position w:val="0"/>
          <w:sz w:val="20"/>
          <w:u w:val="none"/>
          <w:vertAlign w:val="baseline"/>
        </w:rPr>
        <w:t xml:space="preserve"> The professional Subscriber fees for Non-Display Usage </w:t>
      </w:r>
      <w:r>
        <w:rPr>
          <w:rFonts w:ascii="arial" w:eastAsia="arial" w:hAnsi="arial" w:cs="arial"/>
          <w:b/>
          <w:i w:val="0"/>
          <w:strike w:val="0"/>
          <w:noProof w:val="0"/>
          <w:color w:val="000000"/>
          <w:position w:val="0"/>
          <w:sz w:val="20"/>
          <w:u w:val="none"/>
          <w:vertAlign w:val="baseline"/>
        </w:rPr>
        <w:t> [*27319] </w:t>
      </w:r>
      <w:r>
        <w:rPr>
          <w:rFonts w:ascii="arial" w:eastAsia="arial" w:hAnsi="arial" w:cs="arial"/>
          <w:b w:val="0"/>
          <w:i w:val="0"/>
          <w:strike w:val="0"/>
          <w:noProof w:val="0"/>
          <w:color w:val="000000"/>
          <w:position w:val="0"/>
          <w:sz w:val="20"/>
          <w:u w:val="none"/>
          <w:vertAlign w:val="baseline"/>
        </w:rPr>
        <w:t xml:space="preserve"> based upon direct access set forth in Rule 7023(b)(4) allow for the purchase of all depth-of-book products, including TotalView, Level 2 and OpenView, for one fee.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Rule 7023(b)(4) fees are based on the number of Subscribers; the fee structure allows a Subscriber to obtain any combination of TotalView, Level 2 and OpenView, or all three products, for the same per Subscriber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Enterprise License Fees.</w:t>
      </w:r>
      <w:r>
        <w:rPr>
          <w:rFonts w:ascii="arial" w:eastAsia="arial" w:hAnsi="arial" w:cs="arial"/>
          <w:b w:val="0"/>
          <w:i w:val="0"/>
          <w:strike w:val="0"/>
          <w:noProof w:val="0"/>
          <w:color w:val="000000"/>
          <w:position w:val="0"/>
          <w:sz w:val="20"/>
          <w:u w:val="none"/>
          <w:vertAlign w:val="baseline"/>
        </w:rPr>
        <w:t xml:space="preserve"> The enterprises [sic] license fees set forth in Nasdaq Rules 7023(c)(1) and (c)(2) allow for the purchase of TotalView and OpenView, and the enterprise license fees at 7023(c)(3) allow for the purchase of all three depth-of-book products, including TotalView, Level 2 and OpenView, under the same fee structure.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enterprise license fees set forth in Rules 7023(c)(1) and 7023(c)(2) are comprised of two components: An enterprise license fee and per-Subscriber monthly fees. A Distributor may obtain any combination of TotalView, Level 2 and OpenView, or all three products, for the same enterprise license and per-Subscriber monthly fees under Rules 7023(c)(1) and (c)(2). The fee structure set forth in Rule 7023(c)(3) is an enterprise license fee without per-Subscriber monthly fees. A Distributor may obtain any combination of TotalView, Level 2 and OpenView, or all three products, for the enterprise license fee set forth in Rule 7023(c)(3).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 Subscriber Fees for Enhanced Display Solutions.</w:t>
      </w:r>
      <w:r>
        <w:rPr>
          <w:rFonts w:ascii="arial" w:eastAsia="arial" w:hAnsi="arial" w:cs="arial"/>
          <w:b w:val="0"/>
          <w:i w:val="0"/>
          <w:strike w:val="0"/>
          <w:noProof w:val="0"/>
          <w:color w:val="000000"/>
          <w:position w:val="0"/>
          <w:sz w:val="20"/>
          <w:u w:val="none"/>
          <w:vertAlign w:val="baseline"/>
        </w:rPr>
        <w:t xml:space="preserve"> The monthly fee for Professional Subscribers using EDS under Rule 7026(a)(1)(B) is $ 74 for TotalView and Level 2 and $ 6 for OpenView. Non-Professional Subscribers of EDS pay the applicable TotalView, Level 2 or OpenView rates.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Nasdaq Rule 7026(a)(1)(B).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Enhanced Display Solution Enterprise License.</w:t>
      </w:r>
      <w:r>
        <w:rPr>
          <w:rFonts w:ascii="arial" w:eastAsia="arial" w:hAnsi="arial" w:cs="arial"/>
          <w:b w:val="0"/>
          <w:i w:val="0"/>
          <w:strike w:val="0"/>
          <w:noProof w:val="0"/>
          <w:color w:val="000000"/>
          <w:position w:val="0"/>
          <w:sz w:val="20"/>
          <w:u w:val="none"/>
          <w:vertAlign w:val="baseline"/>
        </w:rPr>
        <w:t xml:space="preserve"> The EDS enterprise license set forth in Rule 7026(a)(1)(C) allows TotalView and Level 2 to be distributed to an unlimited number of Professional Subscribers for $ 70, and OpenView for $ 6.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Managed Data Solutions.</w:t>
      </w:r>
      <w:r>
        <w:rPr>
          <w:rFonts w:ascii="arial" w:eastAsia="arial" w:hAnsi="arial" w:cs="arial"/>
          <w:b w:val="0"/>
          <w:i w:val="0"/>
          <w:strike w:val="0"/>
          <w:noProof w:val="0"/>
          <w:color w:val="000000"/>
          <w:position w:val="0"/>
          <w:sz w:val="20"/>
          <w:u w:val="none"/>
          <w:vertAlign w:val="baseline"/>
        </w:rPr>
        <w:t xml:space="preserve"> Rule 7026(b) sets forth a fee structure for MDS that applies the same fees for the distribution of TotalView, Level 2 and OpenView.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at Rules 7023 and 7026 to merge OpenView into TotalView. In substance, the Exchange will combine all fees for TotalView and OpenView into a single sum, without increasing the total price of the two products, and make a number of conforming changes to delete specific references to OpenView. The specific fee changes to Rules 7023 and 7026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 Subscriber Fees.</w:t>
      </w:r>
      <w:r>
        <w:rPr>
          <w:rFonts w:ascii="arial" w:eastAsia="arial" w:hAnsi="arial" w:cs="arial"/>
          <w:b w:val="0"/>
          <w:i w:val="0"/>
          <w:strike w:val="0"/>
          <w:noProof w:val="0"/>
          <w:color w:val="000000"/>
          <w:position w:val="0"/>
          <w:sz w:val="20"/>
          <w:u w:val="none"/>
          <w:vertAlign w:val="baseline"/>
        </w:rPr>
        <w:t xml:space="preserve"> Monthly Non-Professional per Subscriber fees will be changed from $ 14 for TotalView n12 and $ 1 for OpenView n13 to $ 15 for TotalView, which will be redefined in current Rule 7023(a)(1)(C) to include OpenView data. Monthly Professional Subscriber fees will be changed from $ 70 for TotalView n14 and $ 6 for OpenView n15 to $ 76 for TotalView, which will include OpenView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Nasdaq Rule 7023(b)(2)(A).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Nasdaq Rule 7023(b)(3)(A).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Nasdaq Rule 7023(b)(2)(B). Fees are for Display Usage, or for Non-Display Usage based upon indirect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Nasdaq Rule 7023(b)(3)(B).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Professional Subscriber Fees for Non-Display Usage.</w:t>
      </w:r>
      <w:r>
        <w:rPr>
          <w:rFonts w:ascii="arial" w:eastAsia="arial" w:hAnsi="arial" w:cs="arial"/>
          <w:b w:val="0"/>
          <w:i w:val="0"/>
          <w:strike w:val="0"/>
          <w:noProof w:val="0"/>
          <w:color w:val="000000"/>
          <w:position w:val="0"/>
          <w:sz w:val="20"/>
          <w:u w:val="none"/>
          <w:vertAlign w:val="baseline"/>
        </w:rPr>
        <w:t xml:space="preserve"> There will be no substantive change to the Professional Subscriber fees for Non-Display Usage set forth in Nasdaq Rule 7023(b)(4), which already allows for the purchase of all three depth-of-book products, including OpenView, TotalView and Level 2, under the same fee structure. Explicit references to OpenView will be deleted as a technical, conforming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Enterprise License Fees.</w:t>
      </w:r>
      <w:r>
        <w:rPr>
          <w:rFonts w:ascii="arial" w:eastAsia="arial" w:hAnsi="arial" w:cs="arial"/>
          <w:b w:val="0"/>
          <w:i w:val="0"/>
          <w:strike w:val="0"/>
          <w:noProof w:val="0"/>
          <w:color w:val="000000"/>
          <w:position w:val="0"/>
          <w:sz w:val="20"/>
          <w:u w:val="none"/>
          <w:vertAlign w:val="baseline"/>
        </w:rPr>
        <w:t xml:space="preserve"> There will be no substantive change to the enterprises [sic] license fees set forth in Nasdaq Rules 7023(c)(1), (c)(2) and (c)(3), which already allow for the purchase of depth-of-book products, including OpenView and TotalView, n16 for the same fee. Explicit references to OpenView will be deleted as a technical, conforming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Level 2 data is included under Nasdaq Rule 7023(c)(3).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 Subscriber Fees for Enhanced Display Solutions.</w:t>
      </w:r>
      <w:r>
        <w:rPr>
          <w:rFonts w:ascii="arial" w:eastAsia="arial" w:hAnsi="arial" w:cs="arial"/>
          <w:b w:val="0"/>
          <w:i w:val="0"/>
          <w:strike w:val="0"/>
          <w:noProof w:val="0"/>
          <w:color w:val="000000"/>
          <w:position w:val="0"/>
          <w:sz w:val="20"/>
          <w:u w:val="none"/>
          <w:vertAlign w:val="baseline"/>
        </w:rPr>
        <w:t xml:space="preserve"> The monthly fee for Professional Subscribers using EDS will be changed from $ 74 for TotalView and Level 2 and $ 6 for OpenView n17 to $ 80 for TotalView, which will include all OpenView data, and Level 2. Non-Professional Subscribers of EDS will continue to pay at the applicable TotalView or Level 2 rates. n18 Explicit references to OpenView will be deleted as a technical, conforming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Nasdaq Rule 7026(a)(1)(B).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Enhanced Display Solution Enterprise License.</w:t>
      </w:r>
      <w:r>
        <w:rPr>
          <w:rFonts w:ascii="arial" w:eastAsia="arial" w:hAnsi="arial" w:cs="arial"/>
          <w:b w:val="0"/>
          <w:i w:val="0"/>
          <w:strike w:val="0"/>
          <w:noProof w:val="0"/>
          <w:color w:val="000000"/>
          <w:position w:val="0"/>
          <w:sz w:val="20"/>
          <w:u w:val="none"/>
          <w:vertAlign w:val="baseline"/>
        </w:rPr>
        <w:t xml:space="preserve"> The monthly professional subscriber fee for purchasers of an enterprise license with EDS will be changed from $ 70 for TotalView and Level 2 and $ 6 for OpenView n19 to $ 76 for TotalView, which will include all OpenView data, and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Nasdaq Rule 7026(a)(1)(C).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Managed Data Solutions.</w:t>
      </w:r>
      <w:r>
        <w:rPr>
          <w:rFonts w:ascii="arial" w:eastAsia="arial" w:hAnsi="arial" w:cs="arial"/>
          <w:b w:val="0"/>
          <w:i w:val="0"/>
          <w:strike w:val="0"/>
          <w:noProof w:val="0"/>
          <w:color w:val="000000"/>
          <w:position w:val="0"/>
          <w:sz w:val="20"/>
          <w:u w:val="none"/>
          <w:vertAlign w:val="baseline"/>
        </w:rPr>
        <w:t xml:space="preserve"> There will be no substantive change to the fee structure for MDS set forth in Rule 7026(b), which already allows for the distribution of all three depth-of-book products, including OpenView, TotalView and Level 2, under the same fee structure. Explicit references to OpenView will be deleted as a technical, conforming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all of these changes, the definition of OpenView will be removed from the current Rule book at Rule 7023(a)(1)(B), and the data provided in OpenView will be added to the definition of TotalView currently in Rule 7023(a)(1)(C), which will be re-designated as Rule 7023(a)(1)(B).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will lower administrative costs and simplify the purchase of depth-of-book products, with no impact on fees for most customers. Almost all purchasers of depth products already purchase OpenView in conjunction with TotalView or Level 2, and prices will not change for these customers. Most of the limited number of customers purchasing TotalView or OpenView alone are in the process of phasing out the practice, and will not be materially affected by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Depth-of-book customers that purchase TotalView and OpenView together have to manage separate reporting, billing and approvals for two products that they utilize as a single product. The resulting administrative burden applies to four separate categories of fees: (i) Non-Professional per Subscriber fees for TotalView n20 and OpenView; n21 (ii) Professional Subscriber fees for TotalView n22 and OpenView; n23 (iii) monthly fees for Professional and Non-Professional Subscribers using EDS; n24 and (iv) monthly subscriber fees for purchasers of an EDS enterprise license. n25 The proposed change will lessen the administrative burden on these customers--representing the bulk of depth-of-book purchasers--while leaving fees and product quality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Nasdaq Rule 7023(b)(2)(A).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Nasdaq Rule 7023(b)(3)(A).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Nasdaq Rule 7023(b)(2)(B).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Nasdaq Rule 7023(b)(3)(B).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Nasdaq Rule 7026(a)(1)(B).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Nasdaq Rule 7026(a)(1)(C).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has engaged in discussions with Distributors that purchase OpenView without TotalView or Level 2--or TotalView or Level 2 without OpenView--and determined that this practice is being phased out. This practice had its origins before Nasdaq became an Exchange, when Nasdaq did not trade a significant number of securities listed on other exchanges. Now, Nasdaq routinely trades the securities of other exchanges, and the rationale for this practice is obsolete. As such, Nasdaq does not expect merging OpenView into TotalView to have a long-term impact on customers that are </w:t>
      </w:r>
      <w:r>
        <w:rPr>
          <w:rFonts w:ascii="arial" w:eastAsia="arial" w:hAnsi="arial" w:cs="arial"/>
          <w:b/>
          <w:i w:val="0"/>
          <w:strike w:val="0"/>
          <w:noProof w:val="0"/>
          <w:color w:val="000000"/>
          <w:position w:val="0"/>
          <w:sz w:val="20"/>
          <w:u w:val="none"/>
          <w:vertAlign w:val="baseline"/>
        </w:rPr>
        <w:t> [*27320] </w:t>
      </w:r>
      <w:r>
        <w:rPr>
          <w:rFonts w:ascii="arial" w:eastAsia="arial" w:hAnsi="arial" w:cs="arial"/>
          <w:b w:val="0"/>
          <w:i w:val="0"/>
          <w:strike w:val="0"/>
          <w:noProof w:val="0"/>
          <w:color w:val="000000"/>
          <w:position w:val="0"/>
          <w:sz w:val="20"/>
          <w:u w:val="none"/>
          <w:vertAlign w:val="baseline"/>
        </w:rPr>
        <w:t xml:space="preserve"> already in the process of deciding whether to purchase either both products, or neither, because of fundamental changes in the economic environment. The proposed fee change--which leaves the total cost of OpenView and TotalView unchanged--is unlikely to alter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transition time is needed to merge OpenView into TotalView--they are already offered in a compatible formats [sic] and Distributors require no time to modify their systems to accommodate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fees are optional in that they apply only to firms that elect to purchase these products. The proposed changes do not impact the cost of any other Nasdaq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n26 in general, and furthers the objectives of Sections 6(b)(4) and 6(b)(5) of the Act, n27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1"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2"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n29 ("NetCoalition") the D.C. Circuit upheld the Commission's use of a market-based approach in evaluating the fairness of market data fees against a challenge claiming that Congress mandated a cost-based approach. n30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13"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3"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4"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proposal to integrate Nasdaq TotalView and OpenView into a single depth-of-book product is an equitable allocation of reasonable dues, fees or other charges. Almost all purchasers of Nasdaq depth-of-book products already treat TotalView and OpenView as a single, combined product, and the proposed changes will reduce administrative burden. Customers that do not currently purchase both products are already in the process of deciding whether to purchase either both products, or neither, and the proposed fee change--which leaves the total cost of OpenView and TotalView unchanged--is unlikely to alter that decision. The fees for TotalView and OpenView, like all proprietary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products and among broker-dealers for customers. If Nasdaq is incorrect in its assessment of these markets, there are no barriers to entry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substantially similar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 changes are an equitable allocation because the fees appropriately reflect the value of depth-of-market data to customers as well as industry practice in which most customers purchase the current versions of TotalView and OpenView concurrently. The proposed fee changes are not unfairly discriminatory because the Exchange will apply the same fee to all similarly-situated subscribers.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whether the prices of depth-of-view products are constrained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was examined in 2016 by an Administrative Law Judge in an application for review by the Securities Industry and Financial Markets Association of actions taken by Self-Regulatory Organizations. n33 After a four-day hearing and presentation of substantial evidence, the administrative law judge stated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plays a significant role in restraining exchange pricing of depth-of-book products" n34 because "depth-of-book products from different exchanges function as substitutes for each other," n35 and, as such, "the threat of substitution from depth-of-book customers constrains their depth-of-book prices." n36 In addition, the administrative law judge stated that "[s]hifts in order flow and threats of shifting order flow provide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 in the pricing of . . . depth-of-book data." n37 As such, Nasdaq's depth-of-book fees are "constrained by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n38 As an example of the impact of market forces on the price of proprietary data, the Exchange recently lowered the Nasdaq Basic enterprise license fee for the distribution of certain information by broker-dealers from $ 350,000 to $ 100,000.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5" w:history="1">
        <w:r>
          <w:rPr>
            <w:rFonts w:ascii="arial" w:eastAsia="arial" w:hAnsi="arial" w:cs="arial"/>
            <w:b w:val="0"/>
            <w:i/>
            <w:strike w:val="0"/>
            <w:noProof w:val="0"/>
            <w:color w:val="0077CC"/>
            <w:position w:val="0"/>
            <w:sz w:val="20"/>
            <w:u w:val="single"/>
            <w:vertAlign w:val="baseline"/>
          </w:rPr>
          <w:t>Securities Industry and Financial Markets Association,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79456 (December 2, 2016) </w:t>
      </w:r>
      <w:hyperlink r:id="rId16" w:history="1">
        <w:r>
          <w:rPr>
            <w:rFonts w:ascii="arial" w:eastAsia="arial" w:hAnsi="arial" w:cs="arial"/>
            <w:b w:val="0"/>
            <w:i/>
            <w:strike w:val="0"/>
            <w:noProof w:val="0"/>
            <w:color w:val="0077CC"/>
            <w:position w:val="0"/>
            <w:sz w:val="20"/>
            <w:u w:val="single"/>
            <w:vertAlign w:val="baseline"/>
          </w:rPr>
          <w:t>81 FR 88716</w:t>
        </w:r>
      </w:hyperlink>
      <w:r>
        <w:rPr>
          <w:rFonts w:ascii="arial" w:eastAsia="arial" w:hAnsi="arial" w:cs="arial"/>
          <w:b w:val="0"/>
          <w:i w:val="0"/>
          <w:strike w:val="0"/>
          <w:noProof w:val="0"/>
          <w:color w:val="000000"/>
          <w:position w:val="0"/>
          <w:sz w:val="20"/>
          <w:u w:val="none"/>
          <w:vertAlign w:val="baseline"/>
        </w:rPr>
        <w:t xml:space="preserve"> (December 8, 2016) (SR-NASDAQ-2016-162) (fee decrease for an enterprise license for the distribution of Nasdaq Basic to Non-Professional and Professional Subscribers with whom the broker-dealer has a brokerage relationship). </w:t>
      </w:r>
      <w:r>
        <w:rPr>
          <w:rFonts w:ascii="arial" w:eastAsia="arial" w:hAnsi="arial" w:cs="arial"/>
          <w:b/>
          <w:i w:val="0"/>
          <w:strike w:val="0"/>
          <w:noProof w:val="0"/>
          <w:color w:val="000000"/>
          <w:position w:val="0"/>
          <w:sz w:val="20"/>
          <w:u w:val="none"/>
          <w:vertAlign w:val="baseline"/>
        </w:rPr>
        <w:t> [*27321]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will integrate Nasdaq TotalView and OpenView into a single depth-of-book product. If the proposed product revisions are unattractive to market participants, it is likely that the Exchange will lose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forces constrain fees for TotalView, like all depth-of-book products, in three respects. First, all fees related to TotalView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attracting order flow. Firms make decisions regarding depth-of-book products and other proprietary data based on the total cost of interacting with the Exchange, and order flow would be harmed by the supracompetitive pricing of any proprietary data product. Second, the prices of TotalView are constrained by the existence of substitutes that are offered, or may be offered, by entities that offer proprietary data. Third,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customers will further constrain the cost of TotalView.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TotalView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and the BATS exchanges.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the BATS exchanges,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Data fees are but one factor in a total platform analysis. If the cost of the product exceeds its expected value, the broker-dealer will choose not to buy it. A supracompetitive increase in the fees charged for either transactions or proprietary data has the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constrain prices for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 of depth-of-book data is constrained by the existence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exchanges, such as NYSE and the BATS exchanges, which sell proprietary depth-of-book data. While a small number of highly sophisticated traders purchase depth-of-book products from multiple exchanges, most customers do not. Because most customers would not pay an excessive price for TotalView when substitute data is available from other proprietary sources, the Exchange is constrained in its pricing decisions.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provides another form of price discipline for proprietary data products to ensure that fees are equitable, fair, reasonable and not unfairly discriminatory. If the price of TotalView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Distributors purchasing TotalView would be at a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would therefore either purchase a substitute or forego the product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depth-of-book data such as TotalView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vendors for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(iii) become operative for 30 days from the date on which it was filed, or such shorter time as the Commission may designate, it has become effective pursuant to Section 19(b)(3)(A)(iii) of the Act n40 and subparagraph (f)(6) of Rule 19b-4 thereunder.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15 U.S.C. 78s(b)(3)(A)(iii)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 In addition, Rule 19b-4(f)(6) requires a self-regulatory organization to give the Commission written notice of its intent to file the proposed rule change at least five business days prior to the date of filing of the proposed rule change, or such shorter time as designated by the Commission. The Exchange has satisfied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arguments concerning the foregoing, including whether the proposed rule change is consistent with the Act. Comments may be submitted by any of the following methods: </w:t>
      </w:r>
      <w:r>
        <w:rPr>
          <w:rFonts w:ascii="arial" w:eastAsia="arial" w:hAnsi="arial" w:cs="arial"/>
          <w:b/>
          <w:i w:val="0"/>
          <w:strike w:val="0"/>
          <w:noProof w:val="0"/>
          <w:color w:val="000000"/>
          <w:position w:val="0"/>
          <w:sz w:val="20"/>
          <w:u w:val="none"/>
          <w:vertAlign w:val="baseline"/>
        </w:rPr>
        <w:t> [*27322]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SR-NASDAQ-2017-054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SR-NASDAQ-2017-054. This file number should be included on the subject line if email is used. To help the Commission process and review your comments more efficiently, please use only one method. The Commission will post all comments on the Commission's Internet Web site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SR-NASDAQ-2017-054, and should be submitted on or before July 5,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1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authority.&lt;42&gt;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2017-12267 Filed 6-13-17;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27318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4GH9-4PB0-014W-D1VJ-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s://advance.lexis.com/api/document?collection=administrative-codes&amp;id=urn:contentItem:4V3T-8BP0-006W-834G-00000-00&amp;context=" TargetMode="External" /><Relationship Id="rId15" Type="http://schemas.openxmlformats.org/officeDocument/2006/relationships/hyperlink" Target="https://advance.lexis.com/api/document?collection=administrative-materials&amp;id=urn:contentItem:5K44-XNM0-000Y-43WY-00000-00&amp;context=" TargetMode="External" /><Relationship Id="rId16" Type="http://schemas.openxmlformats.org/officeDocument/2006/relationships/hyperlink" Target="https://advance.lexis.com/api/document?collection=administrative-codes&amp;id=urn:contentItem:5MBN-PG70-006W-83YY-00000-00&amp;context=" TargetMode="External" /><Relationship Id="rId17" Type="http://schemas.openxmlformats.org/officeDocument/2006/relationships/hyperlink" Target="http://www.sec.gov/rules/sro.shtml" TargetMode="External" /><Relationship Id="rId18" Type="http://schemas.openxmlformats.org/officeDocument/2006/relationships/hyperlink" Target="mailto:rule-comments@sec.gov" TargetMode="External" /><Relationship Id="rId19" Type="http://schemas.openxmlformats.org/officeDocument/2006/relationships/hyperlink" Target="https://advance.lexis.com/api/document?collection=administrative-codes&amp;id=urn:contentItem:5SPP-2120-008G-Y2ND-00000-00&amp;context="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SR-V2R0-006W-81TH-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27318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