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2930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006, Tuesday, January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2930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Coast Guard (USCG)</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Half Moon Bay, 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Coast Guard (USCG)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USCG-2014-0715]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1625-AA08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33 CFR Part 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Coast Guard proposes to revise a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navigable waters of Half Moon Bay, CA, near Pillar Point in support of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annual invitational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held at the Mavericks Break. We are proposing this revision to improve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making it clearer and to have it better reflect the natural conditions that must be met for this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take place.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provide for the safety of life on the navigable waters immediately prior to, during, and immediately after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held only one day between November 1 of each year and March 31 of the following year. This proposed revision would temporarily restrict vessel traffic in the vicinity of Pillar Point and prohibit vessels and persons not participating in the surfing event from entering the dedicated surfing area and a designated no-entry area. We invite your comments on this proposed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Table of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ATON Aids to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COTP Captain of the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OCMI Officer in Charge, Marine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PATCOM Patrol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Purpose, and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grown in popularity within the past several years. Due to the inherent dangers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disruption to the normal uses of the waterways in the vicinity of Pillar Point, the Coast Guard issues a Marine Event Permit to the event sponsor. Following the collapse of the Cliffside viewing area in 2011, the Coast Guard became concerned that the loss of shore-side viewing would result in a larger than expected number of spectator vessels in the vicinity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considered promulgating a safety zone which would prevent spectator vessels from encroaching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preserve the safety of both the surfers and the spectators. Because it proved impossible to reliably predetermine the exact location of breaking surf, the Coast Guard did not establish a safety zone for subsequent events, but has continued to maintain a presence at the event to protect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encroaching spectator vessels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rulemaking would formalize the scheme employed during the 2013, 2014, and 2015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which proved to be an effective means of separating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spectators. The two zones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proposed rule are intended to ensure the safety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spectator vessels, and to enhance safety of spectator vessels by creating a designated area in which the Coast Guard may direct the movement of such vessels. Because of the dangers posed by the surf conditions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provide for the safety of event participants, spectators, and other vessels transiting the event area. For the safety concerns noted, it is in the public interest to have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during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15, 2014, the Coast Guard published an interim rule and request for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61762)</w:t>
        </w:r>
      </w:hyperlink>
      <w:r>
        <w:rPr>
          <w:rFonts w:ascii="arial" w:eastAsia="arial" w:hAnsi="arial" w:cs="arial"/>
          <w:b w:val="0"/>
          <w:i w:val="0"/>
          <w:strike w:val="0"/>
          <w:noProof w:val="0"/>
          <w:color w:val="000000"/>
          <w:position w:val="0"/>
          <w:sz w:val="20"/>
          <w:u w:val="none"/>
          <w:vertAlign w:val="baseline"/>
        </w:rPr>
        <w:t xml:space="preserve"> establishing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 CFR 100.1106</w:t>
        </w:r>
      </w:hyperlink>
      <w:r>
        <w:rPr>
          <w:rFonts w:ascii="arial" w:eastAsia="arial" w:hAnsi="arial" w:cs="arial"/>
          <w:b w:val="0"/>
          <w:i w:val="0"/>
          <w:strike w:val="0"/>
          <w:noProof w:val="0"/>
          <w:color w:val="000000"/>
          <w:position w:val="0"/>
          <w:sz w:val="20"/>
          <w:u w:val="none"/>
          <w:vertAlign w:val="baseline"/>
        </w:rPr>
        <w:t>. We received no comments during the comment period on the interim rule. Although the event was not held during the 2014-2015 season, the planning process proved to be vital in identifying updates to the rule as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3, 2015, we published a temporary final rule </w:t>
      </w:r>
      <w:hyperlink r:id="rId10" w:history="1">
        <w:r>
          <w:rPr>
            <w:rFonts w:ascii="arial" w:eastAsia="arial" w:hAnsi="arial" w:cs="arial"/>
            <w:b w:val="0"/>
            <w:i/>
            <w:strike w:val="0"/>
            <w:noProof w:val="0"/>
            <w:color w:val="0077CC"/>
            <w:position w:val="0"/>
            <w:sz w:val="20"/>
            <w:u w:val="single"/>
            <w:vertAlign w:val="baseline"/>
          </w:rPr>
          <w:t>(80 FR 67635)</w:t>
        </w:r>
      </w:hyperlink>
      <w:r>
        <w:rPr>
          <w:rFonts w:ascii="arial" w:eastAsia="arial" w:hAnsi="arial" w:cs="arial"/>
          <w:b w:val="0"/>
          <w:i w:val="0"/>
          <w:strike w:val="0"/>
          <w:noProof w:val="0"/>
          <w:color w:val="000000"/>
          <w:position w:val="0"/>
          <w:sz w:val="20"/>
          <w:u w:val="none"/>
          <w:vertAlign w:val="baseline"/>
        </w:rPr>
        <w:t xml:space="preserve"> for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was most recently held on February 12, 2016. That temporary rule was needed to keep spectators and vessels a safe distance away from the event participants and the hazardous waters surrounding Pillar Point.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demonstrated the importance of restricting access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only vessels in direct support of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Coast Guard's assessment, that temporary final rule provided an effective scheme for ensuring the safety of life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 following changes based on lessons learned during the multi-agency planning process. The name of this event has changed over the years based on the sponsor. The Coast Guard decided to propose this rule using the event name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remove any affiliation with past or future sponsors and to keep the name of the event generic in order to apply to any future sponsor. In addition, this proposed rule would clarify that the maintenance of the buoy placement throughout the course of the event is a requirement for the event sponsor. The definition of "support vessels" has been updated to specifically include jet skis and to clarify that they must be pre-designated and approved to serve as such for this event by the Officer in Charge, Marine Inspection (OCMI) prior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Due to the temperamental nature of buoy locations with regards to swing circles, the proposed definition for "Zone 1" and "Zone 2" would both amend the ATON buoy reference of "Pillar Point Entrance Lighted Gong Buoy 1" to only reference a latitude and longitude position. Finally, the definition of "spectator vessel" was expanded to specifically include human-powered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33 CFR 100.35</w:t>
        </w:r>
      </w:hyperlink>
      <w:r>
        <w:rPr>
          <w:rFonts w:ascii="arial" w:eastAsia="arial" w:hAnsi="arial" w:cs="arial"/>
          <w:b w:val="0"/>
          <w:i w:val="0"/>
          <w:strike w:val="0"/>
          <w:noProof w:val="0"/>
          <w:color w:val="000000"/>
          <w:position w:val="0"/>
          <w:sz w:val="20"/>
          <w:u w:val="none"/>
          <w:vertAlign w:val="baseline"/>
        </w:rPr>
        <w:t xml:space="preserve">, the Coast Guard District Commander has authority to promulgate certain special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necessary to ensure the safety of life on the navigable waters immediately before, during, and immediately after an approved regatta or marine parade. The Commander of Coast Guard District 11 has delegated to the Captain of the Port (COTP) San Francisco the responsibility of issuing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one-day "Big Wave"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top big wave </w:t>
      </w:r>
      <w:r>
        <w:rPr>
          <w:rFonts w:ascii="arial" w:eastAsia="arial" w:hAnsi="arial" w:cs="arial"/>
          <w:b/>
          <w:i w:val="0"/>
          <w:strike w:val="0"/>
          <w:noProof w:val="0"/>
          <w:color w:val="000000"/>
          <w:position w:val="0"/>
          <w:sz w:val="20"/>
          <w:u w:val="none"/>
          <w:vertAlign w:val="baseline"/>
        </w:rPr>
        <w:t> [*2931] </w:t>
      </w:r>
      <w:r>
        <w:rPr>
          <w:rFonts w:ascii="arial" w:eastAsia="arial" w:hAnsi="arial" w:cs="arial"/>
          <w:b w:val="0"/>
          <w:i w:val="0"/>
          <w:strike w:val="0"/>
          <w:noProof w:val="0"/>
          <w:color w:val="000000"/>
          <w:position w:val="0"/>
          <w:sz w:val="20"/>
          <w:u w:val="none"/>
          <w:vertAlign w:val="baseline"/>
        </w:rPr>
        <w:t xml:space="preserve"> surfers as chosen by the event organizer.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occurs when 15-20 foot waves are sustained for over 24 hours and are combined with mild easterly winds of no more than 5-10 knots. The rock and reef ridges that make up the sea floor of the Pillar Point area, combined with optimal weather conditions, create the large waves for which Mavericks is known. Due to the hazardous waters surrounding Pillar Point at the time of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Coast Guard is proposing to modify § 100.1106 which establishes a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vicinity of Pillar Point that restricts navigation in the area of the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neighboring hazardous areas. This proposed rule is intended to ensure the safety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delineating a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and to provide for the safety of spectators by imposing operating restrictions on those vessels.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proposes to revise a regulated area for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on a day that presents favorable surf conditions between November 1 of each year and March 31 of the following year, from 6 a.m. until 6 p.m.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occur when 15-20 foot waves are sustained for over 24 hours and are combined with mild easterly winds of no more than 5-10 knots. Unpredictable weather patterns and the event's narrow operating window limit the Coast Guard's ability to notify the public of the event. The Coast Guard would issue notice of the event as soon as practicable, but no later than 24 hours before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via the Broadcast Notice to Mariners and issue a written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Also, the zones that would be established by this proposed rule will be prominently marked by at least 8 buoys throughout the course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occur in the navigable waters of Half Moon Bay, CA, in the vicinity of Pillar Point as depicted in National Oceanic and Atmospheric Administration (NOAA) Chart 18682 (</w:t>
      </w:r>
      <w:hyperlink r:id="rId12" w:history="1">
        <w:r>
          <w:rPr>
            <w:rFonts w:ascii="arial" w:eastAsia="arial" w:hAnsi="arial" w:cs="arial"/>
            <w:b w:val="0"/>
            <w:i/>
            <w:strike w:val="0"/>
            <w:noProof w:val="0"/>
            <w:color w:val="0077CC"/>
            <w:position w:val="0"/>
            <w:sz w:val="20"/>
            <w:u w:val="single"/>
            <w:vertAlign w:val="baseline"/>
          </w:rPr>
          <w:t>http://www.charts.noaa.gov/OnLineViewer/18682.shtml</w:t>
        </w:r>
      </w:hyperlink>
      <w:r>
        <w:rPr>
          <w:rFonts w:ascii="arial" w:eastAsia="arial" w:hAnsi="arial" w:cs="arial"/>
          <w:b w:val="0"/>
          <w:i w:val="0"/>
          <w:strike w:val="0"/>
          <w:noProof w:val="0"/>
          <w:color w:val="000000"/>
          <w:position w:val="0"/>
          <w:sz w:val="20"/>
          <w:u w:val="none"/>
          <w:vertAlign w:val="baseline"/>
        </w:rPr>
        <w:t xml:space="preserve">). The Coast Guard will enforce a regulated area defined by an arc extending 1000 yards from Sail Rock (37 [degrees] 29'34" N., 122 [degrees] 30'02" W.) excluding the waters within Pillar Point Harbor. All proposed restrictions would apply only between 6 a.m. and 6 p.m. on the day of the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to restrict navigation in the vicinity of Pillar Point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enforcement period, the Coast Guard would direct the movement and access of all vessels within the regulated area. The regulated area will be divided into two zones. Zone 1 will be designated as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and the movement of vessels within Zone 2 will be controlled by the Patrol Commander (PATCOM).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keep spectators and vessels a safe distance away from the event participants and the hazardous waters surrounding Pillar Point.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demonstrated the importance of restricting access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only vessels in direct support of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Failure to comply with the lawful directions of the Coast Guard could result in additional vessel movement restrictions, citation, or both.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this proposed rule after considering numerous statutes and Executive orders related to rulemaking. Below we summarize our analyses based on a number of these statutes and Executive orders, and we discuss First Amendment rights of protestors.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Executive Order 13563 emphasizes the importance of quantifying both costs and benefits, of reducing costs, of harmonizing rules, and of promoting flexibility. This NPRM has not been designated a "significant regulatory action," under Executive Order 12866. Accordingly, the NPRM has not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the economic impact of this rule does not rise to the level of necessitating a full Regulatory Evaluation. The regulated area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in duration, and are limited to a narrowly tailored geographic area. In addition, although this rule restricts access to the waters encompassed by the regulated area, the local waterway users will be notified via public Broadcast Notice to Mariners to ensure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minimum impact. The entities most likely to be affected are small commercial vessels, and pleasure craft engaged in recreational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rulemaking. The term "small entities" comprises small businesses, not-for-profit organizations that are independently owned and operated and are not dominant in their fields, and governmental jurisdictions with populations of less than 50,000. The Coast Guard certifies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this proposed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did not receive any comments from the Small Business Administration on the Interim rule published on October 15, 2014. Also, while some owners or operators of vessels intending to transit the safety zone may be small entities, for the reasons stated in section IV.A above this proposed rule would not have a significant economic impact on any vessel owner or operator. If you think that your business, organization, or governmental jurisdiction qualifies as a small entity and that this rule would have a significant economic impact on it, please submit a comment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explaining why you think it qualifies and how and to what degree this rule would economically affect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we want to assist small entities in understanding this proposed rule. If the rule would affect your small business, organization, or governmental jurisdiction and you have questions concerning its provisions or options for compliance,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The Coast Guard will not retaliate against small entities that question or complain about this proposed rule or any policy or action of the Coast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call for a new collection of information under the Paperwork Reduction Act of 1995 (</w:t>
      </w:r>
      <w:hyperlink r:id="rId1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Federalism and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rule has implications for federalism under Executive Order 13132, Federalism, if it has a substantial direct effect on the States, on the relationship between the national government and the States, or on the distribution of power and responsibilities among the various levels of government. We have </w:t>
      </w:r>
      <w:r>
        <w:rPr>
          <w:rFonts w:ascii="arial" w:eastAsia="arial" w:hAnsi="arial" w:cs="arial"/>
          <w:b/>
          <w:i w:val="0"/>
          <w:strike w:val="0"/>
          <w:noProof w:val="0"/>
          <w:color w:val="000000"/>
          <w:position w:val="0"/>
          <w:sz w:val="20"/>
          <w:u w:val="none"/>
          <w:vertAlign w:val="baseline"/>
        </w:rPr>
        <w:t> [*2932] </w:t>
      </w:r>
      <w:r>
        <w:rPr>
          <w:rFonts w:ascii="arial" w:eastAsia="arial" w:hAnsi="arial" w:cs="arial"/>
          <w:b w:val="0"/>
          <w:i w:val="0"/>
          <w:strike w:val="0"/>
          <w:noProof w:val="0"/>
          <w:color w:val="000000"/>
          <w:position w:val="0"/>
          <w:sz w:val="20"/>
          <w:u w:val="none"/>
          <w:vertAlign w:val="baseline"/>
        </w:rPr>
        <w:t xml:space="preserve"> analyzed this proposed rule under that Order and have determined that it is consistent with the fundamental federalism principles and preemption requirements described in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this proposed rule does not have tribal implications under Executive Order 13175, Consultation and Coordination with Indian Tribal Governments, because it would not have a substantial direct effect on one or more Indian tribes, on the relationship between the Federal Government and Indian tribes, or on the distribution of power and responsibilities between the Federal Government and Indian tribes. If you believe this proposed rule has implications for federalism or Indian tribes,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1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one year. Though this proposed rule would not result in such an expenditure, we do discuss the effects of this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proposed rule under Department of Homeland Security Management Directive 023-01 and Commandant Instruction M16475.lD, which guide the Coast Guard in complying with the National Environmental Policy Act of 1969 (</w:t>
      </w:r>
      <w:hyperlink r:id="rId1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4370f</w:t>
        </w:r>
      </w:hyperlink>
      <w:r>
        <w:rPr>
          <w:rFonts w:ascii="arial" w:eastAsia="arial" w:hAnsi="arial" w:cs="arial"/>
          <w:b w:val="0"/>
          <w:i w:val="0"/>
          <w:strike w:val="0"/>
          <w:noProof w:val="0"/>
          <w:color w:val="000000"/>
          <w:position w:val="0"/>
          <w:sz w:val="20"/>
          <w:u w:val="none"/>
          <w:vertAlign w:val="baseline"/>
        </w:rPr>
        <w:t xml:space="preserve">), and have made a preliminary determination that this action is one of a category of actions that do not individually or cumulatively have a significant effect on the human environment. This proposed rule involves a regulated area of limited size and duration. Normally such actions are categorically excluded from further review under paragraph 34(h) and 35(b) of Figure 2-1 of Commandant Instruction M16475.lD. A preliminary environmental analysis checklist supporting this determination and a Categorical Exclusion Determination are available in the docket where indicated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We seek any comments or information that may lead to the discovery of a significant environmental impact from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Protest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respects the First Amendment rights of protesters. Protesters are asked to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to coordinate protest activities so that your message can be received without jeopardizing the safety or security of people, places, or vessels.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Participation and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view public participation as essential to effective rulemaking, and will consider all comments and material received during the comment period. Your comment can help shape the outcome of this rulemaking. If you submit a comment, please include the docket number for this rulemaking, indicate the specific section of this document to which each comment applies, and provide a reason for each suggestion or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you to submit comments through the Federal eRulemaking Portal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your material cannot be submitted using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contact the person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 for alternate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accept anonymous comments. All comments received will be posted without change to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will include any personal information you have provided. For more about privacy and the docket, you may review a Privacy Act notice regarding the Federal Docket Management System in the March 24, 2005,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 FR 15086).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mentioned in this NPRM as being available in the docket, and all public comments, will be in our online docket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can be viewed by following that Web site's instructions. Additionally, if you go to the online docket and sign up for email alerts, you will be notified when comments are posted or a final rule is published.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33 CFR Part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safety, Navigation (water), Reporting and recordkeeping requirements, Waterways.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Coast Guard proposes to amend 33 CFR part 100 as follows:</w:t>
      </w:r>
    </w:p>
    <w:p>
      <w:pPr>
        <w:numPr>
          <w:numId w:val="1"/>
        </w:numPr>
        <w:spacing w:before="120" w:line="240" w:lineRule="atLeast"/>
      </w:pPr>
      <w:r>
        <w:rPr>
          <w:b/>
          <w:i w:val="0"/>
          <w:sz w:val="20"/>
        </w:rPr>
        <w:t xml:space="preserve"> PARADES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33 U.S.C. 1233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33 CFR 1.05-1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100.1106 to read as follows:</w:t>
      </w:r>
    </w:p>
    <w:p>
      <w:pPr>
        <w:numPr>
          <w:numId w:val="3"/>
        </w:numPr>
        <w:spacing w:before="120" w:line="240" w:lineRule="atLeast"/>
      </w:pPr>
      <w:r>
        <w:rPr>
          <w:b/>
          <w:i/>
          <w:sz w:val="20"/>
        </w:rPr>
        <w:t>ation; Mavericks Surf Competition.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regulated area on the waters of Half Moon Bay, located in the vicinity of Pillar Point, excluding the waters within Pillar Point Harbor. This regulated area is defined in paragraph (c) of this section.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will be enforced between 6 a.m. and 6 p.m.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which if defined wave and wind conditions are met, will occur for one day between November 1 of each year and March 31 of the following year. Notice of the specific enforcement date of this section will be announced via Broadcast Notice to Mariners and issued in writing by the Coast Guard in a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day</w:t>
      </w:r>
      <w:r>
        <w:rPr>
          <w:rFonts w:ascii="arial" w:eastAsia="arial" w:hAnsi="arial" w:cs="arial"/>
          <w:b w:val="0"/>
          <w:i w:val="0"/>
          <w:strike w:val="0"/>
          <w:noProof w:val="0"/>
          <w:color w:val="000000"/>
          <w:position w:val="0"/>
          <w:sz w:val="20"/>
          <w:u w:val="none"/>
          <w:vertAlign w:val="baseline"/>
        </w:rPr>
        <w:t xml:space="preserve"> means the one day between November 1 of each year and March 31 of the following year that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held.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only be held if 15 to 20 foot waves are sustained for over 24 hours and are combined with mild easterly winds of no more than 5 to 10 knots.</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means a surfer enrolled in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Patrol Commander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PATCOM</w:t>
      </w:r>
      <w:r>
        <w:rPr>
          <w:rFonts w:ascii="arial" w:eastAsia="arial" w:hAnsi="arial" w:cs="arial"/>
          <w:b w:val="0"/>
          <w:i w:val="0"/>
          <w:strike w:val="0"/>
          <w:noProof w:val="0"/>
          <w:color w:val="000000"/>
          <w:position w:val="0"/>
          <w:sz w:val="20"/>
          <w:u w:val="none"/>
          <w:vertAlign w:val="baseline"/>
        </w:rPr>
        <w:t xml:space="preserve"> means a Coast Guard Patrol Commander, including a Coast Guard coxswain, petty officer, or other officer, or a Federal, State, or local officer designated by the Captain of the Port San Francisco (COTP), to assist in the enforcement of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Regulated area</w:t>
      </w:r>
      <w:r>
        <w:rPr>
          <w:rFonts w:ascii="arial" w:eastAsia="arial" w:hAnsi="arial" w:cs="arial"/>
          <w:b w:val="0"/>
          <w:i w:val="0"/>
          <w:strike w:val="0"/>
          <w:noProof w:val="0"/>
          <w:color w:val="000000"/>
          <w:position w:val="0"/>
          <w:sz w:val="20"/>
          <w:u w:val="none"/>
          <w:vertAlign w:val="baseline"/>
        </w:rPr>
        <w:t xml:space="preserve"> means the area in which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This area is bounded by an arc extending 1000 yards from Sail Rock (37 [degrees] 29'34" N., 122 [degrees] 30'02" W.) excluding the waters within Pillar Point Harbor. All coordinates are North American Datum 1983. Within the regulated area, at least two zones will be established and marked by buoys on the day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the dynamic and changing nature of the surf, the exact size and location of the zones will not be made public until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The zones will be prominently marked by at least 8 buoys, placed and maintained throughout the course of the event by the event sponsor in a pattern approved by the PATCOM. In addition, the Coast Guard will notify the public of the zone locations via </w:t>
      </w:r>
      <w:r>
        <w:rPr>
          <w:rFonts w:ascii="arial" w:eastAsia="arial" w:hAnsi="arial" w:cs="arial"/>
          <w:b/>
          <w:i w:val="0"/>
          <w:strike w:val="0"/>
          <w:noProof w:val="0"/>
          <w:color w:val="000000"/>
          <w:position w:val="0"/>
          <w:sz w:val="20"/>
          <w:u w:val="none"/>
          <w:vertAlign w:val="baseline"/>
        </w:rPr>
        <w:t> [*2933] </w:t>
      </w:r>
      <w:r>
        <w:rPr>
          <w:rFonts w:ascii="arial" w:eastAsia="arial" w:hAnsi="arial" w:cs="arial"/>
          <w:b w:val="0"/>
          <w:i w:val="0"/>
          <w:strike w:val="0"/>
          <w:noProof w:val="0"/>
          <w:color w:val="000000"/>
          <w:position w:val="0"/>
          <w:sz w:val="20"/>
          <w:u w:val="none"/>
          <w:vertAlign w:val="baseline"/>
        </w:rPr>
        <w:t xml:space="preserve"> Broadcast Notice to Mariners on the day of the event.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Spectator vessel</w:t>
      </w:r>
      <w:r>
        <w:rPr>
          <w:rFonts w:ascii="arial" w:eastAsia="arial" w:hAnsi="arial" w:cs="arial"/>
          <w:b w:val="0"/>
          <w:i w:val="0"/>
          <w:strike w:val="0"/>
          <w:noProof w:val="0"/>
          <w:color w:val="000000"/>
          <w:position w:val="0"/>
          <w:sz w:val="20"/>
          <w:u w:val="none"/>
          <w:vertAlign w:val="baseline"/>
        </w:rPr>
        <w:t xml:space="preserve"> means any vessel or person, including human-powered craft, which is not designated by the sponsor as a support vessel.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Support vessel</w:t>
      </w:r>
      <w:r>
        <w:rPr>
          <w:rFonts w:ascii="arial" w:eastAsia="arial" w:hAnsi="arial" w:cs="arial"/>
          <w:b w:val="0"/>
          <w:i w:val="0"/>
          <w:strike w:val="0"/>
          <w:noProof w:val="0"/>
          <w:color w:val="000000"/>
          <w:position w:val="0"/>
          <w:sz w:val="20"/>
          <w:u w:val="none"/>
          <w:vertAlign w:val="baseline"/>
        </w:rPr>
        <w:t xml:space="preserve"> means a vessel, including jet skis, which is designated and conspicuously marked by the sponsor to provide direct support to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Support vessels must be pre-designated and approved to serve as such for this event by the Officer in Charge, Marine Inspection (OCMI) prior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1</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within the regulated area. Zone 1 will generally be located to the northwest of a line drawn between Sail Rock (37 [degrees] 29'34" N., 122 [degrees] 30'02" W.) and 37 [degrees] 29'10.410" N., 122 [degrees] 30'21.904" 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2</w:t>
      </w:r>
      <w:r>
        <w:rPr>
          <w:rFonts w:ascii="arial" w:eastAsia="arial" w:hAnsi="arial" w:cs="arial"/>
          <w:b w:val="0"/>
          <w:i w:val="0"/>
          <w:strike w:val="0"/>
          <w:noProof w:val="0"/>
          <w:color w:val="000000"/>
          <w:position w:val="0"/>
          <w:sz w:val="20"/>
          <w:u w:val="none"/>
          <w:vertAlign w:val="baseline"/>
        </w:rPr>
        <w:t xml:space="preserve"> means the area within the regulated area where the Coast Guard may direct the movement of all vessels, including restricting vessels from this area. Zone 2 will generally be located to the southeast of a line drawn between Sail Rock (37 [degrees] 29'34" N., 122 [degrees] 30'02" W.) and 37 [degrees] 29'10.410" N., 122 [degrees] 30'21.904" W.</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between 6 a.m. and 6 p.m.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support vessels may be authorized by the Patrol Commander (PATCOM) to enter Zone 1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Entering the water in Zone 1 by any person other than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prohibited.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enter the water in Zone 1 from authorized support vessels only.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Spectator vessels and support vessels within Zone 2 must maneuver as directed by PATCOM. Given the changing nature of the surf in the vicinity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PATCOM may close Zone 2 to all vessels due to hazardous conditions. Due to weather and sea conditions, the Captain of the Port may deny access to Zone 2 and the remainder of the regulated area to all vessels other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support vessels on the day of the event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the water in Zone 2 by any person is prohibited.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Rafting and anchoring of vessels are prohibited within the regulated area.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vessels authorized by the PATCOM will be permitted to tow other watercraft within the regulated area.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Spectator and support vessels in Zones 1 and 2 must operate at speeds which will create minimum wake, in general, 7 miles per hour or less.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granted permission to enter the regulated area, when hailed or signaled by the PATCOM by a succession of sharp, short signals by whistle or horn, the hailed vessel must come to an immediate stop and comply with the lawful directions issued. Failure to comply with a lawful direction may result in additional operating restrictions, citation for failure to comply, or both.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events, vessel operators may contact the PATCOM on VHF-FM channel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Anthony J. Ceraolo,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Captain, U.S. Coast Guard, Captain of the Port San Francisco.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2017-00175 Filed 1-9-17;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9110-04-P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and related material must be received by the Coast Guard on or before February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USCG-2015-0427 using the Federal eRulemaking Portal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the "Public Participation and Request for Comments" portion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for further instructions on submitting comments.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you have questions about this proposed rulemaking, call or email Lieutenant Marcia Medina, U.S. Coast Guard Sector San Francisco; telephone (415) 399-7443, email at </w:t>
      </w:r>
      <w:hyperlink r:id="rId22" w:history="1">
        <w:r>
          <w:rPr>
            <w:rFonts w:ascii="arial" w:eastAsia="arial" w:hAnsi="arial" w:cs="arial"/>
            <w:b w:val="0"/>
            <w:i/>
            <w:strike w:val="0"/>
            <w:noProof w:val="0"/>
            <w:color w:val="0077CC"/>
            <w:position w:val="0"/>
            <w:sz w:val="20"/>
            <w:u w:val="single"/>
            <w:vertAlign w:val="baseline"/>
          </w:rPr>
          <w:t>D11-PF-MarineEvents@uscg.mil</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2930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00-- REGATTAS AND MAR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0.1106 Special Local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L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Enforcement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d) Special local reg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95-X660-006W-81P1-00000-00&amp;context=" TargetMode="External" /><Relationship Id="rId11" Type="http://schemas.openxmlformats.org/officeDocument/2006/relationships/hyperlink" Target="https://advance.lexis.com/api/document?collection=administrative-codes&amp;id=urn:contentItem:5SW8-VK00-008H-0503-00000-00&amp;context=" TargetMode="External" /><Relationship Id="rId12" Type="http://schemas.openxmlformats.org/officeDocument/2006/relationships/hyperlink" Target="http://www.charts.noaa.gov/OnLineViewer/18682.shtml" TargetMode="External" /><Relationship Id="rId13" Type="http://schemas.openxmlformats.org/officeDocument/2006/relationships/hyperlink" Target="https://advance.lexis.com/api/document?collection=statutes-legislation&amp;id=urn:contentItem:4YF7-GNM1-NRF4-408K-00000-00&amp;context=" TargetMode="External" /><Relationship Id="rId14" Type="http://schemas.openxmlformats.org/officeDocument/2006/relationships/hyperlink" Target="https://advance.lexis.com/api/document?collection=statutes-legislation&amp;id=urn:contentItem:4YF7-GKX1-NRF4-44G6-00000-00&amp;context=" TargetMode="External" /><Relationship Id="rId15" Type="http://schemas.openxmlformats.org/officeDocument/2006/relationships/hyperlink" Target="https://advance.lexis.com/api/document?collection=statutes-legislation&amp;id=urn:contentItem:4YF7-GVH1-NRF4-42C8-00000-00&amp;context=" TargetMode="External" /><Relationship Id="rId16" Type="http://schemas.openxmlformats.org/officeDocument/2006/relationships/hyperlink" Target="https://advance.lexis.com/api/document?collection=statutes-legislation&amp;id=urn:contentItem:4YF7-GVK1-NRF4-438M-00000-00&amp;context=" TargetMode="External" /><Relationship Id="rId17" Type="http://schemas.openxmlformats.org/officeDocument/2006/relationships/hyperlink" Target="https://advance.lexis.com/api/document?collection=statutes-legislation&amp;id=urn:contentItem:4YF7-GR91-NRF4-41FB-00000-00&amp;context=" TargetMode="External" /><Relationship Id="rId18" Type="http://schemas.openxmlformats.org/officeDocument/2006/relationships/hyperlink" Target="https://advance.lexis.com/api/document?collection=statutes-legislation&amp;id=urn:contentItem:4YF7-GRD1-NRF4-42M2-00000-00&amp;context=" TargetMode="External" /><Relationship Id="rId19" Type="http://schemas.openxmlformats.org/officeDocument/2006/relationships/hyperlink" Target="http://www.regulations.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F1-NRF4-405C-00000-00&amp;context=" TargetMode="External" /><Relationship Id="rId21" Type="http://schemas.openxmlformats.org/officeDocument/2006/relationships/hyperlink" Target="https://advance.lexis.com/api/document?collection=administrative-codes&amp;id=urn:contentItem:5MM9-8R90-008H-00CF-00000-00&amp;context=" TargetMode="External" /><Relationship Id="rId22" Type="http://schemas.openxmlformats.org/officeDocument/2006/relationships/hyperlink" Target="mailto:D11-PF-MarineEvents@uscg.mil"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P-PDY0-006W-82BB-00000-00&amp;context=" TargetMode="External" /><Relationship Id="rId8" Type="http://schemas.openxmlformats.org/officeDocument/2006/relationships/hyperlink" Target="https://advance.lexis.com/api/document?collection=administrative-codes&amp;id=urn:contentItem:5DC8-G6T0-006W-81HH-00000-00&amp;context=" TargetMode="External" /><Relationship Id="rId9" Type="http://schemas.openxmlformats.org/officeDocument/2006/relationships/hyperlink" Target="https://advance.lexis.com/api/document?collection=administrative-codes&amp;id=urn:contentItem:5SW8-VK50-008H-00C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