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32728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135, Monday, July 17,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32728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17,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PHLX LLC; Notice of Filing and Immediate Effectiveness of Proposed Rule Change To Amend Nasdaq Phlx Pricing Schedule, Section IX</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34-81117; File No. SR-Phlx-2017-53]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July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June 29, 2017, NASDAQ PHLX LLC ("Phlx" or the "Exchange") filed with the Securities and Exchange Commission (the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Nasdaq PHLX Rules, Section IX ("Proprietary Data Feed Fees") to make a sample of PHLX Options Trade Outline ("PHOTO") Historical Data for the period January 1 through June 30, 2014, available free of charge; current charges will continue to be assessed for PHOTO Historical Data for any other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http://nasdaqphlx.cchwallstreet</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[*32729] </w:t>
      </w:r>
      <w:r>
        <w:rPr>
          <w:rFonts w:ascii="arial" w:eastAsia="arial" w:hAnsi="arial" w:cs="arial"/>
          <w:b w:val="0"/>
          <w:i/>
          <w:strike w:val="0"/>
          <w:noProof w:val="0"/>
          <w:color w:val="000000"/>
          <w:position w:val="0"/>
          <w:sz w:val="20"/>
          <w:u w:val="none"/>
          <w:vertAlign w:val="baseline"/>
        </w:rPr>
        <w:t xml:space="preserve"> com/,</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allow the Exchange to make a sample of PHOTO Historical Data for the period January 1 through June 30, 2014, available free of charge; current charges will continue to be assessed for PHOTO Historical Data for any other period. The proposed change will allow potential customers an opportunity to inspect the product, and the Exchange expects that the resulting greater familiarity with the product will lead to greater sales and wider dissemination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Historical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Historical Data provides information about the past activity of all option series traded on the Exchange for each trading session conducted during a particular prior calendar month, as selected by the subscriber. n3 The data is intended to enhance a purchaser's ability to analyze option trade and volume data, evaluate historical trends in the trading activity of a particular option series, and create and test trading models and analytical strategies. The product provides the following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63351 (November 19, 2010) </w:t>
      </w:r>
      <w:hyperlink r:id="rId11" w:history="1">
        <w:r>
          <w:rPr>
            <w:rFonts w:ascii="arial" w:eastAsia="arial" w:hAnsi="arial" w:cs="arial"/>
            <w:b w:val="0"/>
            <w:i/>
            <w:strike w:val="0"/>
            <w:noProof w:val="0"/>
            <w:color w:val="0077CC"/>
            <w:position w:val="0"/>
            <w:sz w:val="20"/>
            <w:u w:val="single"/>
            <w:vertAlign w:val="baseline"/>
          </w:rPr>
          <w:t>75 FR 73140</w:t>
        </w:r>
      </w:hyperlink>
      <w:r>
        <w:rPr>
          <w:rFonts w:ascii="arial" w:eastAsia="arial" w:hAnsi="arial" w:cs="arial"/>
          <w:b w:val="0"/>
          <w:i w:val="0"/>
          <w:strike w:val="0"/>
          <w:noProof w:val="0"/>
          <w:color w:val="000000"/>
          <w:position w:val="0"/>
          <w:sz w:val="20"/>
          <w:u w:val="none"/>
          <w:vertAlign w:val="baseline"/>
        </w:rPr>
        <w:t xml:space="preserve"> (November 29, 2010) (SR-Phlx-2010-154).</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number of buy and sell transactions in the affected series for each trading session conducted during the specified calendar month(s);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volume traded electronically on the Exchange in the affected series for each trading session conducted during the specified calendar month(s);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number of trades effected on the Exchange to open a position n4 for each trading session conducted during the specified calendar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PHOTO Historical Data provides subscribers with the aggregate number of "opening purchase transactions" in the affected series for each trading session conducted during the calendar month(s) selected. An opening purchase transaction is an Exchange options transaction in which the purchaser's intention is to create or increase a long position in the series of options involved in such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1000(b)(24). PHOTO Historical Data will also provide subscribers with the aggregate number of "opening writing transactions" in the affected series for each trading session conducted during the calendar month(s) selected. An opening writing transaction is an Exchange options transaction in which the seller's (writer's) intention is to create or increase a short position in the series of options involved in such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1000(b)(25).</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number of trades effected on the Exchange to close a position n5 for each trading session conducted during the specified calendar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PHOTO Historical Data provides subscribers with the aggregate number of "closing purchase transactions" in the affected series for each trading session conducted during the calendar month(s) selected. A closing purchase transaction is an Exchange options transaction in which the purchaser's intention is to reduce or eliminate a short position in the series of options involved in such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1000(b)(27). PHOTO Historical Data will also provide subscribers with the aggregate number of "closing sale transactions" in the affected series for each trading session conducted during the calendar month(s) selected. A closing sale transaction is an Exchange options transaction in which the seller's intention is to reduce or eliminate a long position in the series of options involved in such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1000(b)(26).</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 of the orders involved in trades on the Exchange in the affected series for each trading session conducted during the specified calendar month(s), specifically aggregated in the following categories of participants: customers, broker-dealers, market makers (including specialists, Registered Options Traders ("ROTs"), Streaming Quote Traders ("SQTs") n6 and Remote Streaming Quote Traders ("RSQTs") n7, and professionals.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An SQT is an ROT that has received permission from the Exchange to generate and submit option quotations electronically in options to which such SQT is assigned.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1014(b)(ii)(A).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An RSQT is an ROT that is a member or member organization with no physical trading floor presence that has received permission from the Exchange to generate and submit option quotations electronically in options to which such RSQT has been assigned. An RSQT may only submit such quotations electronically from off the floor of the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1014(b)(ii)(B).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term "professional" means any person or entity that (i) is not a broker or dealer in securities, and (ii) places more than 390 orders in listed options per day on average during a calendar month for its own beneficial account(s). A professional will be treated in the same manner as an off-floor broker-dealer for purposes of Rules 1014(g) (except with respect to all-or-none orders, which will be treated like customer orders except that orders submitted pursuant to Rule 1080(n) for the beneficial account(s) of professionals with an all-or-none designation will be treated in the same manner as off-floor broker-dealer orders), 1033(e), 1064.02 (except professional orders will be considered customer orders subject to facilitation), 1080(n) and 1080.07 as well as Options Floor Procedure Advices B-6 and F-5. Member organizations must indicate whether orders are for professionals.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1000(b)(14).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Historical Data is composed of an End of Day Product and an Intra-Day Product. The End of Day product provides the aggregate data described above for the entire trading session. The Intra-Day product includes periodic, cumulative data for a particular trading session, updated every ten minutes during the trading day. The fee for the PHOTO Historical Data End of Day product is $ 400.00 per calendar month selected; the fee for the PHOTO Historical Data Intra-Day product is $ 750.00 per calendar month selected. Data is available starting in January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PHOTO Historical Data product is available to any person or entity that wishes to subscribe to it, whether or not the person or entity is a member of the Exchange. Data is available for internal use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make a sample of PHOTO Historical Data available for the period January 1 through June 30, 2014, on the Nasdaq Trader Web site (</w:t>
      </w:r>
      <w:hyperlink r:id="rId12" w:history="1">
        <w:r>
          <w:rPr>
            <w:rFonts w:ascii="arial" w:eastAsia="arial" w:hAnsi="arial" w:cs="arial"/>
            <w:b w:val="0"/>
            <w:i/>
            <w:strike w:val="0"/>
            <w:noProof w:val="0"/>
            <w:color w:val="0077CC"/>
            <w:position w:val="0"/>
            <w:sz w:val="20"/>
            <w:u w:val="single"/>
            <w:vertAlign w:val="baseline"/>
          </w:rPr>
          <w:t>www.nasdaqtrader.com</w:t>
        </w:r>
      </w:hyperlink>
      <w:r>
        <w:rPr>
          <w:rFonts w:ascii="arial" w:eastAsia="arial" w:hAnsi="arial" w:cs="arial"/>
          <w:b w:val="0"/>
          <w:i w:val="0"/>
          <w:strike w:val="0"/>
          <w:noProof w:val="0"/>
          <w:color w:val="000000"/>
          <w:position w:val="0"/>
          <w:sz w:val="20"/>
          <w:u w:val="none"/>
          <w:vertAlign w:val="baseline"/>
        </w:rPr>
        <w:t>) or a successor Web site free of charge as an FTP (File Transfer Protocol) file. The purpose of the proposed change is to allow potential customers an opportunity to inspect and test the value of the product in analyzing option trade and volume data, evaluating historical trends in the trading activity of a particular option series, and creating and testing trading models and analytical strategies. The Exchange expects that providing potential customers an opportunity to become acquainted with the benefits of the product will lead to greater sales and wider dissemination of PHOTO Historical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person or entity, including both subscribers and non-subscribers, will be able to download the FTP file of PHOTO Historical Data for the period January 1 through June 30, 2014, free of charge. Fees for other periods of PHOTO Historical Data will remain $ 400.00 for the End of Day product and $ 750.00 for the Intra-Day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its proposal is consistent with Section 6(b) of the Act, n9 in general, and furthers the </w:t>
      </w:r>
      <w:r>
        <w:rPr>
          <w:rFonts w:ascii="arial" w:eastAsia="arial" w:hAnsi="arial" w:cs="arial"/>
          <w:b/>
          <w:i w:val="0"/>
          <w:strike w:val="0"/>
          <w:noProof w:val="0"/>
          <w:color w:val="000000"/>
          <w:position w:val="0"/>
          <w:sz w:val="20"/>
          <w:u w:val="none"/>
          <w:vertAlign w:val="baseline"/>
        </w:rPr>
        <w:t> [*32730] </w:t>
      </w:r>
      <w:r>
        <w:rPr>
          <w:rFonts w:ascii="arial" w:eastAsia="arial" w:hAnsi="arial" w:cs="arial"/>
          <w:b w:val="0"/>
          <w:i w:val="0"/>
          <w:strike w:val="0"/>
          <w:noProof w:val="0"/>
          <w:color w:val="000000"/>
          <w:position w:val="0"/>
          <w:sz w:val="20"/>
          <w:u w:val="none"/>
          <w:vertAlign w:val="baseline"/>
        </w:rPr>
        <w:t xml:space="preserve"> objectives of Sections 6(b)(4) and 6(b)(5) of the Act, n10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3"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provides for the equitable allocation of reasonable dues, fees and other charges among members and issuers and other persons using any facility because all persons and entities will have equal access to the sample data, and none will be charged for the sample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 the Commission granted SROs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PHOTO Historical Data product--which provides historical information about option series traded on the Exchange--is the type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NMS--deregulating the market in proprietary data--would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4"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n13 ("NetCoalition"), the D.C. Circuit upheld the Commission's use of a market-based approach in evaluating the fairness of market data fees against a challenge claiming that Congress mandated a cost-based approach. n14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n15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5"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5" w:history="1">
        <w:r>
          <w:rPr>
            <w:rFonts w:ascii="arial" w:eastAsia="arial" w:hAnsi="arial" w:cs="arial"/>
            <w:b w:val="0"/>
            <w:i/>
            <w:strike w:val="0"/>
            <w:noProof w:val="0"/>
            <w:color w:val="0077CC"/>
            <w:position w:val="0"/>
            <w:sz w:val="20"/>
            <w:u w:val="single"/>
            <w:vertAlign w:val="baseline"/>
          </w:rPr>
          <w:t>Id. at 537.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5"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6"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products such as PHOTO Historical Data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provide.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 n17 The very existence of a proposal to provide PHOTO Historical Data free of charge to generate potential customer interest is itself evidence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 (finding the existence of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non-core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are consistent with Section 6(b)(5) of the Act because the free sample of historical data will encourage additional customers to purchase the product, thereby increasing the availability of market information to the investing public. The proposed changes would not permit unfair discrimination because all persons and entities will have access to the data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no charge for the sample PHOTO Historical Data; persons and firms will be free to choose whether or not to download the data. Fees for PHOTO Historical Data not included in the free sample are optional in that they apply only to firms that elect to purchase the product, which, like all proprietary data products, they may cancel at any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Indeed, the Exchange believes that offering certain PHOTO Historical Data free of charge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encouraging sales, which will make analytical data more readily available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i w:val="0"/>
          <w:strike w:val="0"/>
          <w:noProof w:val="0"/>
          <w:color w:val="000000"/>
          <w:position w:val="0"/>
          <w:sz w:val="20"/>
          <w:u w:val="none"/>
          <w:vertAlign w:val="baseline"/>
        </w:rPr>
        <w:t> [*32731]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n18 In the case of any exchange,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the BATS exchanges. As noted above, the very fact that the Exchange is proposing to provide a sample of PHOTO Historical Data free of charge to generate potential customer interest is itself evidence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an "excessive" price for one product will have to be reflected in lower prices for other products sold by the Exchange, or otherwise the Exchange may experience a loss in sales that may adversely affect its profitability. In this case, the proposed rule change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lowering the price of the product through distribution of free samples. As such, the Exchange believes that the proposed changes will enhance, and not impair,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financial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SR-Phlx-2017-53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SR-Phlx-2017-53. This file number should be included on the subject line if email is used. To help the Commission process and review your comments more efficiently, please use only one method. The Commission will post all comments on the Commission's Internet Web site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SR-Phlx-2017-53, and should be submitted on or before August 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Jill M. Peterson,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2017-14887 Filed 7-14-17;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32728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phlx.cchwallstreet" TargetMode="External" /><Relationship Id="rId11" Type="http://schemas.openxmlformats.org/officeDocument/2006/relationships/hyperlink" Target="https://advance.lexis.com/api/document?collection=administrative-codes&amp;id=urn:contentItem:51KB-KPJ0-006W-80FC-00000-00&amp;context=" TargetMode="External" /><Relationship Id="rId12" Type="http://schemas.openxmlformats.org/officeDocument/2006/relationships/hyperlink" Target="http://www.nasdaqtrader.com" TargetMode="External" /><Relationship Id="rId13" Type="http://schemas.openxmlformats.org/officeDocument/2006/relationships/hyperlink" Target="https://advance.lexis.com/api/document?collection=statutes-legislation&amp;id=urn:contentItem:4YF7-GPC1-NRF4-4309-00000-00&amp;context=" TargetMode="External" /><Relationship Id="rId14" Type="http://schemas.openxmlformats.org/officeDocument/2006/relationships/hyperlink" Target="https://advance.lexis.com/api/document?collection=administrative-codes&amp;id=urn:contentItem:4GH9-4PB0-014W-D1VJ-00000-00&amp;context=" TargetMode="External" /><Relationship Id="rId15" Type="http://schemas.openxmlformats.org/officeDocument/2006/relationships/hyperlink" Target="https://advance.lexis.com/api/document?collection=cases&amp;id=urn:contentItem:803V-DT30-YB0V-T01B-00000-00&amp;context=" TargetMode="External" /><Relationship Id="rId16" Type="http://schemas.openxmlformats.org/officeDocument/2006/relationships/hyperlink" Target="https://advance.lexis.com/api/document?collection=administrative-codes&amp;id=urn:contentItem:4V3T-8BP0-006W-834G-00000-00&amp;context=" TargetMode="External" /><Relationship Id="rId17" Type="http://schemas.openxmlformats.org/officeDocument/2006/relationships/hyperlink" Target="https://advance.lexis.com/api/document?collection=administrative-materials&amp;id=urn:contentItem:5K44-XNM0-000Y-43WY-00000-00&amp;context=" TargetMode="External" /><Relationship Id="rId18" Type="http://schemas.openxmlformats.org/officeDocument/2006/relationships/hyperlink" Target="http://www.sec.gov/rules/sro.shtml" TargetMode="External" /><Relationship Id="rId19" Type="http://schemas.openxmlformats.org/officeDocument/2006/relationships/hyperlink" Target="mailto:rule-comments@sec.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PP-2120-008G-Y2ND-00000-00&amp;context="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1R-XPG0-006W-8521-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85283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71343619</vt:lpwstr>
  </property>
  <property fmtid="{D5CDD505-2E9C-101B-9397-08002B2CF9AE}" pid="3" name="LADocCount">
    <vt:lpwstr>1</vt:lpwstr>
  </property>
  <property fmtid="{D5CDD505-2E9C-101B-9397-08002B2CF9AE}" pid="4" name="UserPermID">
    <vt:lpwstr>urn:user:PA185916758</vt:lpwstr>
  </property>
</Properties>
</file>